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Canadian Maritime Engineering Ltd. v. British Columbia Ferry Services Inc., [2013] B.C.J. No. 1375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 Thompson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29,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January 29,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09-3229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1375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Canadian Maritime Engineering Ltd., Plaintiff, and British Columbia Ferry Services Inc.,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Civil litigation — Civil procedure — Discovery — Production and inspection of documents — Document retention and destruction — Document retention policies — Preservation obligations — Application by defendant for dismissal of action due to plaintiff's loss of documents dismissed — Defendant argued plaintiff caused data to be removed from its computers and that a notebook and certain other documents kept by plaintiff's general manager had not been produced and were apparently now lost — Considering rare use of plaintiff's intra-office email in relation to matters at issue in this action, it was quite unlikely that large quantity of documents had been destroyed or had gone missing — Also unlikely that general manager's notebook or the other documents contained any pertinent information.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for dismissal of the action. The plaintiff's claim resulted from a contact awarded for certain work on the refit of a ferry. The defendant argued that after commencing the present action, the plaintiff caused data to be removed from computers owned by the plaintiff, resulting in the loss of documents that might have been relevant to this litigation and that a notebook and certain other documents kept by the plaintiff's general manager had not been produced and were apparently now lost.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 w:name="Holdings of Court"/>
            <w:bookmarkEnd w:id="2"/>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Although the court accepted that the failure in a duty to preserve potentially relevant documents was a form of neglect to make discovery of documents and that the plaintiff might have acted without lawful excuse, the court refused to exercise its discretion to dismiss the action. Based on the evidence provided by the plaintiff about the nature of the documents and the rare use of intra-office email in relation to matters that were in issue in this action, it was quite unlikely that a large quantity of documents had been destroyed or had gone missing. It was also unlikely that there was any important information in the general manager's notebook or the other documents that were boxed and shipped by the plaintiff. It was unlikely that the defendant would be significantly prejudiced in its ongoing defence of this action.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 w:name="Legislation Cited"/>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1-3(1), Rule 22-7(5), Rule 22-7(5)(c), Rule 22-7(5)(d), Rule 22-7(5)(f)</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 w:name="Counsel"/>
      <w:bookmarkEnd w:id="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7" style="position:absolute;z-index:2517606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 Coyle, S. Gutiu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G. Mayovsky.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 w:name="Judgment"/>
      <w:bookmarkEnd w:id="5"/>
      <w:r>
        <w:pict>
          <v:line id="_x0000_s1028" style="position:absolute;z-index:2518118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Chambers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 w:name="D. THOMPSON J. (orally)"/>
            <w:bookmarkEnd w:id="6"/>
            <w:r>
              <w:rPr>
                <w:rFonts w:ascii="arial" w:eastAsia="arial" w:hAnsi="arial" w:cs="arial"/>
                <w:b/>
                <w:color w:val="000000"/>
                <w:sz w:val="30"/>
                <w:lang w:val="en-US" w:eastAsia="en-US" w:bidi="ar-SA"/>
              </w:rPr>
              <w:t>D. THOMPSON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defendant, B.C. Ferry Services Inc., pursuant to Rule 22-7(5) for an order that the plaintiff's action be dismissed. The notice of application also makes reference to calling in aid of the application the doctrine of spoliation, but B.C. Ferry abandoned this aspect of their argument at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action is scheduled for a 14-day trial beginning on 11 March 2013. I was advised at the hearing that an examination for discovery is scheduled for tomorrow. Accordingly, it is important that the parties receive this judgment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This action arises out of a contract awarded for certain work on the refit of the ferry </w:t>
      </w:r>
      <w:r>
        <w:rPr>
          <w:rFonts w:ascii="arial" w:eastAsia="arial" w:hAnsi="arial" w:cs="arial"/>
          <w:i/>
          <w:color w:val="000000"/>
          <w:sz w:val="20"/>
          <w:lang w:val="en-US" w:eastAsia="en-US" w:bidi="ar-SA"/>
        </w:rPr>
        <w:t>M. v. Quinsam</w:t>
      </w:r>
      <w:r>
        <w:rPr>
          <w:rFonts w:ascii="arial" w:eastAsia="arial" w:hAnsi="arial" w:cs="arial"/>
          <w:color w:val="000000"/>
          <w:sz w:val="20"/>
          <w:lang w:val="en-US" w:eastAsia="en-US" w:bidi="ar-SA"/>
        </w:rPr>
        <w:t>. The contract scope included removal of exterior and interior coatings of paint on and recoating of the hull structure and car decks, removal and replacement of deteriorated steel, and replacement of certain piping, ventilation and heating works. The action was commenced on 23 July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nature of the plaintiff's claims are now outlined in the further amended notice of civil claim. I have received thorough oral and written submissions on this application, including considerable background about the nature of the claims being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Briefly put, the basis of this application to dismiss is that it has become apparent that on or about 3 November 2009, after commencement of this action, the plaintiff's general manager caused data to be removed from computers owned by the plaintiff, resulting in the loss of documents that may have been relevant to this litigation and, further, that a notebook and certain other documents kept by the general manager in a desk drawer have not been produced and are apparently now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start by referring to Rule 1-3(1):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object of these Supreme Court Civil Rules is to secure the just, speedy and inexpensive determination of every proceeding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B.C. Ferry relies upon Rule 22-7(5)(c), (d), and (f):</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any other power of the court under these Supreme Court Civil Rules, if a person, contrary to these Supreme Court Civil Rules and without lawful excuse,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refuses or neglects to produce or permit to be inspected any document or other property,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refuses or neglects to answer interrogatories or to make discovery of documents...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person is the plaintiff or petitioner, a present officer of a corporate plaintiff or petitioner or a partner in or manager of a partnership plaintiff or petitioner, the court may dismiss the proceeding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During argument, the focus narrowed to whether Rule 22-7(5)(d) is engaged or not and, if so, whether the court ought to exercise the Rule 22-7(5)(f) discretion to dismiss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see the questions to be decided as: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applicant shown that there has been a "neglect to make discovery, of documents"?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has the respondent shown that there is a "lawful excuse" for this neglect?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not, should the court exercise its discretion to dismiss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Neglect to Make Discovery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Counsel were unable to locate any authority that has considered the phrase "neglect to make discovery of documents" in the context of a case such as the one at bar -- that is, a case of a neglect to preserve documents that may be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respondent on this application argues that the applicant has not discharged its burden, because it has not been shown that the loss/destruction of documents that occurred has resulted in the neglect to make discovery of </w:t>
      </w:r>
      <w:r>
        <w:rPr>
          <w:rFonts w:ascii="arial" w:eastAsia="arial" w:hAnsi="arial" w:cs="arial"/>
          <w:color w:val="000000"/>
          <w:sz w:val="20"/>
          <w:u w:val="single"/>
          <w:lang w:val="en-US" w:eastAsia="en-US" w:bidi="ar-SA"/>
        </w:rPr>
        <w:t>relevant</w:t>
      </w:r>
      <w:r>
        <w:rPr>
          <w:rFonts w:ascii="arial" w:eastAsia="arial" w:hAnsi="arial" w:cs="arial"/>
          <w:color w:val="000000"/>
          <w:sz w:val="20"/>
          <w:lang w:val="en-US" w:eastAsia="en-US" w:bidi="ar-SA"/>
        </w:rPr>
        <w:t xml:space="preserve"> documents. I am satisfied, however, that the material which has been lost and deleted may have been relevant. In particular, it is more likely than not that there were some emails and other documents deleted that related to the </w:t>
      </w:r>
      <w:r>
        <w:rPr>
          <w:rFonts w:ascii="arial" w:eastAsia="arial" w:hAnsi="arial" w:cs="arial"/>
          <w:i/>
          <w:color w:val="000000"/>
          <w:sz w:val="20"/>
          <w:lang w:val="en-US" w:eastAsia="en-US" w:bidi="ar-SA"/>
        </w:rPr>
        <w:t>Quinsam</w:t>
      </w:r>
      <w:r>
        <w:rPr>
          <w:rFonts w:ascii="arial" w:eastAsia="arial" w:hAnsi="arial" w:cs="arial"/>
          <w:color w:val="000000"/>
          <w:sz w:val="20"/>
          <w:lang w:val="en-US" w:eastAsia="en-US" w:bidi="ar-SA"/>
        </w:rPr>
        <w:t xml:space="preserve"> project. That material ought to have been provided to counsel for the plaintiff in order that a decision respecting relevance could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Proper document discovery is integral to the civil litigation process: </w:t>
      </w:r>
      <w:r>
        <w:rPr>
          <w:rFonts w:ascii="arial" w:eastAsia="arial" w:hAnsi="arial" w:cs="arial"/>
          <w:i/>
          <w:color w:val="000000"/>
          <w:sz w:val="20"/>
          <w:lang w:val="en-US" w:eastAsia="en-US" w:bidi="ar-SA"/>
        </w:rPr>
        <w:t>Schatz v. Doust</w:t>
      </w:r>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(2002), 32 R.F.L. (5th) 317</w:t>
        </w:r>
      </w:hyperlink>
      <w:r>
        <w:rPr>
          <w:rFonts w:ascii="arial" w:eastAsia="arial" w:hAnsi="arial" w:cs="arial"/>
          <w:color w:val="000000"/>
          <w:sz w:val="20"/>
          <w:lang w:val="en-US" w:eastAsia="en-US" w:bidi="ar-SA"/>
        </w:rPr>
        <w:t xml:space="preserve"> (Sask. C.A.). The failure in the duty to preserve what a party knows or reasonably should know might be relevant in an action has the potential to undermine trial fairness.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decline to narrowly interpret the phrase "neglect to make discovery of documents", keeping in mind the importance of this duty to preserve documents that may be relevant to the issues in an action. The failure in a duty to preserve potentially relevant documents is, in my opinion, a form of neglect to make discovery of documents, and accordingly I find that the applicant is over this first hurdle.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Lawful Excuse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burden of showing a lawful excuse is on the defaulting party: </w:t>
      </w:r>
      <w:r>
        <w:rPr>
          <w:rFonts w:ascii="arial" w:eastAsia="arial" w:hAnsi="arial" w:cs="arial"/>
          <w:i/>
          <w:color w:val="000000"/>
          <w:sz w:val="20"/>
          <w:lang w:val="en-US" w:eastAsia="en-US" w:bidi="ar-SA"/>
        </w:rPr>
        <w:t>Eisele v. B.A. Blacktop Ltd.</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2004 BCSC 521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Canreal Management Corp. v. Mercedes-Benz Canada Inc.</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2010 BCSC 642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phrase "lawful excuse" has been considered in the context of neglect to produce documents or make discovery of documents that remain in existence. In </w:t>
      </w:r>
      <w:r>
        <w:rPr>
          <w:rFonts w:ascii="arial" w:eastAsia="arial" w:hAnsi="arial" w:cs="arial"/>
          <w:i/>
          <w:color w:val="000000"/>
          <w:sz w:val="20"/>
          <w:lang w:val="en-US" w:eastAsia="en-US" w:bidi="ar-SA"/>
        </w:rPr>
        <w:t>United Furniture Warehouse LP v. 551148 B.C. Ltd.</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2007 BCSC 1252</w:t>
        </w:r>
      </w:hyperlink>
      <w:r>
        <w:rPr>
          <w:rFonts w:ascii="arial" w:eastAsia="arial" w:hAnsi="arial" w:cs="arial"/>
          <w:color w:val="000000"/>
          <w:sz w:val="20"/>
          <w:lang w:val="en-US" w:eastAsia="en-US" w:bidi="ar-SA"/>
        </w:rPr>
        <w:t>, it was said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The defendants contend that the affidavit material does not support the conclusion that the plaintiff had a lawful excuse for the omission to produce the substantial volume of relevant and material documentation. Counsel says that the phrase "without lawful excuse" used in Rule 2(5) appears not to have been defined by a court. Counsel suggests that a "lawful excuse" should be any sufficiently reasonable excuse that, in the opinion of the presiding judge, justifies the exercise of discretion to refrain from resorting to the Rule and striking out the claim. Counsel for the plaintiff concurs in that submission.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In my opinion, a lawful excuse for purposes of Rule 2(5)(c) is one which, in the discretion of the judge acting judicially, is worthy of acceptance. The rule stipulates that it will apply in the case of refusal or neglect to produce. Refusal connotes a deliberate failure to produce a document of which a party has knowledge. Neglect connotes carelessness in the search for, and location of, documentation relating to a matter in issue that should be produced in accordance with Rule 26. Because an action may be struck when the lack of production has been occasioned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degree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required should be more than moderate on a scale ranging from mere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And see </w:t>
      </w:r>
      <w:r>
        <w:rPr>
          <w:rFonts w:ascii="arial" w:eastAsia="arial" w:hAnsi="arial" w:cs="arial"/>
          <w:i/>
          <w:color w:val="000000"/>
          <w:sz w:val="20"/>
          <w:lang w:val="en-US" w:eastAsia="en-US" w:bidi="ar-SA"/>
        </w:rPr>
        <w:t>Canreal Management Corp.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Applying the test for "lawful excuse" in </w:t>
      </w:r>
      <w:r>
        <w:rPr>
          <w:rFonts w:ascii="arial" w:eastAsia="arial" w:hAnsi="arial" w:cs="arial"/>
          <w:i/>
          <w:color w:val="000000"/>
          <w:sz w:val="20"/>
          <w:lang w:val="en-US" w:eastAsia="en-US" w:bidi="ar-SA"/>
        </w:rPr>
        <w:t>United Furniture Warehouse and Canreal Management Corp.</w:t>
      </w:r>
      <w:r>
        <w:rPr>
          <w:rFonts w:ascii="arial" w:eastAsia="arial" w:hAnsi="arial" w:cs="arial"/>
          <w:color w:val="000000"/>
          <w:sz w:val="20"/>
          <w:lang w:val="en-US" w:eastAsia="en-US" w:bidi="ar-SA"/>
        </w:rPr>
        <w:t xml:space="preserve">, I find, based on the affidavit of the general manager of the plaintiff, Robert Hall, that the degree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this case rests at the low end of the spectrum running from "mere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 would find a "lawful excuse" as that phrase has been interpreted in </w:t>
      </w:r>
      <w:r>
        <w:rPr>
          <w:rFonts w:ascii="arial" w:eastAsia="arial" w:hAnsi="arial" w:cs="arial"/>
          <w:i/>
          <w:color w:val="000000"/>
          <w:sz w:val="20"/>
          <w:lang w:val="en-US" w:eastAsia="en-US" w:bidi="ar-SA"/>
        </w:rPr>
        <w:t>United Furniture Warehouse and Canreal Management Corp.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Robert Hall deposes to the circumstances that led to the destruction of the computer data, including emails: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informed by Tony Kennedy, on October 31, 2009, that due to its financial difficulties, CMEV was to shut down and cease operations immediately and I was to prepare the office for closure and alert the staff of their dismissal. I was told that the computers were to be sold to a competitor, Victoria Shipyards.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did not want to upset the staff by telling them about the closure of CMEV on Halloween, nor did I want to ruin their weekend, so on the following Monday, I advised the staff that we were shutting down, and I asked them to pack up their personal belongings and clear off their computers so that no confidential information from CME would be available to our competitors who were purchasing the computers. Attached to this my Affidavit as </w:t>
      </w:r>
      <w:r>
        <w:rPr>
          <w:rFonts w:ascii="arial" w:eastAsia="arial" w:hAnsi="arial" w:cs="arial"/>
          <w:b/>
          <w:color w:val="000000"/>
          <w:sz w:val="20"/>
          <w:lang w:val="en-US" w:eastAsia="en-US" w:bidi="ar-SA"/>
        </w:rPr>
        <w:t>Exhibit "I"</w:t>
      </w:r>
      <w:r>
        <w:rPr>
          <w:rFonts w:ascii="arial" w:eastAsia="arial" w:hAnsi="arial" w:cs="arial"/>
          <w:color w:val="000000"/>
          <w:sz w:val="20"/>
          <w:lang w:val="en-US" w:eastAsia="en-US" w:bidi="ar-SA"/>
        </w:rPr>
        <w:t xml:space="preserve"> is an excerpt from my Examination for Discovery where I discussed this process.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general, the computers contained information from various projects and would have held confidential pricing sheets and data from suppliers, and sensitive customer information- data which I wanted to ensure was not available to Victoria Shipyards.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I gave the direction for staff to clear off their computers, it was NOT my intention to destroy documents that were relevant to this action, or that would either hurt CME's claims, or permit CME to gain an unfair advantage in it. My direction was a reaction to a sudden and difficult moment in time for me personally. I was closing down the shop, which was going to put good people out of work. In connection with the computers, I was really only focused on ensuring that the sensitive information on the computers did not fall into the hands of our competitors.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Involvement in the Litigation</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not materially involved in this litigation action until I was produced as the representative for CMEV to be examined by counsel for BCF in February 2011.</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November 2009, I knew that CMEV had been working with its lawyers, and that it had provided a large number of documents to them in elation to this case. I was of the impression that the lawyers had all of the information that they required to proceed with the case.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he was employed with CMEV Frank Pepers was the primary contact with CMEV's counsel on this case, Following Mr. Pepers departure from CMEV. Mark Hall worked with and instructed counsel and assisted with the location and assembly of documents. I provided information to counsel or to Mark Hall as asked, but was otherwise left out of this process until around February 2011.</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the first significant piece of litigation I have been involved with. I have reviewed the list of cases that the Applicant provided with its Application, and I confirm that I was not involved in any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 deposes to the circumstances that led to his notebook and other contents of his desk drawer ending up in Sarnia and not located to this date:</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various Team Leaders kept Log Books, only notes pertaining to a Team Leader's particular area were typically noted. As the Planner, Mark Hall was in charge of taking minutes or notes in a general sense. I would have had no reason, for example, to take any notes about electrical staffing, mechanical work, or ordering steel. Attached to this, my Affidavit as </w:t>
      </w:r>
      <w:r>
        <w:rPr>
          <w:rFonts w:ascii="arial" w:eastAsia="arial" w:hAnsi="arial" w:cs="arial"/>
          <w:b/>
          <w:color w:val="000000"/>
          <w:sz w:val="20"/>
          <w:lang w:val="en-US" w:eastAsia="en-US" w:bidi="ar-SA"/>
        </w:rPr>
        <w:t>Exhibit "F"</w:t>
      </w:r>
      <w:r>
        <w:rPr>
          <w:rFonts w:ascii="arial" w:eastAsia="arial" w:hAnsi="arial" w:cs="arial"/>
          <w:color w:val="000000"/>
          <w:sz w:val="20"/>
          <w:lang w:val="en-US" w:eastAsia="en-US" w:bidi="ar-SA"/>
        </w:rPr>
        <w:t xml:space="preserve"> are excerpts froe my Examination for Discovery where I discussed note taking practices.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Log Book, I would typically record the following: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Daily weather;</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Daily Tides;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Times assigned for dock services like water and air;</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Dock services required from the dock by the trades for the following day;</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weekend requirement for services by the trades;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Cranes/lift requirements of the trades (as we had to coordinate with other shipyards at the dock);</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Notes from quarterly dock user-group meetings (with other shipyards and Public Works) about shared dock usage;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Notes from quarterly inspections by Environment Canada about any issues for CMEV to address in relation to the dock.</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would not have taken any notes or had any emails about discussions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with or about COS, as I was largely uninvolved with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It does seem awkward to speak of a "lawful excuse" when it comes to neglect resulting in the destruction of potentially relevant documents. In particular, I only reluctantly reach the conclusion that carelessness of even modest degree in the carrying out of the duty to preserve potentially relevant documents is a lawful excuse.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Because I would not exercise my discretion to dismiss this action, even if I had found the absence of a lawful excuse, I will say no more about the interpretation of that phrase.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Discretion to Dismiss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Muscroft v. Eurocopter SA.</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2003 BCCA 229</w:t>
        </w:r>
      </w:hyperlink>
      <w:r>
        <w:rPr>
          <w:rFonts w:ascii="arial" w:eastAsia="arial" w:hAnsi="arial" w:cs="arial"/>
          <w:color w:val="000000"/>
          <w:sz w:val="20"/>
          <w:lang w:val="en-US" w:eastAsia="en-US" w:bidi="ar-SA"/>
        </w:rPr>
        <w:t>, Southin J.A.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There is no question, on the facts of this case, that the respondents to this appeal, the defendants below, have not met the requirements of the rules concerning discovery of document with that precision and sense of duty that one expects of a litigant. It is the duty of litigants in the court below to make discovery of documents thoroughly and timeously. Nonetheless, in those situations where one side must drag the documents out of another, it does not always follow that the recalcitrant litigant should have his, her or its statement of defence struck 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The rule authorizes the Court to dismiss the claim or strike out the defence when there has been a failure to comply with it without lawful excuse. I am prepared to assume for the purposes of this case that the respondents, in fact, had no lawful excuse or at least a lawful excuse that can only be described as tenuous. Nonetheless, in the end it is for the Court below to exercise the discretion. Mr. Camp asserts that the learned judge below approached the question without, perhaps, the right attitude to the importance of prompt observing of the rules for discovery by a litigant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I think perhaps some criticism might be levelled in that way, but in the end even if the learned judge did not approach the matter correctly, it was in my view correct for her not to strike out the statement of defence. That is a Draconian remedy only to be invoked in the most egregious of cases because it deprives the litigants of a trial on the evidence. I am not persuaded by Mr. Camp that the respondents here, the defendants below, are so ill-deserving as to warrant such a fate.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If there is not a lawful excuse for the neglect demonstrated in this case, I Would not exercise my discretion to dismiss this action. In reaching this conclusion, I have had regard to the nature of the plaintiffs claims as detailed so thoroughly by counsel for the applicant; the volume, but more importantly, the likely character and importance of any missing documents; the degree of neglect demonstrated on the part of the plaintiff's manager; and the chance that the fair trial of this matter on its merits might be compromised.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applicant invites me to draw the inference that it is likely that a large amount of highly relevant documents have been destroyed, but I find, based on the material before me as to the methods of operation of the plaintiff, and particularly the evidence about the rare use of intra-office email in relation to matters that are in issue in this action, and the affidavit evidence of Robert English about the shortcomings in what he calls the "culture of communication" at Canadian Maritime Engineering Victoria, that it is quite unlikely that a large quantity of documents have been destroyed or have gone missing.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More important, however, I see it as unlikely that there are important missing documents of any number, and I find that it is unlikely that there is any important information in Robert Hall's notebook or the other documents that were boxed and Sent to Sarnia. These findings distinguish the case at bar from a case cited by the applicant, </w:t>
      </w:r>
      <w:r>
        <w:rPr>
          <w:rFonts w:ascii="arial" w:eastAsia="arial" w:hAnsi="arial" w:cs="arial"/>
          <w:i/>
          <w:color w:val="000000"/>
          <w:sz w:val="20"/>
          <w:lang w:val="en-US" w:eastAsia="en-US" w:bidi="ar-SA"/>
        </w:rPr>
        <w:t>Brandon Heating &amp; Plumbing (1972) Ltd. v. Max Systems Inc.</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2006 MBQB 90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Given these findings, it follows that it is unlikely that the defendant will be significantly prejudiced in its ongoing defence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find that the facts in this case are at a considerable distance from being properly described as amounting to the "most egregious of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do wish to make it clear that nothing in this ruling is intended to stand in the way of B.C. Ferry advancing any arguments at trial that it sees fit and proper arising out of the destruction or absence of documents, including any arguments as to adverse inferences or spoliation that may be available on what will be a much more complete record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fact, I understood counsel for the plaintiff to rest his opposition to this application in part on the basis that the prejudice to the defendant is lessened or alleviated by the availability of the ability to take up those sorts of matters at the trial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Gentlemen, as to costs, I will tell you what my preliminary view is and you can try and persuade me to the contrary. The plaintiff has succeeded in this application, but I see the genesis of the application being the plaintiff's manager's carelessness, and I am inclined to make no order as to costs; that is, each party would bear their own costs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Do either of you have anything to say about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MAYOVSKY: That seems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COYLE: My Lord,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COURT: So ordered. Thank you, gentlemen.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 THOMPSON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9" style="position:absolute;z-index:2518620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7"/>
          <w:headerReference w:type="default" r:id="rId18"/>
          <w:footerReference w:type="even" r:id="rId19"/>
          <w:footerReference w:type="default" r:id="rId20"/>
          <w:headerReference w:type="first" r:id="rId21"/>
          <w:footerReference w:type="first" r:id="rId2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3" w:history="1">
        <w:r>
          <w:rPr>
            <w:rFonts w:ascii="arial" w:eastAsia="arial" w:hAnsi="arial" w:cs="arial"/>
            <w:b/>
            <w:bCs/>
            <w:i/>
            <w:color w:val="0077CC"/>
            <w:kern w:val="32"/>
            <w:sz w:val="28"/>
            <w:szCs w:val="32"/>
            <w:u w:val="single"/>
            <w:shd w:val="clear" w:color="auto" w:fill="FFFFFF"/>
            <w:lang w:val="en-US" w:eastAsia="en-US" w:bidi="ar-SA"/>
          </w:rPr>
          <w:t>Chartrand v. Grace Lutheran Church Society, [2003] B.C.J. No. 2105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Quijano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19 - 22,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9,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Nanaimo Registry No. 26074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2105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1377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126 A.C.W.S. (3d) 176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Deborah Chartrand, plaintiff, and Grace Lutheran Church Society, Trustees of the Grace Lutheran Church, Noah's Ark Christian Pre-School, and Grace Lutheran Church Pre-School Board,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0"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 w:name="Keywords_0"/>
      <w:bookmarkEnd w:id="7"/>
      <w:r>
        <w:rPr>
          <w:rFonts w:ascii="arial" w:eastAsia="arial" w:hAnsi="arial" w:cs="arial"/>
          <w:b/>
          <w:color w:val="000000"/>
          <w:sz w:val="20"/>
          <w:lang w:val="en-US" w:eastAsia="en-US" w:bidi="ar-SA"/>
        </w:rPr>
        <w:t xml:space="preserve">Torts — Occupiers' liability 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dangerous premises — Duty of occupier — Knowledge of occupier, what constitutes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occupier — Sidewalks, walkways, ramps, etc. — Damage awards — Injury and death — Neck injuries — Whiplash — Head injuries — Headaches — General damage awards — Pain and suffering, loss of amenities and other nonpecuniary damages — Loss of housekeeping capacity — Loss of earning capacity.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 w:name="Case Summary_0"/>
            <w:bookmarkEnd w:id="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Chartrand against the defendant Grace Lutheran Church Society. The Church had been the owner and occupier of its property since 1946. It caused, through its trustees, a septic tank to be built on the land in 1948. The tank fell into disuse after the church was attached to the municipal water and sewer systems. The Church, through its trustees, did not fill in the tank. Over the years a path to the back door of the church was created by general use. In 1992 the trustees built a concrete sidewalk over the path to provide access to a day care centre located in the church basement. On January 21, 1998 Chartrand was injured when the concrete path gave way under her and she fell into the tank. She suffered a moderate whiplash which was still symptomatic 11 months after the fall. It was likely that her neck problems and headaches would reduce over time. On December 18, 1998 Chartrand was involved in a serious motor vehicle accident which exacerbated the injuries suffered in the fall. After this accident Chartrand described her headaches as being continuous. Before this accident the frequency of the headaches had diminished. It was not known how long the headaches would have continued if not for the accident. Chartrand was a 30-year-old child care worker at the time of the accident. She was able to continue with her work despite the accident. However, in September 1999 she was diagnosed with ulcerative colitis. This would affect her ability to do light or heavy labour. At the time of the trial Chartrand did not have neck pain all the time or suffer from constant headaches.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 w:name="Holdings of Court_0"/>
            <w:bookmarkEnd w:id="9"/>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Chartrand was awarded damages of $42,950. The Church was liable. It created the danger and had a continuing reason to know of its existence. Part of its duty as occupier was to ensure that information as to the existence of a hazard on its property continued to be known to those entrusted with the duty to look after the property so that they could take the appropriate preventative steps. Having created the danger the Church could not avoid its responsibilities by forgetfulness. Chartrand was awarded non-pecuniary damages of $20,000 for pain and suffering. The best way to assess damages was to consider Chartrand's condition prior to the motor vehicle accident. Chartrand's ability to do household chores would be compromised for the foreseeable future. She was awarded $3,000 for past loss of capacity to do housework and $2,000 for future loss. If not for the motor vehicle accident and the colitis diagnosis Chartrand would have received $40,000 for loss of capacity to earn income. The award in this category was reduced to $17,500.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 w:name="Legislation Cited_0"/>
      <w:bookmarkEnd w:id="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1"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24" w:history="1">
        <w:r>
          <w:rPr>
            <w:rFonts w:ascii="arial" w:eastAsia="arial" w:hAnsi="arial" w:cs="arial"/>
            <w:i/>
            <w:color w:val="0077CC"/>
            <w:sz w:val="20"/>
            <w:u w:val="single"/>
            <w:shd w:val="clear" w:color="auto" w:fill="FFFFFF"/>
            <w:lang w:val="en-US" w:eastAsia="en-US" w:bidi="ar-SA"/>
          </w:rPr>
          <w:t>R.S.B.C.  1996, c.  337, s.  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3(1),</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3(2).</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Society Act, </w:t>
      </w:r>
      <w:hyperlink r:id="rId25" w:history="1">
        <w:r>
          <w:rPr>
            <w:rFonts w:ascii="arial" w:eastAsia="arial" w:hAnsi="arial" w:cs="arial"/>
            <w:i/>
            <w:color w:val="0077CC"/>
            <w:sz w:val="20"/>
            <w:u w:val="single"/>
            <w:shd w:val="clear" w:color="auto" w:fill="FFFFFF"/>
            <w:lang w:val="en-US" w:eastAsia="en-US" w:bidi="ar-SA"/>
          </w:rPr>
          <w:t>R.S.B.C.  1996, c.  433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Trustee (Church Property) Act, </w:t>
      </w:r>
      <w:r>
        <w:rPr>
          <w:rFonts w:ascii="arial" w:eastAsia="arial" w:hAnsi="arial" w:cs="arial"/>
          <w:i/>
          <w:color w:val="000000"/>
          <w:sz w:val="20"/>
          <w:lang w:val="en-US" w:eastAsia="en-US" w:bidi="ar-SA"/>
        </w:rPr>
        <w:t>R.S.B.C.  1996, c.  465</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 w:name="Counsel_0"/>
      <w:bookmarkEnd w:id="1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2" style="position:absolute;z-index:2517616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 Vanstone and Pam Norschaeffer, for the plaintiff. A. Maragos and Jason Mann,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 w:name="Judgment_0"/>
      <w:bookmarkEnd w:id="12"/>
      <w:r>
        <w:pict>
          <v:line id="_x0000_s1033" style="position:absolute;z-index:25181286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 w:name="QUIJANO J."/>
            <w:bookmarkEnd w:id="13"/>
            <w:r>
              <w:rPr>
                <w:rFonts w:ascii="arial" w:eastAsia="arial" w:hAnsi="arial" w:cs="arial"/>
                <w:b/>
                <w:color w:val="000000"/>
                <w:sz w:val="30"/>
                <w:lang w:val="en-US" w:eastAsia="en-US" w:bidi="ar-SA"/>
              </w:rPr>
              <w:t>QUIJANO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sues the defendants for damages for personal injuries she says she suffered when she fell through a sidewalk on the defendants' property and into a hole beneath.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deny liability for the injury saying that when the sidewalk was constructed by them they had no idea that there was a hole underneath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also say that the injuries for which Ms. Chartrand now claims compensation were not entirely caused by the fall because 11 months later Ms. Chartrand was in a relatively serious motor vehicle accident in which the injuries she had suffered in the fall were exacerbated.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Is knowledge imputed to the church and its present trustees of the existence of an abandoned septic tank on the property or, alternatively, was the church, through its trustees, negligent for failing to fill in the tank in the first place and, if so, did they create an ongoing hazard for which the church, through its present trustees, is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major issue is the extent to which Ms. Chartrand's continuing complaints were caused by the fall and not the intervening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NARRATIVE AND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From the time the church property was acquired in 1946 the church property had been administered by trustees acting under a deed of trust. The trustees changed from time to time, but at all times those who were elected to the position of trustee were responsible for the administration, maintenance and repair of church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defendant, the Grace Lutheran Church Society, was incorporated under the Society Act, </w:t>
      </w:r>
      <w:hyperlink r:id="rId25" w:history="1">
        <w:r>
          <w:rPr>
            <w:rFonts w:ascii="arial" w:eastAsia="arial" w:hAnsi="arial" w:cs="arial"/>
            <w:i/>
            <w:color w:val="0077CC"/>
            <w:sz w:val="20"/>
            <w:u w:val="single"/>
            <w:shd w:val="clear" w:color="auto" w:fill="FFFFFF"/>
            <w:lang w:val="en-US" w:eastAsia="en-US" w:bidi="ar-SA"/>
          </w:rPr>
          <w:t>R.S.B.C. 1996, c. 433</w:t>
        </w:r>
      </w:hyperlink>
      <w:r>
        <w:rPr>
          <w:rFonts w:ascii="arial" w:eastAsia="arial" w:hAnsi="arial" w:cs="arial"/>
          <w:color w:val="000000"/>
          <w:sz w:val="20"/>
          <w:lang w:val="en-US" w:eastAsia="en-US" w:bidi="ar-SA"/>
        </w:rPr>
        <w:t xml:space="preserve">. The defendant trustees are trustees of the property of the church under a deed of trust and are subject to the provisions of the Trustee (Church Property) Act, </w:t>
      </w:r>
      <w:r>
        <w:rPr>
          <w:rFonts w:ascii="arial" w:eastAsia="arial" w:hAnsi="arial" w:cs="arial"/>
          <w:i/>
          <w:color w:val="000000"/>
          <w:sz w:val="20"/>
          <w:lang w:val="en-US" w:eastAsia="en-US" w:bidi="ar-SA"/>
        </w:rPr>
        <w:t>R.S.B.C. 1996 c. 465</w:t>
      </w:r>
      <w:r>
        <w:rPr>
          <w:rFonts w:ascii="arial" w:eastAsia="arial" w:hAnsi="arial" w:cs="arial"/>
          <w:color w:val="000000"/>
          <w:sz w:val="20"/>
          <w:lang w:val="en-US" w:eastAsia="en-US" w:bidi="ar-SA"/>
        </w:rPr>
        <w:t>. At the commencement of the trial counsel advised that, by consent, the action against the Pre-School and the Pre-School Board was to be dismissed without costs. That order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Although it was not clear from submissions, it appears that when the Trustee (Church Property) Act came into effect in 1996 it codified what had previously been a common law structure to provide for the financial administration of the church property by trustees appointed under deeds of trust. The Act limits the purposes for which the church can own property and appears to be limited in its scope to matters related to the acquisition and disposition of church property including mortgaging, leasing and renting. It does not include the day-to-day maintenance. In other words, it appears to be concerned only with fiscal responsibility on the part of the trustees. Although counsel appeared to believe that the Act is relevant to a determination of the question of liability, I have concluded that the common law must still apply to questions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whether of the trustees resulting in damage to others or of another resulting to damage to the church.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1946 the property on which the present church building is located was purchased in the name of the trustees of the church in accordance with the provisions of the trust deed. The property which was acquired by the church was bare land which had not previously had improvements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1948 the church, through the trustees, constructed the church building on the property. At that time the church was not serviced by a municipal water or sewer system. It had its own septic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Over 30 years ago the church was connected to the municipal water and sewer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1992 the church decided to operate a day care centre out of the church basement. Access to the church basement was through a door at the rear of the church building. There was a dirt path from the rear of the church property to the back door which had been created by general use. In 1992 or 1993 members of the church built a sidewalk over the dirt path to provide access to the day care centre. The sidewalk was constructed of pre-fabricated concrete slabs.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January 21, 1998 Deborah Chartrand was injured when she fell through the concrete slab sidewalk and into a hole beneath. Ms. Chartrand was there to pick up her son from the day care operated by the church out of the church basement. She was a 30 year old child care worker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day after Ms. Chartrand fell through the sidewalk the church hired an excavation contractor with a backhoe to fill the hole. That person, Mr. Chris Ciseroski, had over 30 years' experience as an excavation contractor. He testified that what he saw when he arrived was a hole with what appeared to be an old wooden cover. He thought it was an old septic tank. He said he had seen many similar abandoned septic tanks over the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Some time after Ms. Chartrand fell through the sidewalk one of the members of the congregation who had been involved in the church at the time the structure was built told others in the congregation that the church had had its own septic tank. That member, Mr. Lieppe, passed away in 2000 and was not therefore available to give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am satisfied on a balance of probabilities that the hole under the sidewalk was an abandoned septic tank.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Chartrand saw her family doctor the day of the fall complaining of abrasions to her knee and elbow, headache and a sore, stiff neck. After the fall Ms. Chartrand was off work for 10 days to two weeks and after that was able to return to work without encountering problems related to her injuries. She did not lose any wages.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abrasions healed within a few weeks but Ms. Chartrand continued to complain of neck pain and stiffness as well as headaches. She tried various passive therapies including massage, physiotherapy and chiropractic but none of them appeared to have helped in any significant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Dr. Manson, her chiropractor, said that "by July 1998 subjectively she reported some relief with cervical complaints in the neighbourhood of 20-25%. She reported some relief with headaches but was still complaining of considerable distress with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July 1998 Dr. Manson referred Ms. Chartrand back to her family doctor for other modalities of treatment because he felt she was not making further progress from chiropractic.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She was then referred to a neurologist, Dr. Hutchinson. From his consult report back to Ms. Chartrand's family doctor it appears that Ms. Chartrand complained of activity-related lancing neck pains and associated headaches which he diagnosed as occipital neuralgia. He said in his consult "the long process [sic] is good, although symptoms may be persistent for a while."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Based on this evidence it appears that before the motor vehicle accident the range of motion in Ms. Chartrand's neck had improved and the neck pain had abated by at least the 20-25% she reported in July 1998 and that the intensity and frequency of headaches had improved somewhat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December 18, 1998 Ms. Chartrand was involved in a motor vehicle accident. Her vehicle, a Jeep YJ, was struck from behind, while stopped, by a truck travelling between 30-40 kilometres per hour and pushed into the vehicle ahead of it, which was also stopped. There was considerable damage to her vehicle and Ms. Chartrand suffered injuries to her low and mid back and a significant exacerbation of her cervico-thoracic complaints remaining from the fall. It appears from the evidence that the headaches became constant after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Testifying about her physical condition just before the motor vehicle accident she said: "at the scene I was stiff right away. I couldn't remember at first yesterday. I had to replay it a few minutes to remember. I was having a good day. My neck goes in cycles. Sometimes it feels ok, other times doesn't. My neck was not sore that day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Some 18 months after the motor vehicle accident Ms. Chartrand felt that her condition was back to what it had been before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By the time of this trial Ms. Chartrand had settled her law suit arising out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Chartrand graduated from high school in 1985 and obtained her Child Care Certification in 1991. Ms. Chartrand was married, had two children. At the time she fell through the sidewalk she was employed as a child care worker, earning $25,000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At the time of the fall Ms. Chartrand, her husband and children lived in a small house. They shared household duties approximately equally. After the fall Ms. Chartrand was not able to do the chores and housekeeping tasks as she had before the fall. It fell to Mr. Chartrand to do 4 to 6 hours more per week than he had been to cover what Ms. Chartrand had been doing. In addition his mother and Ms. Chartrand's mother also helped out with chores and transporting the children to school and activities, things that Ms. Chartrand had done before her injury. As well, it was necessary to hire a baby sitter and a woman to come in to do general cleaning on occasion in the first couple of months after the fall. The receipts for these expenses totalled $446.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September 1998 Ms. Chartrand took a leave of absence from her job as a child care worker in order to take over a contract with the Ministry to provide care in her home for a woman with disabilities by the name of Ms. Simm. Ms. Simm had been cared for by Ms. Chartrand's grandmother for the previous 13 years and when Ms. Chartrand's grandmother decided she no longer wished to provide care Ms. Chartrand decided to take over the job. That decision had nothing to do with the injuries suffered in the fall and in fact the job is considerably more physically demanding than being a child care worker. Ms. Chartrand continues with that job at the time of trial. She is paid $3,600 per month tax free, out of which she provides food, shelter and other necessities of life for Ms. Simm.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Because it was not possible to provide in-home care for Ms. Simm in the small home in which the Chartrands had been living, they sold that home and rented a 4 bedroom 3 bath home. That move increased the amount of time that Mr. Chartrand had to spend doing things around the home that would otherwise have been done by Ms. Chartrand to 6-7 hours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Simm has difficulty walking and suffers from seizures. Mr. Chartrand would often assist Ms. Chartrand in caring for Ms. Simm when it was necessary to lift her or move her after she had suffered a seizure.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Chartrands separated in July of this year. There is no suggestion that the injuries suffered in the fall were in any way related to the separation.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September of 1999 Ms. Chartrand was diagnosed with ulcerative colitis and although she maintains that this condition does not interfere at all with her ability to provide care for Ms. Simm or to work as a child care worker, according to Dr. Deutscher, who gave expert evidence for the plaintiff, while ulcerative colitis would not make it impossible for her to do heavy labour, it would make it difficult to do light or heavy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Chartrand said that before the motor vehicle accident the headaches were not constant but they were frequent. After the motor vehicle accident, she said, they were constant. She testified that at the time of trial the headaches were still constant. However, in Dr. Deutscher's report of November 29, 2002, Ms. Chartrand is said to have reported having "a stiff neck and flare ups of pain that are less intense and less frequent than they were when she last saw me." Dr. Deutscher also said that Ms. Chartrand reported that "the flare ups of pain occur approximately once a month and that means intense pain. She continued to have pain but flare ups are just when the pain is more prominent." She did not tell him she had pain every day all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Chartrand believes that the injuries suffered in the motor vehicle accident had completely resolved within 18 months after the accident because it was at that point that she felt she had returned to her pre-motor vehicle accident condition. Based on Ms. Chartrand's subjective report that she had returned to her pre-motor vehicle accident condition, Dr. Deutscher opined that all of her remaining complaints were due to the injuries suffered in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Manson, her chiropractor, acknowledged that it was very difficult to know to what extent Ms. Chartrand's present complaints were due to the motor vehicle accident and to what extent they were due to the fall. Nevertheless it was his opinion that Ms. Chartrand's present condition is "primarily" due to the injuries suffered in the fall. This opinion was also based entirely on Ms. Chartrand's subjective reports to him in 2000 and 2003. In his report of June 18, 2003 he says the following:</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continue to submit that Ms. Chartrand's neck pain and headaches are primarily the result of the January 21, 1998 fall. My impression is the December 18, 1998 MVA aggravated the pre-existing injury and that Ms. Chartrand has now essentially returned to her pre-MVA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find Dr. Deutscher's opinion of no assistance as it seems to accept that recovery over 18 months to the pre-motor vehicle accident state means that there had been complete recovery from the injuries suffered in the motor vehicle accident and that there would have been no improvement in her condition had there not been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While Dr. Manson's opinion does acknowledge the difficulty in determining to what extent, if any, Ms. Chartrand's continuing complaints relate to the fall, his opinion that they are "primarily" related to the fall is inconsistent with the evidence which is that although her recovery was slow, there was continuing improvement. For example, the evidence of Dr. Manson supports the conclusion that before the motor vehicle accident Ms. Chartrand's headaches and neck pain had improved, Ms. Chartrand testified that the motor vehicle accident caused her to have considerable headaches and she reported to Dr. Hutchinson some 4 months after the motor vehicle accident that she had been experiencing constant neck pains and headaches since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am satisfied that Ms. Chartrand does not now have neck pain all the time nor does she suffer from constant headaches. From all of the evidence it appears that Ms. Chartrand continues to suffer from activity-related neck pain from time to time and from minor headaches frequently with flare ups of significant pain about once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Taking into consideration the evidence that Ms. Chartrand was suffering from neck pain and headaches at the time of the motor vehicle accident, and that the various therapies had resulted in some symptomatic improvement, it is clear that the injuries from the fall would have continued to be symptomatic for some additional period of time had the motor vehicle accident not occurred. However, there is no evidence from which it is possible to conclude what the prognosis for recovery from those initial injuries would have been other than what Dr. Hutchinson, the neurologist, reported in his consult in September 1998: "that the symptoms may be persistent for a while."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Before the fall Ms. Chartrand engaged regularly in a number of recreational activities. After the fall she was unable to continue most of them for the first few weeks to a month. She has returned to all of the activities with the exception of water skiing and water tubing. She tried water skiing and tubing either last summer or the summer before, she could not remember which, and it caused her neck to be sore for a week. So, she says, she will not try them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continuing headaches cause Ms. Chartrand to be short tempered and she feels that this has interfered with her social life to some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defendant church has been the owner and occupier of the subject property continuously since 1946. The church, through its trustees, caused a septic tank to be constructed on the property, probably at the time the church structure was built in 1948. The septic tank was outside the rear of the church and near the back door of the church. Some years later the church was connected to the municipal water and sewer systems and the tank went into disuse. The church, through its trustees, did not fill in the septic tank.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Over the years a path to the back door of the church was created by general use and in 1992 or 1993 the trustees built a sidewalk over the path, using pre-fabricated concrete slabs, to provide access to a day care centre located in the church basement.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January 21, 1998 the plaintiff was injured when the concrete path gave way under her and she fell into the abandoned septic tank. She had not recovered from her injuries when she was involved in a relatively serious motor vehicle accident on December 18, 1998, in which the injuries she suffered in the fall were significantly exacerbated.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She sued the driver of the vehicle that struck hers and has settled that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At the time of trial she was still 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church is an occupier under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The plaintiff was an invitee on the church property at the time of the incident. As such the duty and standard of care to be applied are set out in s. 3 of the Act as follows: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It is therefore necessary that the church take reasonable care in the circumstances to see that persons on its property are reasonably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church, through its trustees, took no steps to fill in the septic tank once it was no longer in use. It appears that over time the knowledge of that situation was not actually passed from trustee to trustee with the result that by the time the sidewalk was constructed the then trustees were unaware that there had ever been a septic tank on the property. The question that appears to remain is whether the church is deemed to have had continuing knowledge of this situation and, if so, whether it was negligent in allowing the situation to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Linden, in Canadian Tort Law, 7th ed. (Toronto: Butterworths, 2001), notes at page 644: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sufficient if the occupier has actual knowledge that such a condition has existed in the past and may exist again in the future if appropriate preventative steps are not taken. Thus, actual knowledge of the danger will be imputed if the licensor had reason to know of its existence.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Although the author was concerned with the question of the liability of a licensor, the test is equally applicable to the instant case. Here the question is whether the knowledge that the church had, through its trustees, at the time that the septic tank was abandoned is deemed to be the knowledge of the church at the time of the incident giving rise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Although I was referred to no authority on this question I have concluded that the church, as the creator of the danger, had a continuing reason to know of the existence of the danger. A part of the duty of the church as the occupier in this case is to ensure that the information as to the existence of a hazard on its property, the abandoned septic tank, continued to be known to those entrusted with the duty to look after the property in order that they might take the appropriate preventative steps once they determined such steps were necessary for the protection of persons coming onto the property. In other words, having created the danger the church cannot now avoid responsibility for the consequence of its failure to take steps to eliminate it merely by "forgetting" that it was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find the defendants liable to the plaintiff for the injuries suffered by her when she fell through the concrete walkway and into the hole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find that the plaintiff suffered a mild to moderate whiplash in the fall which was still symptomatic 11 months after the fall and that it was likely that her neck problems and headaches would reduce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After the motor vehicle accident the plaintiff described her headaches as continuous, whereas before the accident it appears that the frequency of the headaches had diminished. It is therefore not possible to know to what extent and for how long the headaches would have continued but for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defendant argues that from the date of the motor vehicle accident all the remaining pain and suffering is irrelevant to a determination of the appropriate quantum under this head in this case. In support of this position he referred to the decision of Long v. Thiessen and Laliberte (1963), 65 W.W.R. 577. That is a decision of our Court of Appeal in which the issue is how to apportion damages between two tortfeasors who were parties to the same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According to the head note in that case the court held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assessing damages against the two wrongdoers the damage suffered by respondent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 should first be assessed without regard to subsequent events; an assessment should then be made of the value of respondent's injuries, disabilities and losses generally as of the date of trial; the amount awarded against T. should then be deducted from the global sum arrived at as a result of the second assessment and the difference awarded as a judgment against 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Here, unlike in Long, supra, the decision as to the appropriate amount of damages to be awarded for pain and suffering arising out of the motor vehicle accident was determined by way of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However, the direction from the Court of Appeal can nevertheless be applied to the facts of this case. As I see it, Long directs the court to assess damages of the first event and then deduct those from the global award to determine how much to apportion to the second event. That does not mean, as the defendants would have it, that the plaintiff is only to be compensated for her pain and suffering to the date of the motor vehicle accident. All that is necessary here is to determine on all of the evidence the damages to be awarded without regard to subsequent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It is apparent from the evidence of the plaintiff and from submissions on her behalf that she believes the injuries she suffered in the motor vehicle accident had resolved approximately 18 months after the motor vehicle accident and that all of her remaining complaints relate only to the fall. The evidence does not support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Considering that the motor vehicle accident involved a severe impact which significantly exacerbated the plaintiff's neck injuries and caused her constant headaches and neck pain, and that there is no reliable evidence from which to conclude that all of the plaintiff's present complaints are related only to the injuries suffered in the fall, I have concluded that the most reasonable way of approaching the assessment of non-pecuniary damages is to consider the evidence relating to the condition of the plaintiff just prior to the motor vehicle accident, including any evidence as to prognosis for recovery, and award damages on that basis. That is, on the basis that there was no motor vehicle accident, that the issue is to be decided as at the time just prior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As to quantum of damages for pain and suffering, I was referred to a number of authorities on behalf of both the plaintiff and defendant. Not surprisingly I found the plaintiff's authorities to represent injuries far more serious than those suffered by the plaintiff in this case and those proffered by the defendants to represent injuries less serious than those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Having regard to the medical evidence and the evidence of the plaintiff, as well as those authorities to which I was referred I have concluded that $20,000 is an appropriate award for non-pecuniary damages in all of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 has proven special damages of $446 for babysitting and housecleaning expenses. That amount is not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 also claimed compensation of $10,000 for past loss of housekeeping capacity and $15,000 for future loss. According to counsel for Ms. Chartrand, these figures are calculated on the basis of the extra hours her husband had to spend doing chores she would otherwise have done but could not do due to the injuries, valuing the work at $12 per hour. The figures are then discounted in recognition of the impact of the motor vehicle accident and the ulcerative colitis on her ability to do household chores.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Chartrand said that while they were in the smaller home and after the fall, he had to do 4-6 hours more work per week around the house to cover for the things the plaintiff could not do. He said that after they moved to the larger house this increased to 6-7 hours. They were in the smaller house for 34 weeks after the fall and 13 weeks in the larger home before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It is well settled that loss of housekeeping capacity is a compensable pecuniary loss. However, it is difficult to determine how the plaintiff calculated the amount she says is reasonable compensation for past loss and for 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1998 between the time of the fall and the time of the motor vehicle accident there was a total of 34 weeks in the smaller home and 13 weeks in the larger home. Since the motor vehicle accident to trial there has passed approximately 240 weeks. Using the plaintiff's figure of 5 hours per week at the smaller home and 7 at the larger to the date of trial is a total of 501 hours. At $12 per hour that amounts to just over $6,000 without adjusting for the motor vehicle accident and the colitis. That is well below the $10,000 "discounted" figure suggested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It is apparent from the evidence that the motor vehicle accident and the colitis have also adversely affected Ms. Chartrand's ability to do household chores as she had in the past. Considering all of the evidence, I find the appropriate discount for these factors to be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all of the circumstances it would seem reasonable that Ms. Chartrand's capacity to do household chores will be compromised for the foreseeable future. However, it is not clear to what extent this incapacity will continue to be due to the injuries suffered in the fall. The burden is on the plaintiff to establish the likelihood of continuing incapacity resulting from the injuries suffered in the fall. Taking into consideration the whole of the evidence, it is not possible to conclude that the incapacity related to the injuries suffered in the fall will be permanent nor how long those injuries might continue to play a part in her ongoing reduced capacity to do housework. However, in all of the circumstances it is reasonable to conclude that there will be some residual and diminishing incapacity related to the injuries suffered in the fall for a finite period which I find to be 5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On the basis of these findings I find that the plaintiff is entitled to be compensated in the amount of $3,000 for past loss of capacity to do housework and in the amount of $2,000 for 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It is well established that to recover damages for cost of future care the plaintiff must establish on a balance of probabilities that the anticipated items are medically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Here the only evidence related to this head of damages is that the plaintiff spends about $25 every 3 months for Tylenol to help her cope with the headaches. There is no medical evidence to support the ongoing use of analgesics. On the contrary, there is the evidence of Dr. Hutchinson, the neurologist, who said that habitual use of analgesics can result in medication induced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There will be no recovery under this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Capacity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From the evidence of Ms. Chartrand and all of the medical evidence I have concluded that it is probable that the injuries to the plaintiff's neck suffered in the fall would likely have continued as a chronic, at times symptomatic, problem aggravated from time to time by certain activities involving heavy labour. The loss of range of motion and the limitations posed by the pain resulting from certain activities including heavy labour would, in my opinion, satisfy the test set out in Kwei v. Boisclair </w:t>
      </w:r>
      <w:hyperlink r:id="rId26"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(B.C.C.A.). In particular, I am satisfied that this injury has rendered the plaintiff less capable overall from earning income from all types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However, the award of damages under this head must be adjusted to take into consideration the impact of the intervening motor vehicle accident and the plaintiff's ulcerative colitis on her ability to do heavy labour. But for these two contributing factors I would have awarded $40,000 under this head. Taking these factors into account I have concluded that the compensation for the extent to which the injuries suffered in the fall have affected the plaintiff's capacity to earn income should be $17,500.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following is a summary of the damages awarded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1882"/>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346"/>
        <w:gridCol w:w="1359"/>
        <w:gridCol w:w="836"/>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446</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1150"/>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incapacity to do housework</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$ 3,000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496"/>
        <w:gridCol w:w="1046"/>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incapacity to do housework</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$ 2,000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1150"/>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Capacity to Earn Income</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$17,500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2928"/>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$42,946</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 will have her costs at Scale 3 unless there has been a formal offer to settle which would affect the determination of costs, in which case there will be liberty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QUIJANO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4"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
          <w:headerReference w:type="default" r:id="rId28"/>
          <w:footerReference w:type="even" r:id="rId29"/>
          <w:footerReference w:type="default" r:id="rId30"/>
          <w:headerReference w:type="first" r:id="rId31"/>
          <w:footerReference w:type="first" r:id="rId3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3" w:history="1">
        <w:r>
          <w:rPr>
            <w:rFonts w:ascii="arial" w:eastAsia="arial" w:hAnsi="arial" w:cs="arial"/>
            <w:b/>
            <w:bCs/>
            <w:i/>
            <w:color w:val="0077CC"/>
            <w:kern w:val="32"/>
            <w:sz w:val="28"/>
            <w:szCs w:val="32"/>
            <w:u w:val="single"/>
            <w:shd w:val="clear" w:color="auto" w:fill="FFFFFF"/>
            <w:lang w:val="en-US" w:eastAsia="en-US" w:bidi="ar-SA"/>
          </w:rPr>
          <w:t>Cherniwchan v. Royal Columbian Hospital, [2005] B.C.J. No. 46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Garson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December 6 - 10 and 13, 2004.</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January 11, 2005.</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S011194</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[2005] B.C.J. No. 46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2005 BCSC 32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136 A.C.W.S. (3d) 762</w:t>
      </w:r>
    </w:p>
    <w:p>
      <w:pPr>
        <w:spacing w:before="120" w:line="260" w:lineRule="atLeast"/>
        <w:rPr>
          <w:lang w:val="en-US" w:eastAsia="en-US" w:bidi="ar-SA"/>
        </w:rPr>
      </w:pPr>
      <w:r>
        <w:rPr>
          <w:rFonts w:ascii="arial" w:eastAsia="arial" w:hAnsi="arial" w:cs="arial"/>
          <w:color w:val="000000"/>
          <w:sz w:val="20"/>
          <w:lang w:val="en-US" w:eastAsia="en-US" w:bidi="ar-SA"/>
        </w:rPr>
        <w:t>Between Peter Cherniwchan, plaintiff, and Royal Columbian Hospital, John Doe and Jane Doe, and Dr. Robert Van Wiltenburg,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(60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35" style="position:absolute;z-index:25166028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4" w:name="Keywords_1"/>
      <w:bookmarkEnd w:id="14"/>
      <w:r>
        <w:rPr>
          <w:rFonts w:ascii="arial" w:eastAsia="arial" w:hAnsi="arial" w:cs="arial"/>
          <w:b/>
          <w:color w:val="000000"/>
          <w:sz w:val="20"/>
          <w:lang w:val="en-US" w:eastAsia="en-US" w:bidi="ar-SA"/>
        </w:rPr>
        <w:t xml:space="preserve">Health law — Health care professionals — Liability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Standard of care — Particular professions — Doctors — Professional responsibility — Professions — Health care — Doctors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5" w:name="Case Summary_1"/>
            <w:bookmarkEnd w:id="15"/>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the plaintiff, Cherniwchan, against the defendant, Royal Columbian Hospital, for damages arising from a CAT scan. Cherniwchan had a medical condition, ankylosing spondylitis, that left him susceptible to respiratory infections. He suffered from a fungal infection in his lung and the defendant doctor, Wiltenburg, used CAT scan guidance to inject an antibiotic into Cherniwchan's lung. The CAT scan-guided treatment was the last option for Cherniwchan. During the procedure, Cherniwchan's arms were elevated above his head. He stated that he complained of severe pain in his right arm at least five times during the procedure. Cherniwchan ended up suffering from temporary paralysis of his right arm, permanent damage to his right brachial plexis nerve, and pain. Cherniwchan sued the Hospital, CAT scan technologists, and Wiltenburg. Only liability was an issue. It was one of the CAT scan technologists, Nobert's, first CAT scan guided procedure. Nobert recalled Cherniwchan complaining of discomfort at the beginning of the procedure when only Nobert was present, but not again until the end of the procedure. When Cherniwchan made this last complaint, the needle was in his chest. Wiltenburg lowered Cherniwchan's arms shortly after that complaint. </w:t>
            </w:r>
            <w:r>
              <w:rPr>
                <w:lang w:val="en-US" w:eastAsia="en-US" w:bidi="ar-SA"/>
              </w:rPr>
              <w:cr/>
            </w:r>
          </w:p>
          <w:p>
            <w:pPr>
              <w:spacing w:before="120" w:line="260" w:lineRule="atLeast"/>
              <w:ind w:left="240"/>
              <w:jc w:val="both"/>
              <w:rPr>
                <w:lang w:val="en-US" w:eastAsia="en-US" w:bidi="ar-SA"/>
              </w:rPr>
            </w:pPr>
            <w:bookmarkStart w:id="16" w:name="Holdings of Court_1"/>
            <w:bookmarkEnd w:id="16"/>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Cherniwchan's recollection of the events was faulty. If he had made urgent complaints to the technologists, they would not have ignored him. Wiltenburg's actions in lowering Cherniwchan's arms immediately after the injection was highly unusual. This indicated that he would have willingly accommodated a timely complaint had he known of it. Further, it was not reasonably foreseeable that an injury could have occurred if complaints of discomfort were not acted upon. The standard of care depended upon the severity of the complaint. The standard of care involved responding to a complaint of pain. Nobert did not breach the standard of care because the complaint was of generalized discomfort. This was something many patients complained of during this procedure. Cherniwchan's complaints were not sufficient to alert the technologists or Wiltenburg to the urgency of the situation. 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lang w:val="en-US" w:eastAsia="en-US" w:bidi="ar-SA"/>
              </w:rPr>
              <w:cr/>
            </w:r>
          </w:p>
          <w:p>
            <w:pPr>
              <w:rPr>
                <w:lang w:val="en-US" w:eastAsia="en-US" w:bidi="ar-SA"/>
              </w:rPr>
            </w:pPr>
          </w:p>
        </w:tc>
      </w:tr>
    </w:tbl>
    <w:p>
      <w:pPr>
        <w:jc w:val="both"/>
        <w:rPr>
          <w:lang w:val="en-US" w:eastAsia="en-US" w:bidi="ar-SA"/>
        </w:rPr>
      </w:pPr>
      <w:bookmarkStart w:id="17" w:name="Counsel_1"/>
      <w:bookmarkEnd w:id="17"/>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36" style="position:absolute;z-index:25171148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A.M. Roos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Royal Columbian Hospital and John and Jane Doe: A. Sayn-Wittgenstein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Dr. Robert Van Wiltenburg: R. Samtani and J. Woznesensky</w:t>
      </w:r>
      <w:r>
        <w:rPr>
          <w:lang w:val="en-US" w:eastAsia="en-US" w:bidi="ar-SA"/>
        </w:rPr>
        <w:cr/>
      </w:r>
    </w:p>
    <w:p>
      <w:pPr>
        <w:spacing w:after="240"/>
        <w:rPr>
          <w:lang w:val="en-US" w:eastAsia="en-US" w:bidi="ar-SA"/>
        </w:rPr>
      </w:pPr>
      <w:bookmarkStart w:id="18" w:name="Judgment_1"/>
      <w:bookmarkEnd w:id="18"/>
      <w:r>
        <w:pict>
          <v:line id="_x0000_s1037" style="position:absolute;z-index:251762688"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9" w:name="GARSON J."/>
            <w:bookmarkEnd w:id="19"/>
            <w:r>
              <w:rPr>
                <w:rFonts w:ascii="arial" w:eastAsia="arial" w:hAnsi="arial" w:cs="arial"/>
                <w:b/>
                <w:color w:val="000000"/>
                <w:sz w:val="30"/>
                <w:lang w:val="en-US" w:eastAsia="en-US" w:bidi="ar-SA"/>
              </w:rPr>
              <w:t>GARSON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Peter Cherniwchan, now age 67, has suffered from ankylosing spondylitis since he was 25 and his spine is almost totally fused. Owing to this condition, he is susceptible to respiratory infections. On March 12, 1999, he was suffering from a fungal infection in his lung. The defendant, Dr. Van Wiltenburg, using CAT scan guidance, injected an antibiotic through Mr. Cherniwchan's chest wall into his lung. During the procedure, lasting about 30 minutes, Mr. Cherniwchan's arms, supported by straps, were elevated above his head. The elevation of his arms above his head was necessary to ensure that his lung could be clearly viewed on the CAT scan. Unfortunately, because of his ankylosing spondylitis, this position caused pain, temporary paralysis of his right arm, and permanent damage to his right brachial plexus nerve (the bundle of nerves connecting the spine and neck to the muscles that provide sensation in the arm).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Cherniwchan sues the Royal Columbian hospital, the CAT scan technologists, and the radiologist, Dr. Van Wiltenburg. He says that during the procedure he complained five times of severe pain and numbness in his right arm, and that his complaints were ignored by the defendants. The defendants say that the elevated arm position is standard procedure for an interventional lung procedure with CAT scan guidance, and that Mr. Cherniwchan did not alert any of the defendants to his pain. Alternatively, the technologists and Hospital defendants say it was Dr. Van Wiltenburg's responsibility to familiarize himself with the patient's medical history and he should have known that the elevated arm position could be painful to Mr. Cherniwchan. Dr. Van Wiltenburg says the technologists failed to communicate Mr. Cherniwchan's complaints to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Alternatively the defendants all say that this injury is such an unusual complication that I should find it was not a foreseeable consequence of a breach of the standard of care.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Issues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parties have reached agreement on the quantum of damages, and thus only liability was in issue at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do not dispute that the brachial plexus injury resulted from Mr. Cherniwchan's arms being elevated and strapped above his head for about 30 minutes during the CAT scan procedure.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main question is whether any of the defendants breached their duty of care to Mr. Cherniwchan. The liability of the defendants turns in part on the question of fact: Did Mr. Cherniwchan communicated the extent of his discomfort to any of the defendants during the procedure? If I find that all or one of the defendants breached their duty of care, the plaintiff must also prove that the injury was reasonably foreseeable.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Procedure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about two o'clock in the afternoon on March 12, 1999, Mr. Cherniwchan was taken to the CAT scan room.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He had been in hospital for a lung infection since March 6, 1999. This was a serious infection with potentially life threatening consequences. The CAT scan-guided injection of antibiotic was, in practical terms, the last treatment option for Mr. Cherniwchan.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Cherniwchan was placed on his back on the CAT scan table and his hands were elevated above his head. Velcro straps were used to support his arms and hands in that 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2:22 in the afternoon, two quick CAT scans were performed. These scans are called "scout" scans. The scout scans assist the technologists to set the parameters on the machine.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2:25, a diagnostic scan was performed. Its purpose was to locate and mark the fungal ball in the plaintiff's lung.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Next, Dr. Van Wiltenburg entered the CAT scan room. He examined the diagnostic scan and at 2:30 he marked, on Mr. Cherniwchan's chest, the location for the injection site using indelible ink.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Next, Dr. Van Wiltenburg inserted the needle through the chest wall into the fungal ball. At 2:47, Mr. Cherniwchan was scanned again to ensure that the needle was in the correct location. It was. Then Dr. Van Wiltenburg injected an antibiotic solution directly into the fungal ball in the lung. At that point, Mr. Cherniwchan's hands were released and placed down by his side.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2:54, Mr. Cherniwchan underwent a final CT Scan to ensure that the antibiotic had been delivered to the infection site.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Analysis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Cherniwchan testified that he complained on five occasions about his pain. There were three technologists - two women, Donna Bell and Rosemary Bruno who assisted with the procedure, and a male trainee technologist, Laurier Nobert. Ms. Bell and Ms. Bruno were responsible for supervising Mr. Nobert. Mr. Cherniwchan testified that he could tell from the voices he heard around him that it was the two women technologists who were close to him. He says he complained twice to the female technologists, but they did not respond. He said that on his third complaint, a technologist replied, "This will not take long". As is noted below, the first complaint was likely made to Mr. Nobert, and Mr. Nobert says that he told Mr. Cherniwchan that the procedure would not take long. Mr. Cherniwchan described the severity of pain as beyond imagination. He testified that he complained again but the technologist told him the doctor was about to insert the needle and not to move. As is noted below, Dr. Van Wiltenburg does recall a complaint occurring at about the time he was inserting the needle.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Under cross-examination, Mr. Cherniwchan was not so clear about the timing or frequency of his complaints or the surrounding events.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 had no recollection of being administered Ativan (a sedative) before the procedure, although the records disclose that he was given 2 milligrams prior to the procedure. The records show in two places that he was taken by stretcher to the CAT scan room, whereas he was quite certain that he went in a wheelchair. He testified at trial that he heard the Velcro arm straps being fastened but at discovery he denied hearing the Velcro being fastened. Most significantly, his recollection of the five distinct complaints was shown to be faulty. He was unsure about if, or how many, complaints were made to the technologists before Dr. Van Wiltenburg arrived.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Cherniwchan said that when Dr. Van Wiltenburg entered the CAT scan room, and introduced himself to Mr. Cherniwchan, Mr. Cherniwchan did not take that opportunity to tell the doctor that he was in terrible pain owing to the elevated position of his arms. He explained this by saying, "It's my understanding that the technologists should tell him." He also said that he complained to the whole group. He was asked, "Did you think you should mention pain to Dr. Van Wiltenburg?" He answered, "No I didn't".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 recalls the technologist forcing his arms above his head beyond his normal range of motion. The technologists say that the Velcro straps are only used if the patient needs to support their arms, and that they would never force the arms beyond the point of comfort.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Cherniwchan kept a diary, and one or two days after the procedure he recorded that "a minimum of five complaints" had been made. The statement of claim, which he says he reviewed for accuracy, states in [paragraph]s 10 and 11 that the second complaint was after Dr. Van Wiltenburg entered the CAT scan room. However, Mr. Cherniwchan could not give any reliable estimates of the time intervals between the complaints, and under cross examination he said some of the five complaints may have been "back to back".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Cherniwchan confirmed that when Dr. Van Wiltenburg entered the room and introduced himself, he was then in significant pain. He said that he complained to the whole room, but that he did not think he should mention the pain specifically to Dr. Van Wiltenburg. Later he testified that Dr. Van Wiltenburg was present when he complained to the technologist.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 agreed that he could bear the pain rather than ask that the procedure be stopped. He testified that he did not ask that the procedure be stopped. He did not ask that his arms be moved, although in his complaint letter written to the hospital, he said, "I urged them to loosen my arm".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Cherniwchan knew his lung condition could be fatal if not successfully treated with the antibiotic injected directly to the infection site.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turn now to the evidence of others who were present. Ms. Bell and Ms. Bruno have no recollection at all of the procedure, or of Mr. Cherniwchan. Mr. Nobert does recall the procedure although his recollection is somewhat fragmented. Dr. Van Wiltenburg does recall the procedure.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reason that Mr. Nobert can recall the events at all is that this was his first experience assisting at an invasive CAT scan guided procedure. Mr. Nobert began his training on the CAT scan just a few days before March 12, 1999, although he had been a certified radiographer since 1995. He was operating the CAT scan control panel on March 12, 1999, but he was also assisting in the CAT scan room. Mr. Nobert recalls going into the room after the first diagnostic scan.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Nobert testified that he does recall Mr. Cherniwchan saying that his arms were uncomfortable above his head within a minute after the diagnostic scan was completed. Mr. Nobert said, "I would have reassured him we would try and get through the procedure as soon as possible. I would have told the radiologist but I don't remember doing so." Mr. Nobert also testified that if the patient had complained of severe pain, he would have helped him bring his arms down to his side and let the radiologist know about the problem. Mr. Nobert could only recall one complaint made by Mr. Cherniwchan, and does not recall any other pain behaviour such as grimacing. Excerpts from Mr. Nobert's examination for discovery were read in at trial by the plaintiff, in which Mr. Nobert testified that he remembered Mr. Cherniwchan saying, "My arms are uncomfortable".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Bell, Ms. Bruno, and Mr. Nobert testified that Mr. Nobert was responsible for operating the scanner (under Ms. Bell and Ms. Bruno's supervision) so he would have been in the control room most of the time. There is an open speaker system that allows the operator to hear the patient on the bed.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also heard evidence from three radiologists, including the defendant radiologist, Dr. Van Wiltenburg. The procedure Dr. Van Wiltenburg performed on Mr. Cherniwchan was the first occasion on which he had infused a substance into the lung. He had previously performed the more common procedure of a lung biopsy. He does have an independent recollection of the Cherniwchan procedure.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Van Wiltenburg testified that he arrived after the diagnostic scan. He testified that he would have introduced himself, asked how Mr. Cherniwchan was doing, and "at that stage if he had told me about pain I would have assessed it." Dr. Van Wiltenburg stated that at that point in the surgery it would be easy to adjust for arm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Van Wiltenburg was at Mr. Cherniwchan's side for two parts of the procedure: first to mark the entry point; second to inject the cavity. He says that he was aware of Mr. Cherniwchan's complaint of pain "near the end of the procedure", and he recalls taking his arm down. Dr. Van Wiltenburg confirms that the last scan (taken to verify that the antibiotic was injected in the correct location) was performed with Mr. Cherniwchan's arm down. There is, therefore, good evidence from which it may be concluded that at least near the end of the procedure, Mr. Cherniwchan did effectively complain about his pain. Dr. Van Wiltenburg does not recall Mr. Nobert advising him of pain earlier. Dr. Van Wiltenburg testified, "I doubt that he did - it's my procedure to deal with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Van Wiltenburg's evidence is in part consistent with Mr. Cherniwchan's evidence, in so far as Dr. Van Wiltenburg testified that he did say to the technologist that the procedure could have been done with the arm at his side. He testified that "I remember thinking that if I had known this [about the pain] and this was brought to my attention we could have tried something else." Dr. Van Wiltenburg does not recall a technologist telling him earlier about a pain complaint and indeed none of the technologists recall advising Dr. Van Wiltenburg about a pain complaint, except that Mr. Nobert says he believes he would have told Dr. Van Wiltenburg. Dr. Van Wiltenburg agrees that if Mr. Cherniwchan had complained to the technologist it would be the technologist's duty to inform the radiologist about the complaint. Mr. Cherniwchan testified that Dr. Van Wiltenburg also said, at the time he lowered his arms, that he may have suffered nerve damage. Dr. Van Wiltenburg says that he would not have made such a statement because he had no basis then for believing that there was any such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heard expert opinion evidence from two other radiologists - Dr. Catherine Staples called as a witness for the plaintiff and Dr. John Mayo called as a witness for the defendant doctor.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There is substantial agreement among the three radiologists on much of the evidence. They agree that the optimal position for the procedure performed on the plaintiff is with the arms elevated above the head. They agree that other reasons for this position are to avoid the bones of the arm obscuring the image of the lung, and to reduce the likelihood of the needle piercing certain veins and arteries located close to the injection site. They agree that, to some extent, raising the arms enlarges the "surgical window" by spreading the ribs. They agree that in Mr. Cherniwchan's case, the arm did not in fact obscure the image of the lung when the last scan was taken, but of course this would not have been known before the procedure began. They all agree that patient complaints of pain should not be ignored and that, within the parameters of the stage of the procedure at which the complaint occurs, the patient should be accommodated. For example, Dr. Mayo said in somewhat colourful language that if a complaint was made when the needle was already in the lung he "would thunder ahead" regardless of the complaint, because the danger of then not completing the procedure would outweigh concerns about the patient's pain. Another point that the three doctors agree upon is that the positioning of the patient with arms elevated is uncomfortable for most patients and that to a certain degree they do ask or expect the patient to put up with the discomfort.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three radiologists' opinions were also in substantial agreement about the risks of the procedure. These risks include a pneumothorax (collapsed lung), puncturing a nearby vascular vessels, internal bleeding, risk of injecting the substance into the lung instead of the fungal ball, embolism, and infection. However, they are also in agreement that the particular injury the plaintiff suffered was not a known consequence or risk of the procedure. Searches of medical literature did not disclose any other instance of damage to the brachial plexus from this type of procedure.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three radiologists' opinions differ somewhat in more subtle ways. Dr. Staples would be more inclined to accommodate a patient's complaint of pain by adjusting the arms whereas Dr. Mayo, who is more experienced in this procedure, placed greater importance on the arms being elevated. Dr. Mayo said that he has never performed a CAT scan guided lung infusion with arms down. He also said that almost all patients find the position uncomfortable, and complain in varying degrees. Dr. Mayo did agree that there are lesser adjustments that could be made to the arms to provide some level of comfort to the patient.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differences in the opinions of the radiologists are not important because they all acknowledge that if a patient complained of severe pain and numbness at any stage of the procedure up to the time of insertion of the needle, they would respond in some way to the complaint.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technologists also all agree that it is their professional duty to respond to complaints of pain from a patient.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evidence is clear that Mr. Cherniwchan did complain at least once to, or within earshot of, Mr. Nobert, because Mr. Nobert said he heard the complaint and assumes he reassured Mr. Cherniwchan that they would try and get through the procedure as soon as possible. Mr. Nobert recalls that the complaint of "discomfort" was made after the first diagnostic scan. The evidence is also clear that a further complaint was made too late for any adjustment, when the needle was in his chest, because Dr. Van Wiltenburg responded to the complaint by lowering Mr. Cherniwchan's arms as soon as he could. The evidence is also clear, by his own admission, that Mr. Cherniwchan did not make a direct complaint to the doctor.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Cherniwchan says he made three other complaints. If he did make other complaints, I conclude that they must have been made to the technologists. I accept Dr. Van Wiltenburg's evidence that if a serious or urgent complaint had been made to him in a timely way he would have responded to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only remaining question is whether Mr. Cherniwchan made urgent complaints to the technologists. All the technologists testified that it is their professional duty to respond to complaints of pain. I accept the evidence I heard that patients often complain of some level of discomfort associated with this elevated arms procedure. I was particularly impressed with the evidence of the technologists, Ms. Bruno and Ms. Bell. They were both then experienced radiological technologists. They both impressed me with their professionalism. I find it difficult to accept that if urgent complaints were made by Mr. Cherniwchan, as Mr. Cherniwchan alleges, those complaints would have been ignored by these technologists. Mr. Cherniwchan described how, at one point, he thought to himself that if his wife could endure child birth, he could endure the pain he was experiencing. The severity of the injury would suggest that his pain was indeed severe. However, he knew his lung infection was potentially fatal, and he also knew that this procedure was essentially the treatment of last resort.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find that Mr. Cherniwchan did complain to Mr. Nobert shortly after the first diagnostic scan was completed. The first complaint was therefore just after 2:25 p.m. I accept that Mr. Nobert responded by telling Mr. Cherniwchan words to the effect that he would try and get through the procedure as soon as possible. In fact the procedure was not completed until a few minutes after 2:47 (the time at which the needle is scanned in the correct location). I conclude therefore that Mr. Cherniwchan's arms were in an elevated position for about 20 to 25 minutes after his first complaint of pain. I accept that Dr. Van Wiltenburg was not told either by Mr. Cherniwchan or Mr. Nobert about the first complaint. Even though Dr. Van Wiltenburg also has a somewhat fragmented recollection of events, his conduct and comments are in my view more consistent with his realizing Mr. Cherniwchan's pain was significant when it was too late to accommodate him because the needle was in place. I say this because Dr. Van Wiltenburg personally removed the straps and took Mr. Cherniwchan's arm down immediately after he completed the infusion of the antibiotic and removed the needle, which was, by Dr. Van Wiltenburg's own admission, an extremely unusual action him to take. Sometime while the needle was in place, Mr. Cherniwchan must have made an urgent complaint. I also find Dr. Van Wiltenburg's comment that "we could have done the procedure with his arms down" suggestive that he would willingly have accommodated a timely complaint had he known of it While it is true that Dr. Van Wiltenburg's statement could be understood to be a self-critical statement (i.e. why didn't I put the arm down), on the whole of the evidence I do not interpret his statement in such a way, but rather as a complaint to other medical staff or the plaintiff that he was not told early enough to accommodate Mr. Cherniwchan. Dr. Van Wiltenburg's statement also supports a conclusion that Mr. Nobert did not advise Dr. Van Wiltenburg about Mr. Cherniwchan's first complaint.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am left therefore with at least one acknowledged complaint early in the procedure, when all witnesses agree accommodation for comfort could easily have been achieved.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What happened in the twenty to twenty-five minutes between the two proven complaints is somewhat puzzling. In an effort to be very precise about his complaints, Mr. Cherniwchan has actually shown his evidence to be quite unreliable. I do not find that he was a dishonest witness, but with the traumatic events of the day and the passage of time, his attempt to separate the complaints into five distinct complaints was shown on cross-examination to be unreliable. I also find that Mr. Cherniwchan was submissive about his pain. The twenty to twenty-five minute window I have referred to is, in the context of this procedure, a long period of time. Except for the brief periods when everyone left the scan room for the control room, there were technologists or a doctor at the plaintiff's bedside at all times. The room is not large. It is puzzling that Mr. Cherniwchan was not able to effectively communicate the extent of his pain in those twenty to twenty-five minutes. I find it difficult to accept that the technologists and the doctor would have ignored him if he had done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his submissions, Mr. Sayn-Wittgenstein, for the defendant Hospital and the technologists,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After speaking to the Plaintiff, Dr. Van Wiltenburg then worked at the Plaintiff's side for 15 to 20 minutes, preparing him for the needle insertion (marking site, giving local anesthetic, preparing sterile field). Dr. Van Wiltenburg testified that he would have been talking to the Plaintiff during this time, describing what was going on. Had the Plaintiff's pain level truly been as significant as portrayed by the Plaintiff in the above extract, his pain would have been obvious and he would not have been able to lie still (evidence of Dr. Mayo).</w:t>
      </w:r>
    </w:p>
    <w:p>
      <w:pPr>
        <w:spacing w:before="120" w:line="260" w:lineRule="atLeast"/>
        <w:ind w:left="720"/>
        <w:rPr>
          <w:lang w:val="en-US" w:eastAsia="en-US" w:bidi="ar-SA"/>
        </w:rPr>
      </w:pPr>
      <w:r>
        <w:rPr>
          <w:rFonts w:ascii="arial" w:eastAsia="arial" w:hAnsi="arial" w:cs="arial"/>
          <w:color w:val="000000"/>
          <w:sz w:val="20"/>
          <w:lang w:val="en-US" w:eastAsia="en-US" w:bidi="ar-SA"/>
        </w:rPr>
        <w:t>It is submitted that the only reasonable explanation for the course of events is that the Plaintiff made a complaint of minor arm discomfort some time after the first diagnostic scan. This complaint was made in the presence of Mr. Nobert and others that may have included Dr. Van Wiltenburg.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Roos, for the plaintiff, relies on the following evidence in support of the proposition that Mr. Nobert had a duty to respond to Mr. Cherniwchan's first complaint of pain:</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Mr. Nobert testified that it was part of his duty as a health care provider in March 1999, to listen to a patient's complaints of pain or discomfort and to assist the patient;</w:t>
      </w:r>
    </w:p>
    <w:p>
      <w:pPr>
        <w:spacing w:before="120" w:line="260" w:lineRule="atLeast"/>
        <w:ind w:left="720"/>
        <w:rPr>
          <w:lang w:val="en-US" w:eastAsia="en-US" w:bidi="ar-SA"/>
        </w:rPr>
      </w:pPr>
      <w:r>
        <w:rPr>
          <w:rFonts w:ascii="arial" w:eastAsia="arial" w:hAnsi="arial" w:cs="arial"/>
          <w:color w:val="000000"/>
          <w:sz w:val="20"/>
          <w:lang w:val="en-US" w:eastAsia="en-US" w:bidi="ar-SA"/>
        </w:rPr>
        <w:t>* Mr. Nobert also testified that it was his duty to bring complaints of patient discomfort to the attention of the physician in charge of the patient's care at the first possible opportunity;</w:t>
      </w:r>
    </w:p>
    <w:p>
      <w:pPr>
        <w:spacing w:before="120" w:line="260" w:lineRule="atLeast"/>
        <w:ind w:left="720"/>
        <w:rPr>
          <w:lang w:val="en-US" w:eastAsia="en-US" w:bidi="ar-SA"/>
        </w:rPr>
      </w:pPr>
      <w:r>
        <w:rPr>
          <w:rFonts w:ascii="arial" w:eastAsia="arial" w:hAnsi="arial" w:cs="arial"/>
          <w:color w:val="000000"/>
          <w:sz w:val="20"/>
          <w:lang w:val="en-US" w:eastAsia="en-US" w:bidi="ar-SA"/>
        </w:rPr>
        <w:t>* Ms. Bruno testified that where a patient complains of arm pain within a few minutes of being placed on the CT table and the procedure will require him to keep his arms in that position for thirty minutes or so, it is the professional responsibility of the technician to change the patient's position so as to make him comfortable;</w:t>
      </w:r>
    </w:p>
    <w:p>
      <w:pPr>
        <w:spacing w:before="120" w:line="260" w:lineRule="atLeast"/>
        <w:ind w:left="720"/>
        <w:rPr>
          <w:lang w:val="en-US" w:eastAsia="en-US" w:bidi="ar-SA"/>
        </w:rPr>
      </w:pPr>
      <w:r>
        <w:rPr>
          <w:rFonts w:ascii="arial" w:eastAsia="arial" w:hAnsi="arial" w:cs="arial"/>
          <w:color w:val="000000"/>
          <w:sz w:val="20"/>
          <w:lang w:val="en-US" w:eastAsia="en-US" w:bidi="ar-SA"/>
        </w:rPr>
        <w:t>* Ms. Bruno testified that a technician must not let a patient suffer discomfort without attempting to offer relief from the discomfort, and that it would be unethical to do so;</w:t>
      </w:r>
    </w:p>
    <w:p>
      <w:pPr>
        <w:spacing w:before="120" w:line="260" w:lineRule="atLeast"/>
        <w:ind w:left="720"/>
        <w:rPr>
          <w:lang w:val="en-US" w:eastAsia="en-US" w:bidi="ar-SA"/>
        </w:rPr>
      </w:pPr>
      <w:r>
        <w:rPr>
          <w:rFonts w:ascii="arial" w:eastAsia="arial" w:hAnsi="arial" w:cs="arial"/>
          <w:color w:val="000000"/>
          <w:sz w:val="20"/>
          <w:lang w:val="en-US" w:eastAsia="en-US" w:bidi="ar-SA"/>
        </w:rPr>
        <w:t>* Ms. Bruno testified that it is the professional responsibility of the technician to tell the radiologist at the first possible opportunity when a complaint of pain has been made in the absence of the radiologist.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Roos notes Mr. Nobert's complete lack of experience in CT procedures. Mr. Roos says that Mr. Nobert knew so little about the procedure that he thought it would take only ten minutes when he heard the first complaint. Mr. Nobert agreed that if he had been aware that this was a thirty minute procedure, he would have taken the initial complaint of pain a lot more seriously. While Dr. Van Wiltenburg agreed that it is common for a patient to make generalized complaints of pain in the arms elevated position, he said it would be uncommon to make a localized complaint of pain such as one localized to the shoulder. Mr. Roos acknowledges that Mr. Cherniwchan may have been submissive and respectful, but Mr. Roos says the plaintiff should not have had to "grab the professionals by the scruff of the neck and say listen to 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Nobert has a specific recollection that Mr. Cherniwchan said his arms were "uncomfortable" above his head. He testified at trial that if the patient complained of acute pain he would have helped the patient to bring his arms to his side and he would have let the radiologist know, but that it is not uncommon for a patient to complain of arm pain during the procedure. At his examination for discovery he testified that "It's my practice that I would not have told him [the patient] that we would be altering his arms." He testified that it was very unlikely he would have told the plaintiff they could alter his arm position. As already mentioned, Mr. Nobert does not recall telling the radiologist about the complaint and, insofar as he had almost no experience with CAT scans and no experience with an invasive procedure under CAT scan guidance, his evidence about what he would have done on the day in question is of little persuasive value. He did not have a "usual practise" that he could refer to because he had never before been involved in such a procedure. As I said earlier, I accept Dr. Van Wiltenburg's evidence that he was not notified about the complaint.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Nobert has a recollection that the plaintiff was unhappy but his memory was that he came into the CAT scan room with an unhappy demeanour. Mr. Roos contends that Mr. Nobert's recollection of Mr. Cherniwchan's unhappiness is consistent with the plaintiff's testimony that he was in pain and complaining on numerous occasions.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Hospitals and thus the technologists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 owe a duty to their patients to take such steps as are necessary to prevent their patients suffering loss or damage which they as reasonably prudent people operating a hospital ... ought to anticipate might result if they do something or omit to do something which is the cause of such loss or damage to the patient." [references omitted] (Wenden v. Trikha </w:t>
      </w:r>
      <w:hyperlink r:id="rId34" w:history="1">
        <w:r>
          <w:rPr>
            <w:rFonts w:ascii="arial" w:eastAsia="arial" w:hAnsi="arial" w:cs="arial"/>
            <w:i/>
            <w:color w:val="0077CC"/>
            <w:sz w:val="20"/>
            <w:u w:val="single"/>
            <w:shd w:val="clear" w:color="auto" w:fill="FFFFFF"/>
            <w:lang w:val="en-US" w:eastAsia="en-US" w:bidi="ar-SA"/>
          </w:rPr>
          <w:t>(1991), 116 A.R. 81</w:t>
        </w:r>
      </w:hyperlink>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8 C.C.L.T. (2d) 138</w:t>
        </w:r>
      </w:hyperlink>
      <w:r>
        <w:rPr>
          <w:rFonts w:ascii="arial" w:eastAsia="arial" w:hAnsi="arial" w:cs="arial"/>
          <w:color w:val="000000"/>
          <w:sz w:val="20"/>
          <w:lang w:val="en-US" w:eastAsia="en-US" w:bidi="ar-SA"/>
        </w:rPr>
        <w:t xml:space="preserve"> (Alta. Q.B.) at 155).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defendants argue that the injury was not foreseeable because there had been no previous reported incident of damage to the brachial plexus nerve associated with the elevated positioning of arms for CAT scan purposes. I do not agree with this argument. The fact that this precise complication on an interventional CAT scan was not previously reported does not imply that the medical professional could with impunity ignore complaints of pain or numbness. As noted in School Division of Assiniboine South No. 3 v. Hoffer et al. </w:t>
      </w:r>
      <w:hyperlink r:id="rId35" w:history="1">
        <w:r>
          <w:rPr>
            <w:rFonts w:ascii="arial" w:eastAsia="arial" w:hAnsi="arial" w:cs="arial"/>
            <w:i/>
            <w:color w:val="0077CC"/>
            <w:sz w:val="20"/>
            <w:u w:val="single"/>
            <w:shd w:val="clear" w:color="auto" w:fill="FFFFFF"/>
            <w:lang w:val="en-US" w:eastAsia="en-US" w:bidi="ar-SA"/>
          </w:rPr>
          <w:t>(1971), 21 D.L.R. (3d) 608</w:t>
        </w:r>
      </w:hyperlink>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1 N.R. 34</w:t>
        </w:r>
      </w:hyperlink>
      <w:r>
        <w:rPr>
          <w:rFonts w:ascii="arial" w:eastAsia="arial" w:hAnsi="arial" w:cs="arial"/>
          <w:color w:val="000000"/>
          <w:sz w:val="20"/>
          <w:lang w:val="en-US" w:eastAsia="en-US" w:bidi="ar-SA"/>
        </w:rPr>
        <w:t xml:space="preserve"> (Man. C.A.) at 613, "one need not envisage 'the precise concatenation of circumstances which led up to the accident': ... [per Lord Morris of Borth-y-Gest quoting from Harvey v. Singer Mfg. Co. Ltd., [1960] S.C. 155 at p. 172]" to impose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the other hand, the evidence does not support the contention that it was reasonably foreseeable that an injury could occur if complaints of discomfort were not acted upon. To the contrary, as already noted such complaints are commonly associated with the elevated arm position. I conclude that it was not reasonably foreseeable, or could not be reasonably anticipated, that an injury could occur by failing to change the arm position after a complaint of discomfort.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standard of care applicable here must incorporate the notion that the complaint is serious enough that the technologist could reasonably anticipate that ignoring the pain might result in loss or damage to the patient.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Most of the witnesses at the trial agreed that the elevated arm position was uncomfortable for many patients. Dr. Mayo in particular said that most patients complain of discomfort in that position. All three technologists testified that their professional standard required them to respond to complaints of pain. That response, depending on the circumstances, could be reassurance, repositioning or advice to the radiologist about the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Did Mr. Nobert breach the standard of care? He says that he "would" have told the radiologist about Mr. Cherniwchan's pain complaints. I have already stated that I preferred the evidence of Dr. Van Wiltenburg on this point. I found Dr. Van Wiltenburg's evidence to be internally consistent with the proposition that he first was aware of a pain complaint during the last part of the infusion procedure. Mr. Cherniwchan himself thought that he made his complaints to the female technologists.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answer to the question of whether Mr. Nobert breached the standard of care depends on the factual finding of where Mr. Cherniwchan's complaint falls on the spectrum of complaints from generalized discomfort to severe specific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burden of proof is on the plaintiff to prove that he conveyed to Mr. Nobert or the other technologists a specific complaint of pain as opposed to generalized discomfort, which is a complaint that if ignored, a technologist ought to anticipate might result in loss or damage. The plaintiff read in and relies on Mr. Nobert's discovery evidence that he recalled Mr. Cherniwchan saying, "My arms are uncomfortable".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uncertain evidence before me is such that I am not satisfied on a balance of probabilities that the plaintiff alerted Mr. Nobert or the other technologists to his pain in such a way that they should have understood his complaint to be more than generalized discomfort. In saying this, I agree with Mr. Roos when he says that the patient need not, metaphorically speaking, "grab the technologist by the scruff of his neck" to alert him to his pain. On the other, hand as I have said, all three technologists and the radiologist were present in the fairly small room with Mr. Cherniwchan for about 25 minutes and I am not satisfied that by words or actions he conveyed to them the extent of his suffering. I find that the first complaint was only of discomfort. Mr. Nobert did not breach his professional standard by failing to respond to this complaint.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accept that Mr. Cherniwchan did utter complaints but I find that his complaints were not sufficient to alert the doctor or technologists to the urgency of the situation. All he needed to do was raise his voice, cry out or something of that nature, but I find that he did not do so. It is illogical to assume the first complaint made to Mr. Nobert was more urgent than his complaint late in the procedure. I conclude that despite Mr. Cherniwchan's suffering, he must have been so determined to complete the procedure that he failed to explain to the professionals at his bedside that his pain was severe. This is consistent with his evidence about his determination to endure the pain in the way his wife had endured the pain of child birth.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summary, I conclude that while he did complain at least twice, any complaints, other than the last one which was acted upon by Dr. Van Wiltenburg, did not convey sufficient urgency, or were not insistent enough, to alert the technologists or the doctor to the intensity or severity of his pain. It was not negligent to have treated any such complaints as general complaints of discomfort commonly associated with the elevated arm procedure.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plaintiff's claim is dismissed with costs. If counsel wish, they may make submissions concerning costs in writing, otherwise the defendants are entitled to costs at scale three.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GARSON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8138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6"/>
          <w:headerReference w:type="default" r:id="rId37"/>
          <w:footerReference w:type="even" r:id="rId38"/>
          <w:footerReference w:type="default" r:id="rId39"/>
          <w:headerReference w:type="first" r:id="rId40"/>
          <w:footerReference w:type="first" r:id="rId4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2" w:history="1">
        <w:r>
          <w:rPr>
            <w:rFonts w:ascii="arial" w:eastAsia="arial" w:hAnsi="arial" w:cs="arial"/>
            <w:b/>
            <w:bCs/>
            <w:i/>
            <w:color w:val="0077CC"/>
            <w:kern w:val="32"/>
            <w:sz w:val="28"/>
            <w:szCs w:val="32"/>
            <w:u w:val="single"/>
            <w:shd w:val="clear" w:color="auto" w:fill="FFFFFF"/>
            <w:lang w:val="en-US" w:eastAsia="en-US" w:bidi="ar-SA"/>
          </w:rPr>
          <w:t>Claiter v. Rose, [2004] B.C.J. No. 56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Powers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20 - 24, 27 - 31 and November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3 - 6,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15,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29649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128 A.C.W.S. (3d) 502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Donald Claiter and Sharon Claiter, plaintiffs, and Richard Allan Rose, Insurance Corporation of British Columbia and Frederick Moore,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9"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 w:name="Keywords_2"/>
      <w:bookmarkEnd w:id="20"/>
      <w:r>
        <w:rPr>
          <w:rFonts w:ascii="arial" w:eastAsia="arial" w:hAnsi="arial" w:cs="arial"/>
          <w:b/>
          <w:color w:val="000000"/>
          <w:sz w:val="20"/>
          <w:lang w:val="en-US" w:eastAsia="en-US" w:bidi="ar-SA"/>
        </w:rPr>
        <w:t xml:space="preserve">Damage awards — Injury and death — Head injuries - - Skull fracture and closed head injuries — Psychological injuries — Learning disability — Personality change — Damages — Assessment — Losses by third parties — Recoverable losses — Loss of income — General and special damages for personal care of injured persons — Special damages — Loss of business or professional income — Cost of housekeeping services — Costs of counselling and retraining — General damages — 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passengers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driver or passenger, failure to use safety equipment (incl. seat belts).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 w:name="Case Summary_2"/>
            <w:bookmarkEnd w:id="2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Assessment of damages for injuries from a motor vehicle accident. Claiter was a 53-year-old businessman. He was outgoing and very talented in identifying and evaluating opportunities for profit. Claiter earned money from the purchase and resale of assets from bankruptcies and business closures. His wife was employed at a bank. Their social lives were integrated into his business activities. They enjoyed travelling and intended to travel more after Mrs. Claiter's retirement. The couple's net worth was approximately $2 million. One January morning in 1999, Claiter was driving to work. He was travelling below the speed limit on a slippery road when the vehicle in front of him unexpectedly braked to avoid a collision. Claiter also braked and lost control of his vehicle, crossing the highway and colliding with an oncoming truck. He was found lying across the seat of his vehicle with a depressed frontal skull. He spent four months in hospital recovering from injuries to his neck and weakness in his left arm and leg. Cognitive difficulties did not completely resolve. Claiter had a severe brain injury, with frontal lobe dysfunction. He had a permanent loss of short-term memory and his IQ had fallen to the 25th percentile. His wife took eight months off work after his release from hospital. Claiter was unable to return to work or his social activities. He changed from being a very autonomous businessman to being quite dependent on his wife. He appeared to be relatively happy but was child-like in most ways. He sought non-pecuniary damages of $175,000 to $200,000, while Rose argued that $110,000 to $150,000 was appropriate. Claiter also sought past income loss of $150,000 to $200,000, while Rose argued that zero was the appropriate figure. Also at issue were future income loss, special damages, including loss of airline tickets paid for with a reward point program, a past in trust award for Mrs. Claiter, and the cost of future care. Rose also asked the court to rule on his seatbelt defense, arguing that Claiter contributed to his injuries by failing to wear a seatbelt.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 w:name="Holdings of Court_2"/>
            <w:bookmarkEnd w:id="22"/>
            <w:r>
              <w:rPr>
                <w:rFonts w:ascii="arial" w:eastAsia="arial" w:hAnsi="arial" w:cs="arial"/>
                <w:color w:val="000000"/>
                <w:sz w:val="20"/>
                <w:lang w:val="en-US" w:eastAsia="en-US" w:bidi="ar-SA"/>
              </w:rPr>
              <w:t>HELD: Damages were assessed at $967,000.</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Non-pecuniary damages were $175,000. But for the accident, Claiter would have continued to work, but his income in recent years was varied and generally low. A calculation of his lost income was not possible. Claiter had proven on a balance of probabilities that he would have continued to earn income in pursuit of liquidation sales. He would have conducted approximately two sales per year and earned on average $9,000 per year, for a total of $45,000 in the five years since the accident. A deduction for income tax was left to the parties to calculate. After 2004, he would have reduced his business activities but would have continued to earn some money up to age 65. The present value of that future income was approximately $100,000. Special damages were accepted as proven, including the cash value of the airline tickets that had been purchased with reward points. A nominal amount of $1,500 was awarded for an indeterminate amount of resale property stored in a warehouse that was eventually sold at auction for less than what Claiter would likely have obtained. Mrs. Claiter was awarded $75,000 for the care she had provided to her husband in the five years since the accident, including her loss of income. Future care costs, including psychological counselling for both Claiter and his wife, occupational therapy, a rehabilitation assistant, a job coach, one day per week and one weekend per month of respite care, $17.55 per hour for 1,100 hours per year of care provided by Mrs. Claiter, handyman and yard maintenance services, vehicle cleaning and medication, were $565,000. Claiter's claim for caregiver services as a contingency if his wife became unable to provide it were refused because the cost of living in an appropriate facility were less than the costs associated with him remaining at home. With respect to the seatbelt defence, Rose did not prove on the balance of probabilities that Claiter's injuries would have been reduced or eliminated had he been wearing a properly functioning seatbelt.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 w:name="Legislation Cited_1"/>
      <w:bookmarkEnd w:id="2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0"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Court Order Interest Act, R.S.B.C. 1979, c. 79.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 w:name="Counsel_2"/>
      <w:bookmarkEnd w:id="2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1" style="position:absolute;z-index:2517637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 Carter and D. Paulsen, for the plaintiffs. J. Broadway and E. Hughes,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 w:name="Judgment_2"/>
      <w:bookmarkEnd w:id="25"/>
      <w:r>
        <w:pict>
          <v:line id="_x0000_s1042" style="position:absolute;z-index:25181491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 w:name="POWERS J."/>
            <w:bookmarkEnd w:id="26"/>
            <w:r>
              <w:rPr>
                <w:rFonts w:ascii="arial" w:eastAsia="arial" w:hAnsi="arial" w:cs="arial"/>
                <w:b/>
                <w:color w:val="000000"/>
                <w:sz w:val="30"/>
                <w:lang w:val="en-US" w:eastAsia="en-US" w:bidi="ar-SA"/>
              </w:rPr>
              <w:t>POWERS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is for damages for injuries Mr. Claiter received in a motor vehicle accident on January 25, 1999. Due to circumstances referred to in an earlier decision I am unable to deal with the issue of liability other than the seatbelt defence. The parties have agreed that I give a decision on the issue of quantum of damages, and the seatbelt defence. Liability will be dealt with in a separate trial. I have agreed to do so and order that liability and quantum be tried separately. This is my decision on the issue of quantum of damages and the seatbelt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Claiter was driving to work just before 8:00 am on January 25, 1999. There was blowing snow and the roads were slippery. His was the second vehicle in a line of vehicles on the highway. He was travelling west towards Kamloops at approximately 70 kmh in an 80 kmh zone. A vehicle merged from an intersection on the right and the driver in front of Mr. Claiter applied his brakes to avoid it. Mr. Claiter took evasive action as did the driver behind him. Mr. Claiter and the driver behind him both lost control of their vehicles. Mr. Claiter's vehicle crossed the highway and collided with an oncoming truck before hitting and dislodging a concrete barrier.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accident has completely and permanently changed Mr. Claiter's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Claiter was 53 years old at the time of the accident. He was born October 28, 1945. He was married to Sharon Claiter his second wife on June 28, 1994. They live in their riverside home in Kamloops. Mrs. Claiter works as an accounts manager in a bank. She will take early retirement in February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Claiter was active in business before the accident. He completed Grade 10 but left school before completing grade 11. He worked in a plywood mill and for Woodwards' store before going into business on his own. He operated through a company named DAC Enterprises Limited ("DAC"). He began selling cookies and candies on a wholesale basis in a large area in the interior of B.C. Through his travels and contacts he became aware of opportunities to buy and sell assets from liquidations or bankruptcies and government auctions.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Eventually he and four other individuals formed a company Atlantic and Pacific Trading Co. ("A &amp; P") to pursue opportunities to buy and sell assets. Mr. Claiter's company, DAC, owns shares in A &amp; P. Mr. Claiter was the person with the contacts and the organizational skills and the talent to buy and sell at a profit. A &amp; P did so well on one of their liquidations they were able to buy a commercial property and earn ongoing income by renting it out to a number of different tenants. Mr. Claiter was the person responsible for managing the rentals.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Claiter continued in the business of liquidating assets from bankruptcies and business closures sometimes through A &amp; P and sometimes through his own company. He also earned income for A &amp; P or through his own company buying assets at government surplus auctions or anywhere else he could, and reselling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Claiter owned and operated two small convenience stores and sold them at a profit. He owned and operated two lotto outlets and sold them. He and a partner were in the process of importing pottery from Mexico. He was teaching this new partner the ropes.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He had an ability to recognize an opportunity and capitalize on it. He could calculate the potential profit and determine his percentage of profit quickly and accurately in his head. Mrs. Claiter had more than thirty years experience in banking, but he could still impress her with his ability with numbers.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Claiter's entire social life was wrapped up in his business. He would meet with his partners several times a week for breakfast, lunch or dinner. They and their spouses would spend time together at hockey games and dinners. Mr. and Mrs. Claiter would entertain in their home. He and his partners would play golf regularly including trips to Arizona where A &amp; P owned a residence. They travelled to Las Vegas to gamble. Mr. Claiter was a skilled card player who occasionally did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 enjoyed hunting and fishing and did so on a regular basis. He and Mrs. Claiter had travelled and had a trip to Singapore planned, before the accident. They looked forward to travelling more when Mrs. Claiter retired. They spent time at their place at the lake in the summer and took a winter vacation every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Mrs. Claiter estimated their net worth at $1.9 to $2 million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Claiter was very outgoing and a good conversationalist. He was described as the life of the party and enjoyed being the centre of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All of this changed with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first person to get to Mr. Claiter after the accident found him laying across the seat of his truck. He appeared to be unconscious. The right side of the windshield was damaged. Mr. Claiter appeared to have a welt on his forehead. The ambulance crew report indicates he had a score of 3 on the Glasgow Coma Scale. This indicates he could not open his eyes, speak or move. This is the lowest score on the scale. The crew report indicates he also had a depressed frontal skull.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Claiter remained profoundly unconscious when originally seen at the hospital. A CT scan showed hemorrhages in both frontal lobes and some intraventricular blood. An x-ray showed a C2 hangman's fracture. Attempts to stabilize the fracture were unsuccessful initially despite the use of a halo device.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C2 fracture was reduced with surgery and he was placed in a halo device to stabilize his neck. Screws and plates were used to correct the alignment of the bones. The alignment was not 100% but the surgeon felt it was adequate. Traction was also applied. He remained in the halo for approximately 6 weeks after his surgery on February 19, 2000. He required a tracheostomy and a feeding tube.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 slowly regained consciousness after surgery. He had weakness in his left arm and leg but with therapy was able to walk. His long term memory seemed to return but he had quite poor short term memory. Sometimes he would laugh or cry suddenly for no apparent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 was discharged April 30, 1999 requiring ongoing physio and occupational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Claiter was assessed by Dr. Mak, a registered psychologist at the hospital, on three different days. He did not complete the memory portion of the tests. Dr. Mak concluded he had regained most of his cognitive functioning for general day-to-day activities but new learning, abstract information, and organization of complex information were a challenge for him. She recommended ongoing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Claiter's emotional lability has been largely controlled by prescription medication (Zoloft) which he continues to 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Claiter has recovered well from his neck injury but does have some slight weakness in his left arm. He also shuffles when he walks and is cautious going up and down stairs, he is careful with his 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Mrs. Claiter took time off work from the end of April until approximately November of 1999 for Mr. Claiter's hospital release. Mr. Claiter had difficulty with his memory and was emotional. He was weak and required a great deal of sleep. He was very insecure and required a lot of reassurance. Mrs. Claiter would leave notes for him if she went out, to reassure him that she was returning.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He attempted to help with one of his businesses and organize some of his assets at a warehouse he used but was largely unsuccessful in either endeavour.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Mrs. Claiter returned to work and Mr. Claiter was home alone during the day for a number of months. Dr. Filbey, one of his treating doctors, reported in January 2000 that he was tolerating this quite well but was running out of things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Claiter did take a rehabilitative driving program and was able to retain his driver's license.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Claiter required some counselling and training to deal with inappropriate bodily noises but did learn to control those.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Claiter began doing volunteer work at the SPCA and at the Red Cross. He would drive himself to the SPCA and back to the bank where his wife worked. He left the SPCA because he did not enjoy the work he was doing. He was not successful at the Red Cross because he required more supervision than they could give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 cleared tables on his own initiative at a small restaurant and the owners allowed him to continue. The owner later offered to let him volunteer at the kitchen at a local golf course approximately a 30 minute drive from Kamloops. Mr. Claiter was familiar with this golf course and able to drive himself to and from the course. He did this for two seasons but had to stop when he missed his turn on the road and drove by the course ending up a further 30 minutes down the road before returning to Kamloops. This occurred more than once. Mrs. Claiter became concerned about him driving on his own and no longer allows him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Claiter volunteers at a local grocery store. The owner knew him before the accident. It is unclear if Mr. Claiter found this position or if Mrs. Claiter organized it for him. The owner gave evidence. It is apparent that Mr. Claiter is unable to do anything beyond the most straightforward tasks. He does what he likes, greets customers, helps carry groceries and sometimes straightens shelves. The owner is really providing a place for Mr. Claiter to go for a few hours each day. Mr. Claiter does not provide any help that the owner could justify paying him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Claiter also volunteers at the kitchen in a seniors' complex. The supervisor there gave very compelling evidence about his limited ability to concentrate on a task and inability to carry out more than the simplest chores. He has to be told where things are and be given direction each day. His work has to be checked and he has to be prompted frequently. He did work there five days a week each morning but this had to be reduced to three days a week because the supervisor did not have time to give him all the help he needed. There were problems with another volunteer because he had to repeatedly ask her for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He now spends the extra time at the grocery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Claiter and his wife have developed a routine that seems to work for them. She gets up early and goes for a short run while he sleeps. He gets up and with some prompting from her is able to shower and dress. They have a breakfast she prepares. They drive to town, sometimes he drives sometimes she does. She prepares or dictates a note for him that tells him exactly where he is to go and when during the day. He then keeps the note with him and refers to it when he forgets or becomes confused. He relies heavily on it and constantly checks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He will occasionally leave the grocery store early and show up at the bank where Mrs. Claiter works. He may disturb the customers with inappropriate comments or gestures and the other staff try to help Mrs. Claiter deal with the situation and find a place for him to wait. He will spend hours working on his word puzzles if they find an empty office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He joins Mrs. Claiter for lunch each day and she has to remind him not to eat or drink too quickly. It is difficult to share a meal with him because he will quickly eat everything.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and Mrs. Claiter drive home in the evening, she prepares dinner and he occupies himself by playing games on the computer. He has a set of directions that tell him how to turn it on and access the games.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He usually goes to bed early and sleeps through the night. He wakes up occasionally in the middle of the night and showers and dresses for the day. Sometimes he will empty the cupboards for no apparent reason and Mrs. Claiter will have to replace everything. Occasionally he will disturb her looking for a penny he thinks he has lost, including looking under the mattress.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Mrs. Claiter will go for a short run in the evening. She always tells Mr. Claiter that she will be back and leaves him a note in case he forgets.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Claiter will often ask the same question over and over forgetting that he has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Claiter can help with chores around the house if Mrs. Claiter prompts and supervises him. He becomes fatigued and unable to complete work he would have easily done before the accident. Mrs. Claiter is concerned about his judgment and his safety. He has wanted to start a fire to burn some debris by using gasoline. He was upset when she would not let him use a chain saw to cut down a tree, in what she felt was an unsafe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Claiter did go to Arizona on a golf holiday with his partners in the spring of 2000. He was a serious golfer before the accident. He was unable and uninterested in playing golf. He did not participate in their activities without a great deal of encouragement and then only marginally. He returned to his word puzzles if left alone. They assigned someone to watch him while they were in Las Vegas to make sure he did not get lost. They tried to interest him in blackjack, a game he enjoyed and played well before the accident. He could not remember how to play and was not interested. He picked things up on the street and collected brochures that were of no use to him. It was not a successful trip for him or for his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Mrs. Claiter said he looked like a lost soul when he got off the plane. He had not worn many of the clothes she packed for him. In ten days he only wore three shirts. She realized he could not really cope on his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He has very little contact with his partners. They have tried to talk with him but he simply withdraws after a few words. He does not cope well with the phone, he cannot think of what to 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He has gone on a fishing trip with one of his friends and a number of other people. He managed, but everyone looked out for him. He has gone hunting with others but one of his friends who has spent time with him would not trust his judgment with a gun. This friend would not drive with him either. Mr. Claiter was described as more difficult to deal with than the friend's 4 1/2 year old granddaughter.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Claiter can get a simple snack for himself but would not be able to make a sandwich.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Mrs. Claiter is reluctant to leave him alone for any length of time and has to keep an eye on him, even when she is doing other things. She has left him in the care of friends on occasion, but is reluctant to do so because of some of the personal hygiene issues that may embarrass him. He has occasionally defecated in his pants and she now carries a change of clothes for him in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Kaushansky, a neuropsychologist, met with Mr. and Mrs. Claiter, examined Mr. Claiter and gave him a number of tests. Mr. Claiter was still emotionally labile at the time and that may have affected some of the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Claiter did well on some of the tests and seemed to have retained most of his pre-accident memory. However, he had problems with multi-tasking or divided attention. His mental processing appeared weak and lower than expected. His memory was impaired especially for verbal material that had a context such as prose.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Kaushansky said that with a frontal lobe injury, the controlled testing environment could create a false impression of the person's ability because the controlled situation is artificial. The patient may have more trouble in the real world where they have to deal with a variety of situations and organize and multi-task.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Kaushansky believed that the problems reported by Mrs. Claiter and the CT scan were consistent with a severe brain injury and severe impairment, and frontal lobe dysfunction. I accept that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Kaushansky said in his report that Mr. Claiter has changed from being a very autonomous businessman to now being quite dependant on his wife and his altered environment to provide structure and clues as to the appropriate response or the next move. I accept that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He has cognitive deficiencies, with weak memory, deficits of more complex attention, and confusion with an abundance of stimuli. He has post-traumatic personality problems - impulsive, excess dependency, poor judgment, absentmindedness, perplexity, diminished organization and need for 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Kaushansky also said issues of average intelligence and his many spared and intact cognitive features do not attenuate the extent of his injuries, and the profound consequences they will continue to have for his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Kaushansky considered the nature of the injury, the persistent problems, Mr. Claiter's age and the input required from his wife and others and concluded he will most probably:</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remain competitively unemployable;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continue to be reliant on his wife for cues and cognitive assistance in the home and community, and require assistance with regard to adaptive functional skills;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continue to require support from other community based sources - life skill workers; and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require counselling of a cognitive behavioural nature and Mrs. Claiter will require some respite and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Kaushansky's assessment is consistent with the evidence of Mrs. Claiter, and the people who knew Mr. Claiter before the accident and the people he is involved with in his volunteer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Mrs. Claiter may be overly protective of him and that may affect her opinion of the amount of assistance he needs. However, friends and associates' evidence indicates a dramatic change in his level of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Claiter has recovered well from his other injuries, but his brain injury has left him severely impaired in many important ways while leaving him able, with assistance, to carry out some basic functions.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Fortunately Mr. Claiter appears to be relatively happy. He is aware of changes in his functioning and is sometimes frustrated but is relatively content. He is able to carry on conversations with some of the seniors at the home where he volunteers but has more trouble conversing with people he knew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Certainly in many ways he is not the person he was. He really is like a child in many aspects of his functioning despite his ability to drive and do some basic things for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Mr. Claiter's counsel argues the non-pecuniary damages should be in the range of $175,000.00 - $200,000.00, and refers to Mulholland v. Riley Estate </w:t>
      </w:r>
      <w:hyperlink r:id="rId43"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and the cases referred to in that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defendants' counsel points out that the Court of Appeal said the award at trial in Mulholland (supra) was not so inordinately high as to allow the Court of Appeal to substitute its opinion but did not necessarily agree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Defence counsel suggests the appropriate range is $110,000.00 - $150,000.00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defendants also point out that the plaintiff in the Mulholland case was fifteen years of age. The defendants refer to the decision Leach v. Glada </w:t>
      </w:r>
      <w:hyperlink r:id="rId44" w:history="1">
        <w:r>
          <w:rPr>
            <w:rFonts w:ascii="arial" w:eastAsia="arial" w:hAnsi="arial" w:cs="arial"/>
            <w:i/>
            <w:color w:val="0077CC"/>
            <w:sz w:val="20"/>
            <w:u w:val="single"/>
            <w:shd w:val="clear" w:color="auto" w:fill="FFFFFF"/>
            <w:lang w:val="en-US" w:eastAsia="en-US" w:bidi="ar-SA"/>
          </w:rPr>
          <w:t>[1992] B.C.J. No. 986</w:t>
        </w:r>
      </w:hyperlink>
      <w:r>
        <w:rPr>
          <w:rFonts w:ascii="arial" w:eastAsia="arial" w:hAnsi="arial" w:cs="arial"/>
          <w:color w:val="000000"/>
          <w:sz w:val="20"/>
          <w:lang w:val="en-US" w:eastAsia="en-US" w:bidi="ar-SA"/>
        </w:rPr>
        <w:t xml:space="preserve"> (B.C.S.C.). Non-pecuniary damages were set at $110,000.00 for a 70 year old man who had suffered a brain injury rendering him incompetent to give evidence, fractured ribs, chip fracture of the right iliac crest of the pelvis and lacerations and contusions to the liver. The extent of impairment in the Leach case was greater than in the present case. In Leach, the plaintiff remained in a fairly constant state of confusion and disorientation as to time, place and people and lacked insight into his own problems. He had no day-to-day memory, and disruption of long-term memory. He also had difficulties with mobility and used a wheelchair and a walker. The court concluded that Mr. Leach required constant 24 hour a day care and supervision at all levels. His condition was certainly much worse than that of Mr. Claiter. However, that case was over ten years ago, and Mr. Leach was 17 years older than Mr. Claiter.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defendant also referred to Smith v. Currie </w:t>
      </w:r>
      <w:hyperlink r:id="rId45" w:history="1">
        <w:r>
          <w:rPr>
            <w:rFonts w:ascii="arial" w:eastAsia="arial" w:hAnsi="arial" w:cs="arial"/>
            <w:i/>
            <w:color w:val="0077CC"/>
            <w:sz w:val="20"/>
            <w:u w:val="single"/>
            <w:shd w:val="clear" w:color="auto" w:fill="FFFFFF"/>
            <w:lang w:val="en-US" w:eastAsia="en-US" w:bidi="ar-SA"/>
          </w:rPr>
          <w:t>[1998] B.C.J. No. 1130</w:t>
        </w:r>
      </w:hyperlink>
      <w:r>
        <w:rPr>
          <w:rFonts w:ascii="arial" w:eastAsia="arial" w:hAnsi="arial" w:cs="arial"/>
          <w:color w:val="000000"/>
          <w:sz w:val="20"/>
          <w:lang w:val="en-US" w:eastAsia="en-US" w:bidi="ar-SA"/>
        </w:rPr>
        <w:t xml:space="preserve"> (B.C.S.C.). The plaintiff was 58 years old and suffered a severe traumatic brain injury. Non-pecuniary damages were fixed at $150,000.00.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find the cases of Mulholland and the case of Smith and Currie more helpful than Leach. I find that an appropriate award for non-pecuniary damages in this case is $175,000.00. These injuries have dramatically affected Mr. Claiter's level of functioning and the way in which he lives his life. They have changed his life more than a physical disability would.</w:t>
      </w:r>
      <w:r>
        <w:rPr>
          <w:rFonts w:ascii="arial" w:eastAsia="arial" w:hAnsi="arial" w:cs="arial"/>
          <w:sz w:val="20"/>
          <w:lang w:val="en-US" w:eastAsia="en-US" w:bidi="ar-SA"/>
        </w:rPr>
        <w:cr/>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accident occurred approximately five years ago. The plaintiff says that a fair measure of the past income loss is between $150,000.00 and $200,000.00. The defendant suggests that an appropriate figure is zero. The difference is explained by the different approach to the evidence and to the law on 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Prior to the accident, Mr. Claiter was receiving income through DAC and A &amp; P, and from a property that he had rented out. He had been involved in the liquidation of businesses including a used sporting goods store in Kamloops and a sporting goods store in Salmon Arm. In the Kamloops store, Mr. Claiter purchased the assets of this store and sold them. In the Salmon Arm store, he acted on behalf of a trustee in bankruptcy and liquidated the assets for a fee and a commission. Some documentation is available with regard to the revenue and expenses regarding these two liquidations. Mr. Claiter was involved in the liquidation of a store referred to as Lynne's Special Place and a photography store. There are no records to indicate whether Mr. Claiter was successful in those two endeavours.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parties have hired their own accountants to review the available records and arrive at an estimate of the profitability of these liquidations. The plaintiffs' expert calculated the loss over a four year period from 1999 to 2002, as a range of $88,300.00 to $129,650.00. This was based on the assumption that Mr. Claiter would be involved in three or four liquidation sales a year earning a gross profit of $12,000.00 per sale. He arbitrarily affixed the costs of each sale at $2,000.00 to arrive at a net profit before income tax of $10,000.00 per sale. Income tax was calculated on the assumption that the income from the bankruptcy sales was his only source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plaintiffs argue that Mr. Claiter was an astute businessman, as evidenced by the testimony of his former partners, and the net worth that he and his wife had accumulated before the accident. The plaintiffs argued that even if Mr. Claiter did not show large amounts of taxable income, he did demonstrate the ability to earn money by buying and selling businesses. Mr. Claiter had owned and operated two convenience stores which he sold for a profit which was shown as capital gains on his income tax returns.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defendants argue that Mr. Claiter had been less active prior to the accident. He had sold his businesses because he wished to get out of the retail business and had only conducted two liquidations in seventeen months before the accident, for which records were produced. The defendants also argue that it is reasonable to assume that Mr. Claiter would have begun slowing down and working towards retirement. Mrs. Claiter had planned to retire either at age 50 or 53, before the accident, and it was their intention to spend the summers at the lake and the winters travelling in warmer climates.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defendants also disagree with the plaintiffs' analysis of the profitability of the liquidations. The accountant reviewed the actual records available and the plaintiffs' accountant's opinion. The defendants' accountant said it is more realistic to estimate the number of sales to be 1.4 sales per year rather than 3 or 4. The defendants' accountant based this on the two pre-accident liquidations for which records were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defendants' accountant reviewed the available records with regard to the liquidation sale and found that the Kamloops sale recorded expenses of $4,076.00. In addition, there were $7,700.00 in expenses wrongly recorded to another business that should have been recorded to the Salmon Arm sale. The total expenses are approximately $11,800.00 for both sales, or approximately $5,900.00 per sale. The approximate gross profit on each sale was $12,000.00 for a net of $6,100.00 per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evidence of Greg Ariano was that he was a partner with Mr. Claiter in both of these sales and shared the profits. This would leave a profit of $3,050.00 per sale for Mr. Claiter. This would leave a pre-tax income of $4,270.00 per year at 1.4 sales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defendant argues that given the income shown on Mr. Claiter's income tax returns for the years 1999 to 2002, less the amount he received as CPP benefits, which resulted directly from the accident, plus income at $15,000.00 per year as interest he earned on a $150,000.00 loan to a friend, the marginal tax rate would be approximately 40%, at least in some of the years, leaving net income of approximately $1,800.00.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It was argued that given the taxes on this income and Mrs. Claiter's retirement and their plans, it is unlikely Mr. Claiter would have pursued the liquidation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Claiter was involved in a new business referred to as Dos Amigos. He and a friend, Mr. Ariano, travelled to Mexico in December of 1998 and arranged to import a large amount of pottery. They had a space available to sell these materials in Kamloops. The pottery arrived shortly after Mr. Claiter's accident. Mr. Ariano was learning the business from Mr. Claiter and was unaware of how they would display and sell the pottery. He said that essentially he performed the grunt labour and Mr. Claiter had all the organizational skills. With some help from Mr. Claiter's other partners, Mr. Ariano was able to set up a pottery store and disposed of most of the pottery over approximately six months. Mr. Claiter was unable to assist in any meaningful way. The losses on the pottery business attributable to Mr. Claiter alone appear to be just over $9,000.00. They may be less than that if the additional $7,700.00 in expenses that related to the Salmon Arm sports sale are taken out. However, the losses would still exceed $5,000.00.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Claiter, by all of the evidence, was an excellent salesman. However, the evidence does not allow me to reach the conclusion that he and Mr. Ariano would have made money on the pottery business if Mr. Claiter had been available to assist. I would be merely speculating if I reached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am satisfied, on the balance of probabilities that, but for the accident, Mr. Claiter would have continued to work. He was only 53 years of age and, on the evidence of his partners and his wife, a person very much involved in and interested in business. It was the basis of a large part of his social life. I find that Mr. Claiter would have continued to be actively involved in business, at least until Mrs. Claiter's retirement, and thereafter, even if at a reduced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There is conflict in Mrs. Claiter's evidence between the trial and her examinations for discovery and some comments she has made to some of the occupational therapists about her plans to retire. I am satisfied that she and Mr. Claiter did discuss the possibility that she might retire at age 50. However, I am also satisfied that she would not have done so because of the impact it would have had on her pension. It is a matter they discussed but was not a realistic option. She would have lost all of the benefits that she had from her employment and would not be able to begin collecting a pension until her normal retirement age of approximately 64. By waiting until she had worked for the bank for 35 years, being February 2004, she would be able to begin collecting a reduced pension immediately and would continue to have all of the benefits of 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Given Mr. Claiter's work history, this is not a case where the "calculation" of the loss is possible. This is a case where an assessment is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Mr. Claiter argues that I should find that there was a loss and that I must do my best to try and quantify it, no matter how difficult the task may be (Webb and Napp Canada Ltd. v. City of Edmonton, </w:t>
      </w:r>
      <w:hyperlink r:id="rId46" w:history="1">
        <w:r>
          <w:rPr>
            <w:rFonts w:ascii="arial" w:eastAsia="arial" w:hAnsi="arial" w:cs="arial"/>
            <w:i/>
            <w:color w:val="0077CC"/>
            <w:sz w:val="20"/>
            <w:u w:val="single"/>
            <w:shd w:val="clear" w:color="auto" w:fill="FFFFFF"/>
            <w:lang w:val="en-US" w:eastAsia="en-US" w:bidi="ar-SA"/>
          </w:rPr>
          <w:t>[1970] S.C.R. 588</w:t>
        </w:r>
      </w:hyperlink>
      <w:r>
        <w:rPr>
          <w:rFonts w:ascii="arial" w:eastAsia="arial" w:hAnsi="arial" w:cs="arial"/>
          <w:color w:val="000000"/>
          <w:sz w:val="20"/>
          <w:lang w:val="en-US" w:eastAsia="en-US" w:bidi="ar-SA"/>
        </w:rPr>
        <w:t>. Mr. Claiter argues that it is reasonable to assume he would have continued to make $25,000.00 to $35,000.00 per year by liquidation sales and had a reasonable expectation of deriving income from the Dos Amigos business. Therefore, over a five year period, the loss should be in the range $125,000.00 to $200,000.00.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Webb case involved a breach of copyright. Hall J. speaking for the majority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 that assessment is difficult is no ground for awarding nominal damages: Messer v. J. Clark &amp; Son Ltd. [</w:t>
      </w:r>
      <w:hyperlink r:id="rId47" w:history="1">
        <w:r>
          <w:rPr>
            <w:rFonts w:ascii="arial" w:eastAsia="arial" w:hAnsi="arial" w:cs="arial"/>
            <w:i/>
            <w:color w:val="0077CC"/>
            <w:sz w:val="20"/>
            <w:u w:val="single"/>
            <w:shd w:val="clear" w:color="auto" w:fill="FFFFFF"/>
            <w:lang w:val="en-US" w:eastAsia="en-US" w:bidi="ar-SA"/>
          </w:rPr>
          <w:t>(1961), 27 D.L.R. (2d) 766</w:t>
        </w:r>
      </w:hyperlink>
      <w:r>
        <w:rPr>
          <w:rFonts w:ascii="arial" w:eastAsia="arial" w:hAnsi="arial" w:cs="arial"/>
          <w:color w:val="000000"/>
          <w:sz w:val="20"/>
          <w:lang w:val="en-US" w:eastAsia="en-US" w:bidi="ar-SA"/>
        </w:rPr>
        <w:t>]. The broad general rule is that damages which are uncertain, contingent and speculative in their nature cannot be made a basis of recovery; but this rule against recovery of uncertain damages is directed against uncertainty as to the cause rather than as to the extent or measure: Kranz v. McCutcheon [</w:t>
      </w:r>
      <w:hyperlink r:id="rId48" w:history="1">
        <w:r>
          <w:rPr>
            <w:rFonts w:ascii="arial" w:eastAsia="arial" w:hAnsi="arial" w:cs="arial"/>
            <w:i/>
            <w:color w:val="0077CC"/>
            <w:sz w:val="20"/>
            <w:u w:val="single"/>
            <w:shd w:val="clear" w:color="auto" w:fill="FFFFFF"/>
            <w:lang w:val="en-US" w:eastAsia="en-US" w:bidi="ar-SA"/>
          </w:rPr>
          <w:t>(1920), 18 O.W.N. 395</w:t>
        </w:r>
      </w:hyperlink>
      <w:r>
        <w:rPr>
          <w:rFonts w:ascii="arial" w:eastAsia="arial" w:hAnsi="arial" w:cs="arial"/>
          <w:color w:val="000000"/>
          <w:sz w:val="20"/>
          <w:lang w:val="en-US" w:eastAsia="en-US" w:bidi="ar-SA"/>
        </w:rPr>
        <w:t>]. There is no uncertainty as to cause in the instant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defendants argue that the plaintiff must prove, on the balance of probabilities, not only the causation of a loss, but the amount of damages themselves. The defendant refers to the decisions Schellak v. Barr, </w:t>
      </w:r>
      <w:hyperlink r:id="rId49" w:history="1">
        <w:r>
          <w:rPr>
            <w:rFonts w:ascii="arial" w:eastAsia="arial" w:hAnsi="arial" w:cs="arial"/>
            <w:i/>
            <w:color w:val="0077CC"/>
            <w:sz w:val="20"/>
            <w:u w:val="single"/>
            <w:shd w:val="clear" w:color="auto" w:fill="FFFFFF"/>
            <w:lang w:val="en-US" w:eastAsia="en-US" w:bidi="ar-SA"/>
          </w:rPr>
          <w:t>[2003] B.C.J. No. 5</w:t>
        </w:r>
      </w:hyperlink>
      <w:r>
        <w:rPr>
          <w:rFonts w:ascii="arial" w:eastAsia="arial" w:hAnsi="arial" w:cs="arial"/>
          <w:color w:val="000000"/>
          <w:sz w:val="20"/>
          <w:lang w:val="en-US" w:eastAsia="en-US" w:bidi="ar-SA"/>
        </w:rPr>
        <w:t xml:space="preserve"> (B.C.C.A.) at p. 7, [paragraph] 51 and Sales v. Clarke, </w:t>
      </w:r>
      <w:hyperlink r:id="rId50" w:history="1">
        <w:r>
          <w:rPr>
            <w:rFonts w:ascii="arial" w:eastAsia="arial" w:hAnsi="arial" w:cs="arial"/>
            <w:i/>
            <w:color w:val="0077CC"/>
            <w:sz w:val="20"/>
            <w:u w:val="single"/>
            <w:shd w:val="clear" w:color="auto" w:fill="FFFFFF"/>
            <w:lang w:val="en-US" w:eastAsia="en-US" w:bidi="ar-SA"/>
          </w:rPr>
          <w:t>[1998] B.C.J. No. 2334</w:t>
        </w:r>
      </w:hyperlink>
      <w:r>
        <w:rPr>
          <w:rFonts w:ascii="arial" w:eastAsia="arial" w:hAnsi="arial" w:cs="arial"/>
          <w:color w:val="000000"/>
          <w:sz w:val="20"/>
          <w:lang w:val="en-US" w:eastAsia="en-US" w:bidi="ar-SA"/>
        </w:rPr>
        <w:t xml:space="preserve"> (B.C.C.A.) at pp. 3 and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Schellak the Court of Appeal reduced the trial judge's award for past income loss from $120,000.00 to $70,000.00. The court looked at the plaintiff's work history as a mature adult who had been in the workplace for many years and was within fifteen years of a common retirement age. The court said at [paragraph] 47 in referring to the appellants' 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Their other submission is that the trial judge based her assessment on the "real possibility" of income being at a certain level. The appellants submit that the standard to be met is a balance of probabilities and that the real possibility test is applicable to future events, but does not apply to past loss of income. The appellants are correct in that submission. I find it unnecessary to quote from passages confirming that proposition but for reference will cite Steenblok v. Funk </w:t>
      </w:r>
      <w:hyperlink r:id="rId51"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(C.A.) and Sales v. Clarke </w:t>
      </w:r>
      <w:hyperlink r:id="rId50" w:history="1">
        <w:r>
          <w:rPr>
            <w:rFonts w:ascii="arial" w:eastAsia="arial" w:hAnsi="arial" w:cs="arial"/>
            <w:i/>
            <w:color w:val="0077CC"/>
            <w:sz w:val="20"/>
            <w:u w:val="single"/>
            <w:shd w:val="clear" w:color="auto" w:fill="FFFFFF"/>
            <w:lang w:val="en-US" w:eastAsia="en-US" w:bidi="ar-SA"/>
          </w:rPr>
          <w:t>(1998), 57 B.C.L.R. (3d) 36</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Sales case dealt with a computer salesman involved in a motor vehicle accident. Prior to the accident he had been a successful salesman but, after the accident, over an eighteen month period, was able to effect no sales and was fired. He alleged his lack of success was as a result of the injuries sustained in the accident. The trial judge found there was no causal connection between the accident and the loss, and that the plaintiff had failed to prove that connection based on the balance of probabilities. The plaintiff argued on appeal that the proper test for determining a past loss was to determine if there was a real and substantial probability similar to the test applied to a future hypothetical fact such as future lost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Court of Appeal found that the trial judge had applied the correct test. In Sales the court made the following comments in [paragraph] 9 through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9 The thrust of the plaintiff's argument in this Court, as I apprehend it, is that whether the plaintiff would have earned income in the period from October 1992 to early 1994, and how much income he would have earned in that period if he had not been injured in the accident of 11 August 1992 are "past hypothetical facts". Counsel says that a past hypothetical fact need be proven only to the same standard as a future hypothetical fact; namely, by showing that it is a real and substantial possibility. He relies on this passage from Athey, </w:t>
      </w:r>
      <w:hyperlink r:id="rId52"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470-471: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Hypothetical events (such as how the plaintiff's life would have proceeded without the tortious injury) or future events need not be proven on a balance of probabilities. Instead, they are simply given weight according to their relative likelihood: Mallett v. McMonagle, [1970 A.C. 166 (H.L.); Malec v. J.C. Hutton Proprietary Ltd. (1990), 169 C.L.R. 638 (Aust. H.C.); Janiak v. Ippolito, </w:t>
      </w:r>
      <w:hyperlink r:id="rId53"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xml:space="preserve">. For example, if there is a 30 percent chance that the plaintiff's injuries will worsen, then the damage award may be increased by 30 percent of the anticipated extra damages to reflect that risk. A future or hypothetical possibility will be taken into consideration as long as it is a real and substantial possibility and not mere speculation: Schrump v. Koot </w:t>
      </w:r>
      <w:hyperlink r:id="rId54" w:history="1">
        <w:r>
          <w:rPr>
            <w:rFonts w:ascii="arial" w:eastAsia="arial" w:hAnsi="arial" w:cs="arial"/>
            <w:i/>
            <w:color w:val="0077CC"/>
            <w:sz w:val="20"/>
            <w:u w:val="single"/>
            <w:shd w:val="clear" w:color="auto" w:fill="FFFFFF"/>
            <w:lang w:val="en-US" w:eastAsia="en-US" w:bidi="ar-SA"/>
          </w:rPr>
          <w:t>(1977), 18 O.R. (2d) 337</w:t>
        </w:r>
      </w:hyperlink>
      <w:r>
        <w:rPr>
          <w:rFonts w:ascii="arial" w:eastAsia="arial" w:hAnsi="arial" w:cs="arial"/>
          <w:color w:val="000000"/>
          <w:sz w:val="20"/>
          <w:lang w:val="en-US" w:eastAsia="en-US" w:bidi="ar-SA"/>
        </w:rPr>
        <w:t xml:space="preserve"> (C.A.); Graham v. Rourke </w:t>
      </w:r>
      <w:hyperlink r:id="rId55" w:history="1">
        <w:r>
          <w:rPr>
            <w:rFonts w:ascii="arial" w:eastAsia="arial" w:hAnsi="arial" w:cs="arial"/>
            <w:i/>
            <w:color w:val="0077CC"/>
            <w:sz w:val="20"/>
            <w:u w:val="single"/>
            <w:shd w:val="clear" w:color="auto" w:fill="FFFFFF"/>
            <w:lang w:val="en-US" w:eastAsia="en-US" w:bidi="ar-SA"/>
          </w:rPr>
          <w:t>(1990), 74 D.L.R. (4th) 1</w:t>
        </w:r>
      </w:hyperlink>
      <w:r>
        <w:rPr>
          <w:rFonts w:ascii="arial" w:eastAsia="arial" w:hAnsi="arial" w:cs="arial"/>
          <w:color w:val="000000"/>
          <w:sz w:val="20"/>
          <w:lang w:val="en-US" w:eastAsia="en-US" w:bidi="ar-SA"/>
        </w:rPr>
        <w:t xml:space="preserve"> (Ont.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contrast, past events must be proven, and once proven they are treated as certainties.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the court must declare whether the defendant was negligent, and that conclusion cannot be couched in terms of probabilities. Likewise, the negligent conduct either was or was not a cause of the injury. The court must decide, on the available evidence, whether the thing alleged has been proven; if it has, it is accepted as a certainty: Mallett v. McMonagle supra, Malec v. J.C. Hutton Proprietary Ltd., supra; Cooper-Stephenson, supra at pp. 67-81.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10 Mr. Justice Major made these comments in the part of his judgment entitled "Adjustments for Contingencies", and the paragraph immediately preceding the passage relied upon by the plaintiff reads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respondents argued that the trial judge's assessment of probabilities in causation was similar to the assessment of probabilities routinely undertaken by courts in adjusting damages to reflect contingencies. This argument overlooks the fundamental distinction between the way in which courts deal with alleged past events and the way in which courts deal with potential future or hypothetical events.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11 Read in context, it is clear to me that the discussion of "hypothetical events" is limited to what will happen in the future or what would have happened in the future if something had not happened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court concludes at [paragraphs] 15 and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15 I see nothing in Athey to support the plaintiff's argument that the onus of proof concerning possible future events is applicable to past events. The issue which the plaintiff would characterize as a "past hypothetical fact" in this case is nothing more than the question of whether a causal relationship has been established between two past events; namely, injury sustained in an accident and diminished or lost income suffered by the plaintiff after the accident occurred.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16 The question traditionally posed by tort lawyers in such circumstances would be: But for the accident and injury, what income would the plaintiff have earned? That question does not raise any hypothetical question of fact. It asks simply whether there is a causal link between two past events. Well-settled law requires proof of causation for a past loss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am satisfied that the defendant is correct and that a plaintiff must prove a past loss on the balance of probabilities. This proof must be proof of causation and proof of the loss. However, I also agree with plaintiff's counsel that if the plaintiff has proven on a balance of probabilities that he has suffered a loss, it is the court's duty to attempt to assess that loss, even if it is not possible to calculate it precisely.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the present case the plaintiff is unable to prove any loss relating to the Dos Amigos business. I am satisfied, however, that the plaintiff has proven on the balance of probabilities, or stated more simply, proven that it is more likely than not that he would have continued to earn income through the pursuit of liquidation sales. He would have pursued those as they became available and appeared profitable. Based on his past sales I find that he would have conducted approximately two sales per year. The net profits would have been approximately $6,000.00. He may or may not have shared those with a partner. This would have generated pre-tax income of $12,000.00. If he shared them with a partner, it would be one half that amount $6,000.00. His taxable rate would vary from year to year depending on income. I also find it is more likely than not that, as Mr. Claiter trained his partner, they would have increased their effectiveness and their profitability. Even with a partner, I am satisfied that the loss of income is in the range of $8,000.00 to $10,000.00 per year. This, again, is an assessment rather than a calculation for the purposes of assessing the past wage loss from the time of the accident to the time of the trial, almost five years. I fix the amount at $45,000.00.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applicable tax rate to be applied is the highest marginal rate that the plaintiff would have after considering all of his income, except the CPP benefits. The reason is that he is to be compensated for what he has actually lost after consideration of tax and it is artificial to suggest that this loss be treated at the lowest marginal rate as if it were the first dollar he earned, rather than the last dollar he earned. He would have had the other income despite the accident and anything he would have earned over and above that would have raised his tax rates, and his net income after tax would be the same. The parties have Mr. Claiter's income tax returns for the years, and can calculate the income tax that would have been deducted based on $9,000.00 per year income. They can then calculate the loss with liberty to apply if they can not agree on the correct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determining the amount to award for past income loss, although the plaintiff must prove it on the balance of probabilities, it is not necessary to prove a precise calculation. This case does not allow a calculation but requires an assessment.</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Income and Impairment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 claims future loss of income or earning capacity in the amount of $300,000.00 to $350,000.00. This is based on the proposition that Mr. Claiter could be expected to earn approximately $30,000.00 per annum. Applying the multiplier provided by the plaintiff's expert, Mr. Carson, the present value of an annual sum of $1,000.00 from date of trial to Mr. Claiter's 65th birthday is $6,234.00. Using the multiplier provided for future care costs which is at a different discount rate (3.5% as opposed to 2.5%), the present value of $1,000.00 per annum to age 70 is $10,259.00 and to age 75, $12,323.00. The plaintiff says that the annual loss of $30,000.00 to age 65 would be $187,020.00, to age 70 $307,770.00, and to age 75 $366,960.00. The plaintiff argues that Mr. Claiter's interest in business and his ability to control his own time are all indications that he would have continued to work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defendant suggests that the loss of future earning capacity or future loss of income should be determined at zero. The defendants argue that according to the business records provided by Mr. Claiter, in fact, he lost income during the six years prior to the accident. Mr. Claiter had earned income selling businesses that he owned but it was pointed out that he had sold all of his businesses before the accident and there is no evidence of any intention to purchase or sell further businesses after the accident. The Dos Amigos business lost money and the liquidations provided minimal income. Given Mrs. Claiter's retirement and her evidence about their plans to travel, it was argued that it is more likely than not Mr. Claiter would not be earning income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Future income loss and diminished earning capacity are one head of damage sometimes referred to as loss or impairment of future earning capacity. (Morris v. Rose Estate, </w:t>
      </w:r>
      <w:hyperlink r:id="rId56" w:history="1">
        <w:r>
          <w:rPr>
            <w:rFonts w:ascii="arial" w:eastAsia="arial" w:hAnsi="arial" w:cs="arial"/>
            <w:i/>
            <w:color w:val="0077CC"/>
            <w:sz w:val="20"/>
            <w:u w:val="single"/>
            <w:shd w:val="clear" w:color="auto" w:fill="FFFFFF"/>
            <w:lang w:val="en-US" w:eastAsia="en-US" w:bidi="ar-SA"/>
          </w:rPr>
          <w:t>[1996] B.C.J. No. 999</w:t>
        </w:r>
      </w:hyperlink>
      <w:r>
        <w:rPr>
          <w:rFonts w:ascii="arial" w:eastAsia="arial" w:hAnsi="arial" w:cs="arial"/>
          <w:color w:val="000000"/>
          <w:sz w:val="20"/>
          <w:lang w:val="en-US" w:eastAsia="en-US" w:bidi="ar-SA"/>
        </w:rPr>
        <w:t xml:space="preserve"> (B.C.C.A.) p. 7, [paragraph]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In determining the amount to be allowed under this head of damage, the court is really conducting an assessment rather than a calculation with mathematical certainty. It was stated by the majority of our Court of Appeal in the decision Hay v. Hofmann, </w:t>
      </w:r>
      <w:hyperlink r:id="rId57" w:history="1">
        <w:r>
          <w:rPr>
            <w:rFonts w:ascii="arial" w:eastAsia="arial" w:hAnsi="arial" w:cs="arial"/>
            <w:i/>
            <w:color w:val="0077CC"/>
            <w:sz w:val="20"/>
            <w:u w:val="single"/>
            <w:shd w:val="clear" w:color="auto" w:fill="FFFFFF"/>
            <w:lang w:val="en-US" w:eastAsia="en-US" w:bidi="ar-SA"/>
          </w:rPr>
          <w:t>[1999] B.C.J. No. 77</w:t>
        </w:r>
      </w:hyperlink>
      <w:r>
        <w:rPr>
          <w:rFonts w:ascii="arial" w:eastAsia="arial" w:hAnsi="arial" w:cs="arial"/>
          <w:color w:val="000000"/>
          <w:sz w:val="20"/>
          <w:lang w:val="en-US" w:eastAsia="en-US" w:bidi="ar-SA"/>
        </w:rPr>
        <w:t xml:space="preserve"> (B.C.C.A.), p 24, [paragraph] 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67 I believe that a consistent theme running through the authorities is that a trial judge, in deciding on an award of damages under the heading of anticipated future loss, whatever term one actually uses, ought to endeavour to make an informed estimate or assessment of anticipated loss as opposed to merely undertaking to do a computation. Because one is considering the future which has about it always an aspect of the unknowable, contingencies positive and negative fall to be considered. Ultimately, a best estimate is required and while there will almost invariable be mathematical calculations to be considered, a purely mathematical approach will usually not be appropriate because such an analysis is too limited in scope.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court should also give adequate consideration to the pre-accident employment earnings and history. (Schellak v. Barr, </w:t>
      </w:r>
      <w:hyperlink r:id="rId49" w:history="1">
        <w:r>
          <w:rPr>
            <w:rFonts w:ascii="arial" w:eastAsia="arial" w:hAnsi="arial" w:cs="arial"/>
            <w:i/>
            <w:color w:val="0077CC"/>
            <w:sz w:val="20"/>
            <w:u w:val="single"/>
            <w:shd w:val="clear" w:color="auto" w:fill="FFFFFF"/>
            <w:lang w:val="en-US" w:eastAsia="en-US" w:bidi="ar-SA"/>
          </w:rPr>
          <w:t>[2003] B.C.J. No. 5</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Court of Appeal in Hoffman also dealt with the standard of proof that was required for loss of impairment of future earning capacity. Beginning at [paragraph] 63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63 Perhaps the leading case in this jurisdiction concerning the question of how to approach the question of an award of damages for future loss is the case of Steenblok v. Funk </w:t>
      </w:r>
      <w:hyperlink r:id="rId51"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(leave to appeal denied, </w:t>
      </w:r>
      <w:hyperlink r:id="rId58" w:history="1">
        <w:r>
          <w:rPr>
            <w:rFonts w:ascii="arial" w:eastAsia="arial" w:hAnsi="arial" w:cs="arial"/>
            <w:i/>
            <w:color w:val="0077CC"/>
            <w:sz w:val="20"/>
            <w:u w:val="single"/>
            <w:shd w:val="clear" w:color="auto" w:fill="FFFFFF"/>
            <w:lang w:val="en-US" w:eastAsia="en-US" w:bidi="ar-SA"/>
          </w:rPr>
          <w:t>[1990] S.C.C.A. No. 327</w:t>
        </w:r>
      </w:hyperlink>
      <w:r>
        <w:rPr>
          <w:rFonts w:ascii="arial" w:eastAsia="arial" w:hAnsi="arial" w:cs="arial"/>
          <w:color w:val="000000"/>
          <w:sz w:val="20"/>
          <w:lang w:val="en-US" w:eastAsia="en-US" w:bidi="ar-SA"/>
        </w:rPr>
        <w:t>), a judgment of this court. In that case, Hutcheon J.A., speaking for the majority, pointed out that in dealing with an award of damages for future loss, substantial possibilities fall to be considered and that the degree of likelihood or certitude that might be applicable in considering the standard of proof concerning past losses cannot be reasonably expected when one is dealing with an estimate of what is likely to occur in the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64 In the case of Pallos v. Insurance Corp. of British Columbia </w:t>
      </w:r>
      <w:hyperlink r:id="rId59"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at 269, Finch J.A., for the majority, said, after referring to several of the earlier cases: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These cases all treat a person's capacity to earn income as a capital asset, whose value may be lost or impaired by injury. It is a different approach from that taken in Steenblok v. Funk (supra), and similar cases, where the court is asked to determine the likelihood of some future event leading to loss of income. Those cases say, if there is a "real possibility" or a "substantial possibility" of such a future event, an award for future loss of earning may be made. There is nothing in the case law to suggest that the "capital asset" approach and the "real possibility" approach are in any way mutually exclusive. They are simply different ways of attempting to assess the same head of damages, future loss of income. It is to be regretted that plaintiff's counsel did not advance the case at trial using both approaches, in the alternative.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65 In a recent case in the court of appeal, Friesen v. Pretorius Estate </w:t>
      </w:r>
      <w:hyperlink r:id="rId60" w:history="1">
        <w:r>
          <w:rPr>
            <w:rFonts w:ascii="arial" w:eastAsia="arial" w:hAnsi="arial" w:cs="arial"/>
            <w:i/>
            <w:color w:val="0077CC"/>
            <w:sz w:val="20"/>
            <w:u w:val="single"/>
            <w:shd w:val="clear" w:color="auto" w:fill="FFFFFF"/>
            <w:lang w:val="en-US" w:eastAsia="en-US" w:bidi="ar-SA"/>
          </w:rPr>
          <w:t>(1997), 37 B.C.L.R. (3d) 255</w:t>
        </w:r>
      </w:hyperlink>
      <w:r>
        <w:rPr>
          <w:rFonts w:ascii="arial" w:eastAsia="arial" w:hAnsi="arial" w:cs="arial"/>
          <w:color w:val="000000"/>
          <w:sz w:val="20"/>
          <w:lang w:val="en-US" w:eastAsia="en-US" w:bidi="ar-SA"/>
        </w:rPr>
        <w:t xml:space="preserve">, one of the issues in the appeal was whether the trial judge had erred in his approach to the assessment of damages for future loss by apparently assessing the respondent's potential loss of earning capacity in strict arithmetical terms rather than by considering the anticipated loss and an award of damages on the basis of a diminution of earning capacity. Macfarlane J.A., writing for the court, noted that in the above cited case of Pallos, Finch J.A. had said that there were different possible approaches that could be taken by a court to assess a dollar value for future loss. Macfarlane J.A. in the course of his Reasons quoted from Morris v. Rose Estate </w:t>
      </w:r>
      <w:hyperlink r:id="rId56" w:history="1">
        <w:r>
          <w:rPr>
            <w:rFonts w:ascii="arial" w:eastAsia="arial" w:hAnsi="arial" w:cs="arial"/>
            <w:i/>
            <w:color w:val="0077CC"/>
            <w:sz w:val="20"/>
            <w:u w:val="single"/>
            <w:shd w:val="clear" w:color="auto" w:fill="FFFFFF"/>
            <w:lang w:val="en-US" w:eastAsia="en-US" w:bidi="ar-SA"/>
          </w:rPr>
          <w:t>(1996), 23 B.C.L.R. (3d) 256</w:t>
        </w:r>
      </w:hyperlink>
      <w:r>
        <w:rPr>
          <w:rFonts w:ascii="arial" w:eastAsia="arial" w:hAnsi="arial" w:cs="arial"/>
          <w:color w:val="000000"/>
          <w:sz w:val="20"/>
          <w:lang w:val="en-US" w:eastAsia="en-US" w:bidi="ar-SA"/>
        </w:rPr>
        <w:t xml:space="preserve"> (C.A.), where at p. 263, Donald J.A.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Assessing damages in this area involves an estimate based on prophecies. Mathematical certainty is impossible in virtually all cases. While a comparative scenario approach will often be useful, the judge must step back and look at all the relevant factors, especially general incapacity, before fixing an amount. See the remarks of Lambert J.A. in Ryder (Guardian ad litem of) v. Jubbal, </w:t>
      </w:r>
      <w:hyperlink r:id="rId61"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(6 March 1995), Vancouver CA018742 and CA01874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at p. 264: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turn now to consider the defendant's arguments on appeal. By way of general observation, I think that the defendant's objections to this part of the judgment miss the point of the evaluative task facing the learned trial judge. He was to make an estimate of the loss using the guides available to him; he was not performing a computation. The defendant's arguments unduly focus on the mechanics of the judge's calculation and they fail to recognize that in the end it is the judge's sense of what is fair compensation that matters. There is much more art than science in the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 decision Abraham v. Abbinante </w:t>
      </w:r>
      <w:hyperlink r:id="rId62" w:history="1">
        <w:r>
          <w:rPr>
            <w:rFonts w:ascii="arial" w:eastAsia="arial" w:hAnsi="arial" w:cs="arial"/>
            <w:i/>
            <w:color w:val="0077CC"/>
            <w:sz w:val="20"/>
            <w:u w:val="single"/>
            <w:shd w:val="clear" w:color="auto" w:fill="FFFFFF"/>
            <w:lang w:val="en-US" w:eastAsia="en-US" w:bidi="ar-SA"/>
          </w:rPr>
          <w:t>55 B.C.L.R. (3d) 150</w:t>
        </w:r>
      </w:hyperlink>
      <w:r>
        <w:rPr>
          <w:rFonts w:ascii="arial" w:eastAsia="arial" w:hAnsi="arial" w:cs="arial"/>
          <w:color w:val="000000"/>
          <w:sz w:val="20"/>
          <w:lang w:val="en-US" w:eastAsia="en-US" w:bidi="ar-SA"/>
        </w:rPr>
        <w:t xml:space="preserve"> (B.C.S.C.) in [paragraphs] 34 and 35, the court discusses the standard for proving 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In assessing damages for income loss after the date of the accident, including past wage loss and loss of future income earning capacity, it is necessary to make a determination about what would have happened in the past (between the date of the accident and the date of the trial) and what will happen in the future (after the date of the trial). In Steenblok v. Funk </w:t>
            </w:r>
            <w:hyperlink r:id="rId51" w:history="1">
              <w:r>
                <w:rPr>
                  <w:rFonts w:ascii="arial" w:eastAsia="arial" w:hAnsi="arial" w:cs="arial"/>
                  <w:i/>
                  <w:color w:val="0077CC"/>
                  <w:sz w:val="18"/>
                  <w:u w:val="single"/>
                  <w:shd w:val="clear" w:color="auto" w:fill="FFFFFF"/>
                  <w:lang w:val="en-US" w:eastAsia="en-US" w:bidi="ar-SA"/>
                </w:rPr>
                <w:t>(1990), 46 B.C.L.R. (2d) 133</w:t>
              </w:r>
            </w:hyperlink>
            <w:r>
              <w:rPr>
                <w:rFonts w:ascii="arial" w:eastAsia="arial" w:hAnsi="arial" w:cs="arial"/>
                <w:color w:val="000000"/>
                <w:sz w:val="18"/>
                <w:lang w:val="en-US" w:eastAsia="en-US" w:bidi="ar-SA"/>
              </w:rPr>
              <w:t xml:space="preserve"> (B.C.C.A.) at 137, the Court of Appeal dealt with the onus of proof on a plaintiff to demonstrate his loss in such circumstances, quoting with approval from Kovats v. Ogilvie (1970), </w:t>
            </w:r>
            <w:hyperlink r:id="rId63" w:history="1">
              <w:r>
                <w:rPr>
                  <w:rFonts w:ascii="arial" w:eastAsia="arial" w:hAnsi="arial" w:cs="arial"/>
                  <w:i/>
                  <w:color w:val="0077CC"/>
                  <w:sz w:val="18"/>
                  <w:u w:val="single"/>
                  <w:shd w:val="clear" w:color="auto" w:fill="FFFFFF"/>
                  <w:lang w:val="en-US" w:eastAsia="en-US" w:bidi="ar-SA"/>
                </w:rPr>
                <w:t>[1971] 1 W.W.R. 561</w:t>
              </w:r>
            </w:hyperlink>
            <w:r>
              <w:rPr>
                <w:rFonts w:ascii="arial" w:eastAsia="arial" w:hAnsi="arial" w:cs="arial"/>
                <w:color w:val="000000"/>
                <w:sz w:val="18"/>
                <w:lang w:val="en-US" w:eastAsia="en-US" w:bidi="ar-SA"/>
              </w:rPr>
              <w:t xml:space="preserve"> (B.C.C.A.) at 564: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It is a fundamental rule that in civil cases questions of fact are to be decided on a balance of probabilities; this is a matter of proof. But it is not equally true that damages in respect of things which have not yet developed may only be awarded if it is probable that they will develop and may not be awarded if it is only possible that they will develop. One can decide on a balance of probabilities that something in the future is a possibility, and in appropriate circumstances that possibility can be taken into account in assessing damages; in such a case it is not essential, before damages can be assessed for the thing, to decide on a balance of probabilities that the thing in future is a probability.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Court of Appeal went on at p. 138 to cite Madam Justice Wilson's reasons in Janiak v. Ippolito, </w:t>
            </w:r>
            <w:hyperlink r:id="rId53" w:history="1">
              <w:r>
                <w:rPr>
                  <w:rFonts w:ascii="arial" w:eastAsia="arial" w:hAnsi="arial" w:cs="arial"/>
                  <w:i/>
                  <w:color w:val="0077CC"/>
                  <w:sz w:val="18"/>
                  <w:u w:val="single"/>
                  <w:shd w:val="clear" w:color="auto" w:fill="FFFFFF"/>
                  <w:lang w:val="en-US" w:eastAsia="en-US" w:bidi="ar-SA"/>
                </w:rPr>
                <w:t>[1985] 1 S.C.R. 146</w:t>
              </w:r>
            </w:hyperlink>
            <w:r>
              <w:rPr>
                <w:rFonts w:ascii="arial" w:eastAsia="arial" w:hAnsi="arial" w:cs="arial"/>
                <w:color w:val="000000"/>
                <w:sz w:val="18"/>
                <w:lang w:val="en-US" w:eastAsia="en-US" w:bidi="ar-SA"/>
              </w:rPr>
              <w:t xml:space="preserve"> (S.C.C.) at 170-71, where she said: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In assessing damages the court determines not only what will happen but also what would have happened by estimating the chance of a relevant event occurring, which chance is then to be directly reflected in the amount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This was dealt with extensively by our Court of Appeal in Lee (Guardian ad litem of) v. Richmond Hospital Society, </w:t>
      </w:r>
      <w:hyperlink r:id="rId64" w:history="1">
        <w:r>
          <w:rPr>
            <w:rFonts w:ascii="arial" w:eastAsia="arial" w:hAnsi="arial" w:cs="arial"/>
            <w:i/>
            <w:color w:val="0077CC"/>
            <w:sz w:val="20"/>
            <w:u w:val="single"/>
            <w:shd w:val="clear" w:color="auto" w:fill="FFFFFF"/>
            <w:lang w:val="en-US" w:eastAsia="en-US" w:bidi="ar-SA"/>
          </w:rPr>
          <w:t>2003 BCCA 678</w:t>
        </w:r>
      </w:hyperlink>
      <w:r>
        <w:rPr>
          <w:rFonts w:ascii="arial" w:eastAsia="arial" w:hAnsi="arial" w:cs="arial"/>
          <w:color w:val="000000"/>
          <w:sz w:val="20"/>
          <w:lang w:val="en-US" w:eastAsia="en-US" w:bidi="ar-SA"/>
        </w:rPr>
        <w:t>, [paragraphs] 7-12.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determining what amount should be allowed for future loss of earning capacity, I have to consider Mr. Claiter's past history and any evidence that may help me determine what may have occurred in the future; in other words what has a substantial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Claiter was very involved in business and with social contacts he had established through his business. I think it is fair to say that his business activities were really a way of life for him. He did have a number of other outside interests, including hunting, fishing, travel, collecting automobiles and golf. However, a great deal of his time was spent in pursuing business opportunities or operating the small businesses that he had owned. He was actively involved and attempting to establish a new business at the time of the accident. His health was good and it appears that he had a great deal of energy and enthusiasm.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evidence of his former partners indicates that he also had good judgment, was an astute businessman with an ability to determine if there was a profit in something.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and Mrs. Claiter enjoyed travelling and had done so in the past. They had talked about their plans to increase the amount of travel, including spending time in the southern United States and Mexico. I am satisfied that Mrs. Claiter would have retired in February of 2004 which is her present scheduled retirement. The parties had accumulated significant assets and Mr. Claiter had income which was available to him without demanding much of 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am satisfied that it is more likely than not that Mr. Claiter would have reduced his business activities after Mrs. Claiter retired, but I am not satisfied that he would stop pursuing business opportunities altogether.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Claiter's business activities could be described as speculative and there is certainly no guarantee that he would have made money on every endeavour he pursued. The evidence is that on some of the liquidations he pursued, the returns were not great. However, Mr. Claiter did have an eye for profit and I am satisfied that he would have continued to make money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am not satisfied that it is a real possibility that he would have continued to earn $30,000.00 per year to his 65th birthday for an amount of $187,000.00 approximately. However, there is a real possibility that he would have continued to earn a significant amount, although at diminishing levels, towards his 65th birthday. I am not satisfied that he would have continued to be in business past his 65th birthday to any real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determining the amount to allow for future lost earning capacity, I am considering the fact that Mr. Claiter would not necessarily have been successful in every business opportunity pursued.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Even if Mr. Claiter's annual income remained at approximately $9,000.00 per year from the liquidation sales and no more, this would amount to $56,106.00 based on Mr. Carson's multipliers. However, I am satisfied that there is a substantial possibility that Mr. Claiter would have pursued other business interests as well, and generated additional income. He has lost an earning capacity, rather than simply a measurable amount of future income. I find that a reasonable amount to be allowed under this heading is $100,000.00.</w:t>
      </w:r>
      <w:r>
        <w:rPr>
          <w:rFonts w:ascii="arial" w:eastAsia="arial" w:hAnsi="arial" w:cs="arial"/>
          <w:sz w:val="20"/>
          <w:lang w:val="en-US" w:eastAsia="en-US" w:bidi="ar-SA"/>
        </w:rPr>
        <w:cr/>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plaintiff estimates special damages at $26,357.07. The defendants' position is that they should be assessed in the amount of $3,984.79. The claim for special damages includes the following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4391"/>
        <w:gridCol w:w="2091"/>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Mike's Auto Towing Account</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$243.96</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is not disputed by the defendants and I accept it as proven.</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Anchor Door and Window - Garage Door Opener $50.11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is not disputed by the defendants and I accept it as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450"/>
        <w:gridCol w:w="3032"/>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Dental work</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$984.28</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Mrs. Claiter does not recall if this was paid by her or paid by I.C.B.C. I note on the copy of the receipt, there is the estimated cost in the insurance portion with a handwritten note "Canada Life" and a patient portion with a handwritten note "I.C.B.C.". The plaintiff has failed to prove this amount. This is not allowed.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Travel expense to Singapore.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Claiter's had scheduled a trip to Singapore as a holiday. The tickets had been purchased before the accident and were non-refundable. The total cost was $4,388.00. This was paid through points which Mr. Claiter had earned through his air miles account or some other form of account. The defendant takes the position that because they were purchased through air miles travel points that Mr. and Mrs. Claiter have not suffered a loss for the full value of the trip. The defendant suggests an arbitrary figure of $3,000.00 be reasonable compensation. I disagree. The plaintiffs have lost the value of those tickets which is $4,388.00. They have that value whether they paid for them by redeeming air mile travel points or paid cash. There is no evidence that the tickets would have been cheaper if purchased in some other fashion or that they have a lesser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4810"/>
        <w:gridCol w:w="1673"/>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This amount is allowed as claimed.</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$4,388.00</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764"/>
        <w:gridCol w:w="2614"/>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Airline Ticket.</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$99.00</w:t>
            </w:r>
          </w:p>
        </w:tc>
        <w:tc>
          <w:tcPr>
            <w:tcW w:w="266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is not disputed and is accepted as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660"/>
        <w:gridCol w:w="2718"/>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Airline Ticket</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$99.00</w:t>
            </w:r>
          </w:p>
        </w:tc>
        <w:tc>
          <w:tcPr>
            <w:tcW w:w="266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amount is not disputed and I accept it as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660"/>
        <w:gridCol w:w="2718"/>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Airline Ticket</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$358.66</w:t>
            </w:r>
          </w:p>
        </w:tc>
        <w:tc>
          <w:tcPr>
            <w:tcW w:w="266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amount is not disputed and I accept it as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3660"/>
        <w:gridCol w:w="2718"/>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Airline Ticket</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$134.06</w:t>
            </w:r>
          </w:p>
        </w:tc>
        <w:tc>
          <w:tcPr>
            <w:tcW w:w="266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amount is not disputed and I take it as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869"/>
        <w:gridCol w:w="3241"/>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Allowed:</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$5,372.79</w:t>
            </w:r>
          </w:p>
        </w:tc>
        <w:tc>
          <w:tcPr>
            <w:tcW w:w="266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largest portion of the plaintiffs' claim for special damages relates to a loss the plaintiffs say Mr. Claiter suffered when he had to dispose of a large number of items that he had in storage. There were a variety of items including shelving, video games, boiler and items too numerous to list. These were things that Mr. Claiter had accumulated over an indefinite period of time. He had space in a building owned by A &amp; P which allowed him to store these and dispose of them at his leisure.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Subsequent to the accident, A &amp; P found a tenant for the space. Mr. Claiter was no longer providing the management services that he had in the past. He received this storage space in return for those management services. Therefore, it was reasonable for A &amp; P to attempt to lease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items in storage had never been inventoried. Mr. Claiter was the only person who would have had any idea of what was there or what its value might be. Due to the nature of his injuries, Mr. Claiter is not in a position to give any of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Mrs. Claiter made some attempts to dispose of these items and eventually on the advice of others, consigned them to an auction house. The invoices from the auction house indicate that she received $1,363.00 from the sale of these goods. One of the items was a boiler. The only information about that boiler is that it had a sign on it indicating regular price $21,000.00 and an asking price of $10,000.00. No one seemed to be sure where it came from or how long Mr. Claiter had it. It would appear that no monies were received by that from the auction house; there simply being no market. That would be consistent with Mr. Claiter's experience because it would appear that he had it for a number of years and had been unable to dispose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plaintiff argues that it is difficult to assess what the loss might have been because it is difficult to reconstruct the inventory or the value of the inventory. The plaintiff argues that the court must simply do its best to quantify the loss no matter how difficult that task is. The plaintiff suggests that a figure of $20,000.00 is a reasonable estimate of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determining the amount to be allowed for that loss, however, the court must be fair to both parties. It would be unfair to the defendants to simply guess at a figure in a situation where the plaintiff is unable to prove the amount of its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am satisfied that it is more likely than not that Mr. Claiter could have obtained more money through an orderly sale of these assets than was obtained through the auction process. However, the evidence does not demonstrate that these items were of any significant value. It is questionable whether Mr. Claiter would have kept many of these items if he had to actually pay for the storage space for them. Clearly that was the position of the auction company who simply disposed of the items by taking them to the dump when they had not sold within a reasonable time. Obviously there was very little market for many of these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an attempt to be fair to the plaintiffs and the defendants, I fix this loss at $1,500.00.</w:t>
      </w:r>
      <w:r>
        <w:rPr>
          <w:rFonts w:ascii="arial" w:eastAsia="arial" w:hAnsi="arial" w:cs="arial"/>
          <w:sz w:val="20"/>
          <w:lang w:val="en-US" w:eastAsia="en-US" w:bidi="ar-SA"/>
        </w:rPr>
        <w:cr/>
      </w:r>
    </w:p>
    <w:p>
      <w:pPr>
        <w:numPr>
          <w:numId w:val="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In Trust Award for Mrs. Claiter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defendants agree that Mrs. Claiter is entitled to be compensated for the extra services she provided to Mr. Claiter from the time of the accident to the date of trial. The defendants agree that this amount could be awarded in trust or directly to Mrs. Claiter.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plaintiffs claim that an appropriate amount to be allowed under this heading is $100,000.00. The defendants take the position that $50,000.00 is a more realistic figure.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Mrs. Claiter attended at the hospital whenever possible while Mr. Claiter was in the hospital. Subsequent to his discharge on April 30, 1999, Mrs. Claiter took an unpaid leave of absence from 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difference in her net income for the year 1998 and 1999 was $22,756.00. I am satisfied that this difference was as a result of her taking her unpaid leave of absence.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The court can allow an amount sometimes referred to as an "in trust" claim in recognition and compensation for services over and above what would normally have been performed, except for the injuries (Conn v. Conn, </w:t>
      </w:r>
      <w:hyperlink r:id="rId65" w:history="1">
        <w:r>
          <w:rPr>
            <w:rFonts w:ascii="arial" w:eastAsia="arial" w:hAnsi="arial" w:cs="arial"/>
            <w:i/>
            <w:color w:val="0077CC"/>
            <w:sz w:val="20"/>
            <w:u w:val="single"/>
            <w:shd w:val="clear" w:color="auto" w:fill="FFFFFF"/>
            <w:lang w:val="en-US" w:eastAsia="en-US" w:bidi="ar-SA"/>
          </w:rPr>
          <w:t>[1992] B.C.J. No. 2925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During her leave of absence, Mrs. Claiter provided a great deal of assistance to Mr. Claiter as he regained his strength and the ability to provide for some of his own basic needs. She worked with the occupational therapists and rehabilitation workers to assist Mr. Claiter in his recovery. She encouraged Mr. Claiter to relearn some of the things he had been able to do before the accident without assistance, and to encourage him to become involved in his business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am satisfied that the evidence demonstrates that it was reasonable for Mrs. Claiter to take time from work in order to care for her husband. It would have been possible to hire somebody to assist with his care while she continued to work and I am satisfied that would have been necessary, at least for the first few months after his release from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Prior to the accident, Mr. and Mrs. Claiter had worked out an informal division of labour and the sharing of household responsibilities. Mrs. Claiter did most of the cleaning and the yard work around their home. She prepared the meals. Mr. Claiter assumed responsibility for the major chores outside the home. Mr. Claiter also assumed the majority of the responsibilities for the care of the property at the lake. I am satisfied that Mrs. Claiter assisted with those and again would be responsible for the cooking and preparation of meals.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Subsequent to the accident, Mrs. Claiter had to assume responsibility for all of the chores around the home and the lake. Mr. Claiter could assist, with some direction from Mrs. Claiter. Certainly a great deal more responsibility had to be assumed by Mrs. Claiter.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Mrs. Claiter also had to assist Mr. Claiter with a number of functions in daily living. She has had to assist him by cueing him to make sure that he completes his normal activities, such as showering and shaving. The evidence is, Mr. Claiter does not always follow through appropriately with showering or properly using shampoo or rinsing. She gives him direction or assists him in choosing clothing depending on the weather. He often is unsure of what type of clothing he should be wearing even to the point of being unsure whether or not to wear a jacket in the middle of the summer.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Mrs. Claiter prepares a list or schedule each day for Mr. Claiter indicating where he is to be and at what time. He requires this list in order to keep track of things. Without it he does not know where he should be or when.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Mrs. Claiter must prepare all meals for Mr. Claiter. He is unable to do anything beyond preparing a simple snack. Mrs. Claiter provided the majority of the meals in the past but is now completely responsible for ensuring Mr. Claiter is properly fed.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 Claiter can sometimes be occupied in the evening playing games on his computer but if he becomes restless, Mrs. Claiter must try and keep him active and find things for him to do. She must maintain an awareness of where Mr. Claiter might be and what he might be doing. He has not wandered away from his home. However, he has demonstrated lack of judgment in such things as wanting to cut down trees with a chainsaw in a situation which Mrs. Claiter viewed as unsafe. He also demonstrated a lack of judgment in wishing to burn some debris by using gasoline to start the fire; he did not seem to appreciate the risks involved. Mrs. Claiter has to be prepared by having clean clothes available for the event that Mr. Claiter loses control of his bowels. This is not a frequent matter but certainly a matter that is of concern to both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Mrs. Claiter has had to assume complete responsibility for organizing all aspects of their social life and their day-to-day activities, such as shopping. Shopping was something Mr. Claiter used to do very well and enjoy, but something he cannot cope with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defendants have relied on a report by a registered nurse, Ms. Earle, who prepared an assessment and a critique with regard to cost of future care. Ms. Earle interviewed Mr. and Ms. Claiter in their home and observed Mr. Claiter in the home. Ms. Earle estimated, based on the information she received from Mr. and Mrs. Claiter, that Mrs. Claiter spends approximately 90 minutes per week day and 3 hours per weekend day providing additional care to Mr. Claiter that she would not otherwise have provided. This often consists of cueing and giving direction to Mr. Claiter while Mrs. Claiter goes about her other activities. In trying to determine the value of this, Ms. Earle estimated that this was about 13.5 hours per week, 52 weeks per year, for a total of 702 hours per year. She estimated that a caregiver providing this service would charge about $17.55 per hour for a yearly cost of $12,320.00. The defendant estimates that the total value then, since the accident, would be about $58,520.00. The defendant suggests that some reduction should be made because there was a portion of the time when Mr. Claiter was being assisted by occupational therapists and a one on one rehabilitation worker, and that Mr. Claiter was away from home while he went fishing with some friends and on a golf trip to Arizona and Mrs. Claiter was away from home for a short business 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plaintiffs argue that this approach diminishes the value of the services and the assistance Mrs. Claiter has provided, and ignores the fact that she is essentially on call 24 hours a day except for the times when she is at work. Even when she is at work, she may have to deal with Mr. Claiter when he shows up at her place of employment having left the places where he volunteers, for whatever reason. The plaintiffs argue that the defendants' approach ignores the stress that this has placed on her and ignores the importance of her assistance to Mr. Claiter by allowing him to continue to reside in his own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It is difficult to place an exact time or value on the services provided by Mrs. Claiter. Mr. Claiter has gone from being a very dominant and outgoing, independent individual to a person who is in many ways like a young child. He appears to be good natured and relatively happy and cooperative. However, like a young child he does require direction and supervision. He is able to occupy himself for reasonable periods of time and spends a great deal of time sleeping. However, Mrs. Claiter must be aware of where he is and what he is doing on a regular basis. I also keep in mind that during the first months that Mr. Claiter was out of the hospital, Mrs. Claiter was required to spend a great deal more time assisting him, than the amount of time estimated by Ms. Earle.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Keeping all of these things in mind, I assess the amount that should be allowed to Mrs. Claiter for the care she has provided over the five years since the accident at the amount of $75,000.00. This award is made directly to Mrs. Claiter. I note in this case that she is included as a plaintiff.</w:t>
      </w:r>
      <w:r>
        <w:rPr>
          <w:rFonts w:ascii="arial" w:eastAsia="arial" w:hAnsi="arial" w:cs="arial"/>
          <w:sz w:val="20"/>
          <w:lang w:val="en-US" w:eastAsia="en-US" w:bidi="ar-SA"/>
        </w:rPr>
        <w:cr/>
      </w:r>
    </w:p>
    <w:p>
      <w:pPr>
        <w:numPr>
          <w:numId w:val="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plaintiff says that an appropriate amount to be allowed for the cost of future care including all contingencies would be $1,330,000.00. The defence position is that the appropriate amount would be $260,000.00.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The defendants referred to two decisions Milina v. Bartsch, </w:t>
      </w:r>
      <w:hyperlink r:id="rId66" w:history="1">
        <w:r>
          <w:rPr>
            <w:rFonts w:ascii="arial" w:eastAsia="arial" w:hAnsi="arial" w:cs="arial"/>
            <w:i/>
            <w:color w:val="0077CC"/>
            <w:sz w:val="20"/>
            <w:u w:val="single"/>
            <w:shd w:val="clear" w:color="auto" w:fill="FFFFFF"/>
            <w:lang w:val="en-US" w:eastAsia="en-US" w:bidi="ar-SA"/>
          </w:rPr>
          <w:t>[1985] B.C.J. No. 2762</w:t>
        </w:r>
      </w:hyperlink>
      <w:r>
        <w:rPr>
          <w:rFonts w:ascii="arial" w:eastAsia="arial" w:hAnsi="arial" w:cs="arial"/>
          <w:color w:val="000000"/>
          <w:sz w:val="20"/>
          <w:lang w:val="en-US" w:eastAsia="en-US" w:bidi="ar-SA"/>
        </w:rPr>
        <w:t xml:space="preserve"> (B.C.S.C.) at p. 30, [paragraph] 172: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172 3. The primary emphasis in assessing damages for a serious injury is provision of adequate future care. The award for future care is based on what is reasonably necessary on the medical evidence to promote the mental and physical health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 34, [paragraph] 201: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201 It follows that I must reject the plaintiff's submission that damages for cost of future care should take into account the cost of amenities which serve the sole function of making the plaintiff's life more bearable or enjoyable. The award for cost of care should reflect what the evidence establishes is reasonably necessary to preserve the plaintiff's health. At the same time, it must be recognized that happiness and health are often intertwined.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Brennan v. Singh, </w:t>
      </w:r>
      <w:hyperlink r:id="rId67" w:history="1">
        <w:r>
          <w:rPr>
            <w:rFonts w:ascii="arial" w:eastAsia="arial" w:hAnsi="arial" w:cs="arial"/>
            <w:i/>
            <w:color w:val="0077CC"/>
            <w:sz w:val="20"/>
            <w:u w:val="single"/>
            <w:shd w:val="clear" w:color="auto" w:fill="FFFFFF"/>
            <w:lang w:val="en-US" w:eastAsia="en-US" w:bidi="ar-SA"/>
          </w:rPr>
          <w:t>[1999] B.C.J. No. 520</w:t>
        </w:r>
      </w:hyperlink>
      <w:r>
        <w:rPr>
          <w:rFonts w:ascii="arial" w:eastAsia="arial" w:hAnsi="arial" w:cs="arial"/>
          <w:color w:val="000000"/>
          <w:sz w:val="20"/>
          <w:lang w:val="en-US" w:eastAsia="en-US" w:bidi="ar-SA"/>
        </w:rPr>
        <w:t xml:space="preserve"> (B.C.S.C.) p. 17, [paragraph]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test for the standard of care generally is whether a reasonably-minded person of ample means would be ready to incur the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 17, [paragraph] 85:</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must be a medical justification for claims for cost of future care; and (2) that the claims must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difference between the parties' position relates to the difference in their assessment of the effect of the injuries on Mr. Claiter's independence and ability to function on a day-to-day basis. The plaintiff points to the medical evidence, particularly that of Dr. Kaushansky and the evidence of the occupational therapist, Lindsey Alford, and the evidence of friends and Mrs. Claiter to demonstrate the amount of support and supervision Mr. Claiter requires.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defendant refers to the fact that there has been no occupational therapy since approximately two years after the accident, and the fact that Mr. Claiter was left home by himself during the day for approximately six to seven months while Mrs. Claiter was working. The defendant also refers to the evidence of their physiatrist, Dr. McCann, and the registered nurse, Jeannie Earle, who prepared an assessment of future care needs as evidence of the extent to which Mr. Claiter can be independent and left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plaintiff argues that Mr. Claiter should have ongoing occupational therapy, the assistance of a rehabilitation assistant and a live-in care worker.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defendants argue that some allowance should be made for respite and the value of the services Mrs. Claiter provides and some other minor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For comparison, the defendant estimates the total yearly future care costs is $18,055.00 and uses a multiplier of $14,383.00 to arrive at their total of approximately $260,000.00. The plaintiff estimates the annual cost of future care at $89,892.00 exclusive of GST and PST. They use a multiplier of $14,848.00 to arrive at a total of $1,334,716.00.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difference in the annual cost, of course, is the difference in the cost of services they say are required. The difference in the multiplier depends on the life expectancy of Mr. Claiter. The defendants' actuary used life expectancy for males in Canada. The plaintiffs' actuary used life expectancy for males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accept that it is appropriate to use the plaintiffs' actuarial evidence dealing with life expectancies of males in British Columbia. The larger population base of the Canadian survey does not account for individual differences that may be present from province to province or from area to area in Canada. I am satisfied that the population base in British Columbia is sufficiently large to provide an appropriate multiplier. Therefore, the appropriate multiplier is $14,848.00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This case presents a number of difficulties in trying to determine an appropriate amount for the cost of future care. There are the normal contingencies to be considered, including the possibility that Mrs. Claiter may not always be available or able to assist Mr. Claiter. There is also the difficulty of determining the extent to which Mr. Claiter is able to care for himself. This includes the extent to which he can be left on his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plaintiffs are of the view that he is really like a pre-school child who can never be left on his own. The defendants are of the view that there are many things Mr. Claiter can do for himself and has done, and Mrs. Claiter is probably being overprotective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Everyone agrees and the medical evidence supports the fact that Mr. Claiter has suffered from a severe traumatic brain injury. The defendants' physiatrist, Dr. McCann, believes that Mr. Claiter has progressed to the point where there will be no significant improvement in his functioning. The occupational therapist who worked with Mr. Claiter for approximately two years after the accident concluded that there was nothing further that they could do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plaintiff's neuropsychologist, Dr. Kaushansky, agrees that there will be no significant improvement in Mr. Claiter's functioning although he could benefit from some ongoing therapy that may improve his basic life skills. The plaintiff's occupational therapist, Lindsey Alford, believes that Mr. Claiter could benefit from some ongoing therapy aimed at improving his basic functions.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defendants' occupational therapy report prepared by a registered nurse, Ms. Earle, states there will be no significant improvement in his basic functioning even with ongoing therapy. She expresses the view that such continuing therapy may in fact simply lead to frustration for Mr. Claiter.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Mr. Claiter can carry out some basic activities of daily living, including managing his personal hygiene and dressing himself, as well as being physically mobile. He does need cueing occasionally with both hygiene and dressing appropriately. He is able to get a snack for himself, but is not able to make good food choices nor could he prepare a meal for himself without supervision and direction. He is able to drive a motor vehicle and did re-qualify for his driver's license. However, I find that occasionally he does need direction from somebody else in order to ensure that he does not speed. He can become confused as to his location or direction even in areas he is familiar with. I am satisfied that he would have a great deal of difficulty driving in an area he is unfamiliar with, without guidance from somebody else. He is unable to shop or prepare meals for himself. Mr. Claiter has not wandered from his home in the past, but in areas in which he is unfamiliar he can sometimes become confused, disoriented and lost. This occurred when he was in Arizona with his wife and when he travelled to Arizona and Las Vegas with friends; they were concerned about him losing his way as well. Mr. Claiter was able to go on a five day fishing trip with some friends but those people were aware of his limitations and kept an eye on him. He seemed to manage his day-to-day hygiene on that occasion but was not as successful when he made the trip to Arizona and Las Vegas.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Mr. Claiter performed reasonably well on a number of neuropsychological tests. The initial battery of tests administered by Dr. Mak indicated that he had regained most of his cognitive functioning for general day-to-day activities, but new learning of abstract information and organization of complex information were a challenge for him. There is no evidence as to how well he would have performed on those tests before the accident and the significance of the results is sometimes difficult to determine. For instance, on the original tests administered by Dr. Mak, his working memory index score placed his performance at the 42nd percentile which was considered average. His concentration skills were at the 75th percentile which was considered average. His processing speed index was at the 40th percentile which was in the normal range. He had significant difficulty with immediate recall of short stories. His full scale I.Q. score placed his ability at the 25th percentile. That score in particular would seem inconsistent with his pre-accident performance in his business life in 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occupational therapist who worked with Mr. Claiter after the accident, Ms. C. Burden, indicated that he had, according to Dr. Kaushansky, difficulty attending to information within a busy environment. His environment should be organized so as to minimize possible problems. Although Mr. Claiter did not require assistant devices in personal care tasks, he did require verbal cues to complete all aspects of his personal care such as shaving and brushing his teeth. The occupational therapist noted he was able to complete simple tasks with the direction of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Mr. Claiter is able to use a computer, after taking a course but he requires assistance to recall information each time he uses the computer and has a set of directions attached to the computer to allow him to turn it on and access the programs he wishes. Essentially he plays card games on the computer.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Mr. Claiter volunteers at two places in Kamloops during the work week. He attends at the seniors' home, which I have referred to earlier, and at the grocery store that I have also referred to earlier. He manages to go from his wife's place of employment to the seniors' centre and to the grocery store and back to his wife's place of employment at appropriate times on most occasions. These are within a four block radius of his wife's employment. This is a routine that he is familiar with. He was able, for a period of time, to drive himself to the North Shore to attend at the S.P.C.A. and back to his wife's place of employment. He was also able to drive to Rivershore Golf Course and back to his wife's place of employment. However, these are all areas in which he was familiar and he still occasionally demonstrated problems, such as missing turns, or leaving the grocery store or the seniors' home prior to completing his tasks or the completion of his time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Mrs. Claiter has not expressed any safety issues to Dr. Kaushansky in the home or in the kitchen, but she does have concerns about his ability in those situations due to his lack of attention and difficulty in completing more complex tasks. It is clear from his supervisor at Desert Gardens that he would not be able to make a sandwich for himself and certainly not for anybody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Everyone seems to agree that he would be unable to care for himself in an unsupervised environment if Mrs. Claiter were not present to help. They do not agree on how much supervision is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evidence given by his former partners and by a family friend, Ms. Bilyk, all support Mrs. Claiter's evidence that he requires direction and supervision in many ways that a child would. In some ways, he does demonstrate independence and ability beyond that of a child, such as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Dr. Kaushansky administered a number of neuropsychological tests and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results of the neuropsychological testing suggested a man now 55 years of age whose level of verbal intellectual functioning fell within the average range. Mr. Claiter's skills seem particularly impaired on those tasks of attention that required multi-tasking or "divided attention" - on those tasks that required simple attention, he scored within the average range. His mental processing skills appear weak and lower than expected. His memory was impaired, especially for verbal material that had a context, such as prose; his ability to learn pairs of unrelated words was weak while he was more successful with learning a series of digits. On tasks of problem solving, both for visual and verbal material, Mr. Claiter scored within the average range. His knowledge of his environment and general comprehension skills appeared intact as was his visual-spatial functioning. Academic skills were also within the average range, given his grade 10 high school completion - it is to be noted that his reading rate has probably diminished from pre-morbid levels. His language skills in a controlled clinical environment appeared intact although, as noted by his wife, he can use language inappropriately in social situations.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Dr. Kaushansky concluded that some of the difficulties Mr. Claiter was having were symptomatic of frontal lobe dysfunction: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...specifically, he has changed from being a once, very autonomous, businessman to now being quite dependent on his wife and his altered environment, both of which provide structure and clues as to the appropriate response or "next move". He presents now with cognitive deficiencies as noted by weak memory, deficits of more complex attention and, at times, "confusion" with an abundance of stimuli, combined with post-traumatic personality problems (characterized by impulsivity, excessive dependency, poor judgment, absentmindedness, perplexity, diminished organization and the need for structure). As an aside, issues of "average intelligence" and his many spared and intact cognitive features do not attenuate the extent of his injuries and the profound consequences they will continue to have for his future. The degree of dissimilarity in this man's pre/post-morbid functioning is striking and, unfortunately, given his age, is a harbinger of the degree of support he will require in future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Dr. Kaushansky made an interesting comment at p. 18 of his report when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view that further neuropsychological testing would not be especially practical for, in optimal environments such as a clinician's office, one may well see appropriate cognitive performance (it is often stated that the clinician and the parameters set up by the testing situation become the patient's "frontal lobes"). Rather, Mr. Claiter's true residual deficits will be more readily witnessed in an unstructured setting. In that regard, the more appropriate backdrop, and germane to gauging his progress, is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reports on the future care deal with the following services.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Counselling for Mr. Claiter: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 suggests five to ten sessions per year at the rate of $140.00 per hour for a cost of $700.00 to $1,400.00 per annum. The purpose of this counselling is to continue to address behavioural issues with behaviour modification techniques and perhaps improve some basic functioning. The defendant says that these services have not been taken advantage of in the past, that there do not appear to be any present behavioural problems that need addressing and that Mr. Claiter will not benefit significantly from any coaching or additional teaching with regard to his basic care. However, the defendant does recognize that there is a possibility for additional psychological counselling and suggests that a reasonable amount would be four sessions per year at $140.00 per session based on the contingency that it may or may not occur for a total of $560.00.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find that allowing for contingencies, five sessions per year is a reasonable number at $140.00 per session, for a total of $700.00.</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Counselling for Mrs. Claiter: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plaintiffs suggest that this may be necessary to help Mrs. Claiter deal with the stresses of providing assistance on a daily basis for Mr. Claiter. It was recommended by Dr. Kaushansky and by Dr. Filbey, the physiatrist that dealt with Mr. Claiter earlier. The plaintiffs suggest that twelve sessions per year at $140.00 per session for a total of $1,680.00 is a reasonable allowance.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defendants point out that Mrs. Claiter has not taken advantage of any psychological counselling aside from obtaining some tranquilizers which she takes on occasion. They argue that she seems to be coping reasonably well as a result of her dedication and determination to assist Mr. Claiter.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However, they suggest on a contingency basis, she may require some counselling and suggest six sessions per year at $140.00 per session for a total of $840.00.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note that Mrs. Claiter seems to recognize that she is not as strong as she thought she was. Dr. Kaushansky is of the view that she may find that she is reaching the end of her rope. Mrs. Claiter recognizes as well that earlier on she may well have been na've, both about her own abilities and about the effects of this head injury on Mr. Claiter.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Given the respite that I am going to allow, I am satisfied that six sessions per year at $140.00 for a total of $840.00 is appropriate under this item.</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Occupational Therapy: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 suggests:</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Initial Rehabilitation - $680.00 to $2,270.00. This would be one to two hours every week for eight to sixteen weeks at the rate of $85.00 per hour plus travel at half the hourly rate and mileage at $.38/km from Kelowna.</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Travel expense average $533.40 to $1,044.80.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Ongoing amounts per year:</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Rehabilitation ongoing average $510.00 - $1,020.00. This would be a person who would work under the supervision of the occupational therapist in continuous cognitive rehabilitation and the use of external cues to improve Mr. Claiter's functioning in daily activities, such as dressing, preparing a snack and personal hygiene. Travel expense ongoing $195.90 to $391.80.</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Case Management Average - $1,020.00 to $2,040.00.</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Case management would be provided by an occupational therapist or other qualified health care professional and would really deal with Mr. Claiter's ongoing physical and emotional treatment or care.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defendants say that none of these services are necessary or reasonable. They suggest that, according to their physiatrist, Dr. McCann, Mr. Claiter has really reached his maximum recovery and there is unlikely to be any change in his functional level, even with occupational therapy. The defendants argue that really what he requires is some ongoing cueing and support such as he is presently receiving.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During cross-examination, the defendants' expert, Ms. Earle, agreed that if any improvements could be made in Mr. Claiter's basic functioning, it would be to his benefit. My impression from the reports of Dr. Filbey and Mr. Mercer who provided some behavioural guidance is that Mr. Claiter may need some re-learning, but I am not satisfied that this must be on a regular basis as suggested by the plaintiffs. The defendants also pointed out, and I note, that there has been no ongoing occupational therapy since the rehabilitation treatment after the accident which ended approximately two years ago and the treatment and counselling received from Mr. Mercer.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do agree that there may be some requirement and some allowance should be made for the contingency that it is required, but not at the amounts claimed by the plaintiffs.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Evidence does not support that there is any present need for initial rehabilitation, or case management on an ongoing basis in the amounts claimed by the plaintiffs. I accept that Mr. Claiter could benefit from some ongoing counselling and case management, but the evidence does not support the amounts claimed by the plaintiff. I find that these services are needed, but can be met at the cost of $1,500.00 per annum.</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Rehabilitation assistant including travel $11,471.20, claimed.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 says that this would be one to one support under the supervision of an occupation therapist. The assistant would concentrate on compensatory cognitive strategies to improve Mr. Claiter's functioning in the home and the community. It is suggested that this would be two 2 hour sessions per week on an ongoing basis. The cost would be $35.00 per hour plus travel. Again, the evidence does not suggest that Mr. Claiter will be able to make significant gains in his functional independence even with ongoing assistance. Again, there is the possibility that some limited assistance would be required the same way some limited occupational therapy would be required and some allowance can be made for the contingency.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evidence does not support the claim as presented. I accept that Mr. Claiter can benefit from some rehabilitation assistance from time to time, but the evidence indicates that he has plateaued with regard to his recovery. He may need some additional assistance in re-learning some of his coping skills, and perhaps learning new skills to cope with situations as they arise. I find an appropriate amount under this heading is $2,000.00 per annum.</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Job Coach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plaintiffs suggest that this service would be covered under the occupational therapy, as earlier recommended. This person would assist Mr. Claiter in making the transition from one voluntary position to another. The defendants take the position that no allowance need be made for this.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Kaushansky's evidence is that people with the type of injuries that Mr. Claiter has generally do not stay in one voluntary position for more than about 18 months to 2 years. The reason is the amount of supervision they require. Eventually this creates stress for the volunteer employer and may result in difficulties for the volunteer employee themselves. As well, the employee may simply lose interest. I agree that some allowance should be made for this. This may require assistance on the average once a year for a period of perhaps five to ten hours. Therefore I would allow an average of 7.5 hours per year at $35.00 per hour for a total of $262.50, rounded to $265.00.</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Respite Care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 says that the amount of respite required would average $3,600.00 to $7,200.00 per annum. Defendants suggest respite care of twelve weekends per year x $350.00 per weekend for a total of $4,200.00.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Everybody agrees that if Mrs. Claiter is providing the day-to-day care and supervision for Mr. Claiter she will require some relief. She has a life of her own to live and if she is being his primary caregiver, she needs relief to pursue her own life. Without that sort of relief, the burden may well prove too much for her and she would be unable to continue to provide and care for Mr. Claiter. The plaintiff suggests that a live-in caregiver could be provided for these periods at the range of $175.00 to $300.00 per day. Alternatively, some form of residential care could be provided at a cost of $150.00 per day. The plaintiffs also suggest that it would be appropriate for this to be available for Mrs. Claiter when they travel together.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defendants suggest that one weekend per month at a cost of $4,200.00 per year would be appropriate. Their future care consultant suggests that in-home care would be appropriate.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consider the suggested respite care to be inadequate. The fact that Mrs. Claiter will be retiring in February of 2004 makes it even more important that she have opportunities to pursue her own interests without having to constantly be concerned about Mr. Claiter. This would allow her to continue to assist Mr. Claiter and maintain the loving relationship which is so important to both of them. It is inevitable and unavoidable that she will provide care and cueing to him on many things and much of the organization of their family life. However, it is expecting too much for her to do this on a constant basis, even with one weekend per month of respite. It is my opinion, despite her best efforts, that she could not continue this indefinitely. I find a reasonable amount for respite care in this case would be one day per week for a period of eight hours per day (8 hrs/week) for a total of 416 hours per year. If this were provided by a caregiver who could provide the service for $17.55 per hour, the amount would be rounded to $7,300.00.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One weekend per month (2 days) for a total of $350.00 per month or $4,200.00 per year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Total - $11,500.00 for respite.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form and amount of respite will allow Mrs. Claiter the option to spend time pursuing her own interest without the necessity of having to be with Mr. Claiter at all times. This will give her the freedom to organize her life in a fashion that is fulfilling to her, thereby allowing her to maintain the relationship she has with Mr. Claiter and more adequately provide for him. Even if she could physically and emotionally care for him 24 hours a day, 7 days a week, without respite, the level of care she would be able to provide would deteriorate. She has indicated in her own evidence that although she tries her best, occasionally she becomes frustrated and speaks more harshly to Mr. Claiter than she would care to. This is simply an additional stress to herself and to Mr. Claiter and not in his interest or hers.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arriving at the total amount to be allowed for future care costs, I will keep in mind as well, that when allowing a contingency for the event that Mrs. Claiter is unavailable to care for Mr. Claiter, that there is not a duplication between this amount and the additional care that he would then require.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Caregiver Requirements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plaintiffs say that a full-time, live-in caregiver should be provided at an average cost of $63,875.00 to $109,500.00 per annum. This is the figure suggested by their consultant. In their submissions, the plaintiffs suggest that the figure of $89,892.00 per annum be used and using a multiplier of $14,848.00 to arrive at a present value of $1,334,716.00. They acknowledge that this would eliminate the necessity for respite.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defendants' position is to recognize the value of the assistance Mrs. Claiter gives to Mr. Claiter at present. They attempt through their consultant to estimate the amount of time per week that occupies and arrive at a figure of $11,056.50 per annum. The defendants suggest that much of the cueing and assistance with daily routines that is provided by Mrs. Claiter is a part of their normal family routine as it has developed. The defendants suggest that it would simply be impossible for a third person living in their home to fill that role. This includes such things as cueing Mr. Claiter with regard to his personal hygiene, whether he has used shampoo in his shower, whether he has rinsed himself off properly. This also includes cueing Mr. Claiter with regard to the appropriate clothing for the day and the weather and the multiple small cues that Mrs. Claiter provides to Mr. Claiter as a part of their daily routine.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have difficulty understanding how a 24-hour, live-in caregiver would function in their home. I find that the more appropriate course is to allow Mrs. Claiter to fulfil the role she has assumed of cueing and supervising Mr. Claiter on a day-to-day basis, but providing her with respite to ensure that it does not create an unreasonable burden upon her. I am satisfied that it is possible to leave Mr. Claiter on his own for short periods of time as Mrs. Claiter has done in the past. Provided relief is available to Mrs. Claiter when she needs to be away for greater periods of times, I am satisfied that the best course is to continue as they have been doing. I find that it would simply be unworkable to have somebody in the home providing the number of small cues that Mrs. Claiter presently provides on a regular basis.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 suggests that it was an insult to Mrs. Claiter to attempt to value the service that she has provided Mr. Claiter by estimating the amount of time she might spend, as the defendants have done and place a dollar figure on it. I do not consider that it is an insult to her, nor to the love and care she has given to Mr. Claiter. She is to be commended for that. A number of the witnesses have recognized the devotion and commitment that she has to Mr. Claiter.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defendants' approach is simply an attempt to rationalize and explain how a dollar figure can be placed on that service. Based on the evidence I have heard, I would increase the amount of time allocated to 3 hours per week day and 6 hours per weekend day for a total of 27 hours per week, or 1,404 hours per year.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should be reduced by the number of days of respite that I have allowed earlier: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 day per week x 52 weeks x 3 hours per day = 156 hours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 days per weekend, 1 weekend per month x 12 months = 24 days x 6 hours per day = 144 hours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Overall Total = 300 hours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Therefore, if the 1,404 hours is reduced by 300 hours, the balance is 1,104 hours.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caregiver could provide this service at $17.55 per hour. Using this figure, the 1,104 hours per year would cost $19,375.20. I have rounded that to $19,375.00.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not in any way minimizing the value of the service that Mrs. Claiter provides to Mr. Claiter, but simply attempting to find a way to assess it for the purposes of a damage claim.</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Considerations - Caregiver Services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the event that Mrs. Claiter is unavailable, the plaintiffs suggest an average of $63,875.00 to $109,500.00 per annum. This would be for 24 hour a day live-in caregiver. In submissions, the defendants again have reduced this to $89,892.00 per annum. I have concluded that at present a live-in caregiver is not required. However, if Mrs. Claiter is unavailable for some reason, some allowance has to be made for Mr. Claiter's future care. The defendants' consultant indicates that it is hard to arrive at what would be appropriate. Following Dr. McCann's suggestions that Mr. Claiter would have to live in a supervised environment, the defendants have suggested a residential facility such as Berwick on the Park. This is a retirement residence in Kamloops which does have assisted living units. The assisted living units provide monitoring and assistance to the residents. This involves somebody on site 24 hours a day with some assistance and supervision and liaison with doctors and other health care professionals. There is assistance with personal activities, daily life medication administration, monitoring daily housekeeping and full laundry services and meals. The defendants' consultant has compared the cost of a one bedroom unit without this assisted living and the assisted living units. The average differential in cost is $1,347.50 per month for an annual differential cost of $16,170.00.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plaintiffs argue that this may not provide against the contingency of Mr. Claiter wandering. Mr. Claiter has not wandered or become lost from his own home. After a period of adjustment, I am satisfied that he could learn to live in such a residence. If not and there was a concern that he may wander, the defendants' consultant has indicated that there are electronic devices that are available to deal with that. In addition, Mr. Claiter can use a cell phone and with proper direction and training would be able to call the residence if he had difficulties. This would be an instance where some additional assistance and counselling would be needed for Mr. Claiter until he had grown accustomed to the change.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plaintiffs argue that it would be more appropriate to provide 24 hour a day assistance to Mr. Claiter in his own home. This would represent a significant increase in cost, $1,334,716.42.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defendant has used the figure of $16,170.00. Applying the multiplier that the plaintiff suggests of $14,848.00, the present value would be $240,092.16.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must be kept in mind that if this type of care became necessary, it would be as a result of Mrs. Claiter being unavailable to assist Mr. Claiter and, therefore, the amount that has been allocated for the services she provides, and the respite that she requires, would not be incurred at the same time.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is certainly a real possibility that Mrs. Claiter may not be able to care for Mr. Claiter for the rest of his life, but it requires a certain amount of speculation to determine what those possibilities are, and to determine what amount should be allocated for the risk of that occurring, and the increased costs Mr. Claiter would then be incurring.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Ms. Earle's evidence indicated the variety of interests that Mr. Claiter had, despite his impairment. This included interest in things in his home, including his shop, his guns, interest in automobiles etc. Mr. Claiter's life would be dramatically changed if he were required to move from his home into a supervised care situation such as Berwick on the Park. There may be no alternative to such an arrangement at some time in the future, but it would be desirable and in Mr. Claiter's best interest to allow him to remain in his own home as long as reasonably possible. This is another factor to consider in trying to determine an allowance for this portion of the future care, which is contingent on whether or not Mrs. Claiter was unable to assist Mr. Claiter, and his own circumstances at the time it was required. It is reasonable to expect that Mrs. Claiter will be able to continue to provide care for Mr. Claiter in their home for the foreseeable future. It is also reasonable to assume that by the time she is unable to do so, it may well be unreasonable for Mr. Claiter to continue to reside in his home on the river. In that instance, I find that the suggestion the defendant makes that suitable accommodation and care could be provided in Berwick on the Park is appropriate. The annual cost of that would be $16,170.00. The contingency that Mrs. Claiter would not be able to provide for Mr. Claiter at a time when it would still be appropriate for him to remain in his home is off-set by the contingency that she would not be able to care for him at a time when it would be appropriate for him to be in a residence such as Berwick on the Park. If he were to remain in his home, of course the costs would increase significantly but, those costs allocated for the care that Mrs. Claiter provides and the respite would not be incurred. This is approximately $30,000.00 per annum. The actual cost if Mr. Claiter were in Berwick on the Park are approximately $16,000.00 as suggested by the defendant and approximately $14,000.00 per annum less than the cost if he remained in his home with Mrs. Claiter providing care and receiving respite.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conclude that these contingencies off-set each other and therefore make no additional allowance for the possibility that Mrs. Claiter will be unable to provide care for Mr. Claiter in his home.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Handyman Services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plaintiffs suggest an average of $538.00 to $588.00 per annum. The defendants suggest $563.00 per annum being the average and I find that $563.00 is an appropriate allowance.</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Yard Maintenance Services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plaintiffs suggest an average of $768.00 to $1,104.00. The defendants suggest $936.00 as the average. In submissions, the defendants suggest $624.00 per annum but without any real analysis as to why. I accept the figure of $936.00 per annum.</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Scotia Trust Fees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plaintiffs suggest $7,800.00 per annum. This would be an amount to manage Mr. Claiter's financial affairs if Mrs. Claiter were unavailable. Mrs. Claiter said that she arrived at this figure simply by asking somebody at the bank she works for as to what they would charge. There has been no real explanation as to how that has been arrived at or whether it is reasonable. The amount has not been proven. I do find that Mr. Claiter would require assistance with managing his finances if Mrs. Claiter were not available. This is a contingent amount and some small allowance should be allowed for this in the overall amount of future care costs. I accept that if Mrs. Claiter is not able to assist Mr. Claiter in the future, that a fee may have to be paid to assist him in managing his finances. However, the amount and that possibility are very difficult to determine. Without additional evidence, the figure of $7,800.00 suggested, certainly appears excessive.</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Vehicle Cleaning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plaintiffs suggest an average of $120.00 to $144.00 per annum. The defendants suggest the average of those two figures as $132.00 per annum and I accept that figure.</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plaintiffs suggest $79.50 per annum or alternatively, $397.51 per annum in the event that Mrs. Claiter passes away and Mr. Claiter no longer has the benefit of her medical plan. The defendants suggest that $79.50 is appropriate; that there has been no evidence to suggest that as a survivor Mr. Claiter would not be entitled to the same benefits that Mrs. Claiter presently enjoys for her employment. I find that the defendants are correct in that assertion and allow $79.50 per year.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Excluding the cost of future in-home care and the management fee, the future care costs that I have estimated, based on a yearly basis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8"/>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SERVICES:</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PER YEAR: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496"/>
        <w:gridCol w:w="1778"/>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Psychological counselling for</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$ 700.00</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Mr. Claiter:</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496"/>
        <w:gridCol w:w="1778"/>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Psychological counselling for</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$ 840.00</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Mrs. Claiter:</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973"/>
        <w:gridCol w:w="2301"/>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Occupational therapist:</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$ 1,500.00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079"/>
        <w:gridCol w:w="2195"/>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Rehabilitation assistant:</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$ 2,000.00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1"/>
        <w:gridCol w:w="3033"/>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Job coach:</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$ 265.00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079"/>
        <w:gridCol w:w="2195"/>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Respite for Mrs. Claiter:</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$11,500.00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287"/>
        <w:gridCol w:w="1987"/>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 presently</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$19,375.00</w:t>
            </w:r>
          </w:p>
        </w:tc>
        <w:tc>
          <w:tcPr>
            <w:tcW w:w="409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provided by Mrs. Claiter:</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764"/>
        <w:gridCol w:w="2510"/>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Handyman services:</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$ 563.00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660"/>
        <w:gridCol w:w="2614"/>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Yard maintenance:</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$ 936.00</w:t>
            </w:r>
          </w:p>
        </w:tc>
        <w:tc>
          <w:tcPr>
            <w:tcW w:w="409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Vehicle cleaning:</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$ 132.00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451"/>
        <w:gridCol w:w="2823"/>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Medication:</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$ 79.50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928"/>
        <w:gridCol w:w="3346"/>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$37,890.50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$37,890.50 X $14,848.00 = $562,598.14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have rounded this figure to $565,000.00.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SEATBELT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defendant raises a seatbelt defence and says that Mr. Claiter's damages should be reduced because he was not wearing a seatbelt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One of the witnesses, Mr. Miller, was probably the first person to get to Mr. Claiter's vehicle after the accident. He was there within approximately 30 seconds. Mr. Claiter was lying across the bench seat. The seatbelt was in the retracted position. Mr. Claiter let out a large sigh and was then apparently unconscious. I find on the balance of probabilities that Mr. Claiter was not wearing his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photographs which have been marked as exhibits show the extensive damage to Mr. Claiter's vehicle. Mr. Claiter's vehicle struck an oncoming vehicle, and then struck the concrete abutment. His vehicle was damaged on the right passenger side. In addition, the box appears to have been pushed sideways causing damage to the cab of the truck itself. The door was buckled and the cab was twisted above the driver's window. The collision with the concrete abutments was severe enough to dislodge them, and it appears that the front bumper of the truck, which had a winch mounted to it, had also broken free from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Mr. Claiter suffered a fracture to his neck, but his most serious injury was the closed head injury. The CT scan which was done indicated that he had damage throughout the brain tissue, not simply in one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plaintiff says that the onus is on the defendant to prove the seatbelt defence on the balance of probabilities. The defendant is required to prove that the plaintiff's injuries would have been reduced or eliminated by the use of the seatbelt. The plaintiff points out that there is no evidence:</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seatbelt was in working order;</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establish the mechanics of the brain injury;</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of an opinion from the defendants as to the probable cause of the head injury;</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of an opinion as to the object the plaintiff may have struck with his head;</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of an opinion of the nature, direction or location on the plaintiff's head of the blow sustained;</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of an opinion of the amount of force of such blow.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 agree there is no evidence as to whether the seatbelt was working or not. The defendant responds by saying that if it was not working, that Mr. Claiter would have been negligent in operating his vehicle without having it repaired. However, there is no evidence to indicate that Mr. Claiter would have been aware that the seatbelt was not in working condition, or if it was not in working condition, what the mechanism of the failure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Mr. Claiter did appear to have a large injury to his forehead, which would indicate that his forehead did strike something. However, given the nature of the brain injury itself, the evidence does not establish on the balance of probabilities, that wearing the seatbelt would have reduced that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The defendant says that I can determine the issue without expert opinions. The defendant refers to the decision Lakhani (Guardian ad litem of) v. Samson, </w:t>
      </w:r>
      <w:hyperlink r:id="rId68" w:history="1">
        <w:r>
          <w:rPr>
            <w:rFonts w:ascii="arial" w:eastAsia="arial" w:hAnsi="arial" w:cs="arial"/>
            <w:i/>
            <w:color w:val="0077CC"/>
            <w:sz w:val="20"/>
            <w:u w:val="single"/>
            <w:shd w:val="clear" w:color="auto" w:fill="FFFFFF"/>
            <w:lang w:val="en-US" w:eastAsia="en-US" w:bidi="ar-SA"/>
          </w:rPr>
          <w:t>[1982] B.C.J. No. 397</w:t>
        </w:r>
      </w:hyperlink>
      <w:r>
        <w:rPr>
          <w:rFonts w:ascii="arial" w:eastAsia="arial" w:hAnsi="arial" w:cs="arial"/>
          <w:color w:val="000000"/>
          <w:sz w:val="20"/>
          <w:lang w:val="en-US" w:eastAsia="en-US" w:bidi="ar-SA"/>
        </w:rPr>
        <w:t>, B.C.S.C. This was a five-page oral judgment. Chief Justice McEachern (as he then was)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3 I reject the suggestion that engineering evidence is required in these cases. The court is not required to leave its common sense in the hall outside the courtroom, and the evidence is clear that upon impact in both cases the Plaintiff's upper body was flung or thrown forward striking the dashboard or the steering wheel. And common sense tells me that the restraint of a shoulder harness would have prevented that, and therefore some of the injury from having occurred.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4 The Plaintiff is also guilty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second accident to the extent of 25 percent for failing to use a seatbelt. In making that apportionment I am applying what I think is the conventional apportionment for failing to wear a seatbelt. There are a number of decisions of our court. They haven't been cited to me and I don't have the names, but there was Mr. Justice Munroe's first case; where one the parties was named Farstead, and there was a subsequent case to the same effect by Mr. Justice Fulton.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Each case, of course, turns on its own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The plaintiff, in response, refers to a number of later decisions, including the following: Harrison and Harrison v. Brown, </w:t>
      </w:r>
      <w:hyperlink r:id="rId69" w:history="1">
        <w:r>
          <w:rPr>
            <w:rFonts w:ascii="arial" w:eastAsia="arial" w:hAnsi="arial" w:cs="arial"/>
            <w:i/>
            <w:color w:val="0077CC"/>
            <w:sz w:val="20"/>
            <w:u w:val="single"/>
            <w:shd w:val="clear" w:color="auto" w:fill="FFFFFF"/>
            <w:lang w:val="en-US" w:eastAsia="en-US" w:bidi="ar-SA"/>
          </w:rPr>
          <w:t>[1987] 1 W.W.R. 212</w:t>
        </w:r>
      </w:hyperlink>
      <w:r>
        <w:rPr>
          <w:rFonts w:ascii="arial" w:eastAsia="arial" w:hAnsi="arial" w:cs="arial"/>
          <w:color w:val="000000"/>
          <w:sz w:val="20"/>
          <w:lang w:val="en-US" w:eastAsia="en-US" w:bidi="ar-SA"/>
        </w:rPr>
        <w:t>, B.C.S.C. (Judgment rendered May 22, 1985). The plaintiff in the Harrison case suffered a blow to his head which did not fracture the skull, but which caused the brain to be permanently damaged. The brain injury was responsible for virtually all of the plaintiff's residual disability. The court found that some of his other injuries, including contusions and abrasions, would not have been suffered had he worn a seatbelt and not been thrown on to the gravel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court found that there was no evidence that the seatbelt was in good working order and that it had not been tested or inspected before or after the accident. The court found that although the plaintiff's mother had used the seatbelt a few weeks preceding the accident, that it fit and buckled-up properly and that it seemed to be alright, was not evidence that it was in proper working order. The court found that in itself was fatal to the success of the seatbelt defence. The court agreed that common sense and statistical evidence indicated that the use of a seatbelt increased a persons' chance of remaining inside a vehicle, and that would reduce their risk of injury. However, the court said at [paragraph]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statistical effectiveness of seatbelts has not, however, in my view eliminated, or altered, the onus of proof in individual cases. The onus remains on the defendant to show upon a balance of probability that use of a functioning seatbelt would have avoided, or minimized, the injuries which were in fact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evidence was that the mechanism of the brain injury could not be identified with certainty in that case. There was no evidence of the probable cause of the head injury, nor as to the object on which the plaintiff struck his head, nor as to the nature, direction or locations on the plaintiff's head of the blow suffered, nor the amount of force of the blow. There was no other evidence of the probable mechanics of the injury. The court found that the defendant had failed to meet its onus of proof required "... to show a causal connection between failing to wear a seatbelt, assuming that it was in good working order, and the injuries in fact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The plaintiff also referred to Hooiveld v. Biert, </w:t>
      </w:r>
      <w:hyperlink r:id="rId70" w:history="1">
        <w:r>
          <w:rPr>
            <w:rFonts w:ascii="arial" w:eastAsia="arial" w:hAnsi="arial" w:cs="arial"/>
            <w:i/>
            <w:color w:val="0077CC"/>
            <w:sz w:val="20"/>
            <w:u w:val="single"/>
            <w:shd w:val="clear" w:color="auto" w:fill="FFFFFF"/>
            <w:lang w:val="en-US" w:eastAsia="en-US" w:bidi="ar-SA"/>
          </w:rPr>
          <w:t>[1993] B.C.J. No. 2105</w:t>
        </w:r>
      </w:hyperlink>
      <w:r>
        <w:rPr>
          <w:rFonts w:ascii="arial" w:eastAsia="arial" w:hAnsi="arial" w:cs="arial"/>
          <w:color w:val="000000"/>
          <w:sz w:val="20"/>
          <w:lang w:val="en-US" w:eastAsia="en-US" w:bidi="ar-SA"/>
        </w:rPr>
        <w:t xml:space="preserve"> (B.C.C.A.). The trial judge rejected the seatbelt defence, and the court of appeal rejected the appeal on that issue, when the court of appeal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25 "...counsel for the appellant conceded, we think correctly, that this evidence did not show that the particular injuries suffered by the plaintiff would have been prevented or the severity lessened had the seatbelt been properly operating."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The plaintiff also referred to the case Abraham v. Abbinante </w:t>
      </w:r>
      <w:hyperlink r:id="rId62" w:history="1">
        <w:r>
          <w:rPr>
            <w:rFonts w:ascii="arial" w:eastAsia="arial" w:hAnsi="arial" w:cs="arial"/>
            <w:i/>
            <w:color w:val="0077CC"/>
            <w:sz w:val="20"/>
            <w:u w:val="single"/>
            <w:shd w:val="clear" w:color="auto" w:fill="FFFFFF"/>
            <w:lang w:val="en-US" w:eastAsia="en-US" w:bidi="ar-SA"/>
          </w:rPr>
          <w:t>(1998), 55 B.C.L.R. (3d) 150</w:t>
        </w:r>
      </w:hyperlink>
      <w:r>
        <w:rPr>
          <w:rFonts w:ascii="arial" w:eastAsia="arial" w:hAnsi="arial" w:cs="arial"/>
          <w:color w:val="000000"/>
          <w:sz w:val="20"/>
          <w:lang w:val="en-US" w:eastAsia="en-US" w:bidi="ar-SA"/>
        </w:rPr>
        <w:t xml:space="preserve"> (B.C.S.C.) where the court referred to and relied on Harrison (supra) and Hooiveld (supra). The evidence did not establish that the plaintiff was not wearing a seatbelt, or that had he worn a seatbelt his injuries would have been less severe or avoided. The seatbelt defence was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The plaintiff also referred to Terracciano (Guardian ad litem of) v. Etheridge, </w:t>
      </w:r>
      <w:hyperlink r:id="rId71" w:history="1">
        <w:r>
          <w:rPr>
            <w:rFonts w:ascii="arial" w:eastAsia="arial" w:hAnsi="arial" w:cs="arial"/>
            <w:i/>
            <w:color w:val="0077CC"/>
            <w:sz w:val="20"/>
            <w:u w:val="single"/>
            <w:shd w:val="clear" w:color="auto" w:fill="FFFFFF"/>
            <w:lang w:val="en-US" w:eastAsia="en-US" w:bidi="ar-SA"/>
          </w:rPr>
          <w:t>[1997] 7 W.W.R. 185</w:t>
        </w:r>
      </w:hyperlink>
      <w:r>
        <w:rPr>
          <w:rFonts w:ascii="arial" w:eastAsia="arial" w:hAnsi="arial" w:cs="arial"/>
          <w:color w:val="000000"/>
          <w:sz w:val="20"/>
          <w:lang w:val="en-US" w:eastAsia="en-US" w:bidi="ar-SA"/>
        </w:rPr>
        <w:t>. The plaintiff was thrown from the vehicle. The plaintiff was not wearing a seatbelt. The plaintiff suffered a wedge compression fracture of the spinal cord and was rendered a paraplegic. There was evidence that the lap belt available was in working condition, and that it was tested after the accident. The court found at [paragraph] 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onus rests upon the defendants to prove that it is more likely than not that Ms. Terracciano's injuries would have been prevented or would have been lessened had she worn the belt. That is, the defendants must prove causation on a balance of probabilities: Gagnon v. Beaulieu, </w:t>
      </w:r>
      <w:hyperlink r:id="rId72" w:history="1">
        <w:r>
          <w:rPr>
            <w:rFonts w:ascii="arial" w:eastAsia="arial" w:hAnsi="arial" w:cs="arial"/>
            <w:i/>
            <w:color w:val="0077CC"/>
            <w:sz w:val="20"/>
            <w:u w:val="single"/>
            <w:shd w:val="clear" w:color="auto" w:fill="FFFFFF"/>
            <w:lang w:val="en-US" w:eastAsia="en-US" w:bidi="ar-SA"/>
          </w:rPr>
          <w:t>[1977] 1 W.W.R. 702</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There was general evidence that the potential for serious injuries increases significantly for a passenger who is ejected from a vehicle. However, the court found: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64 This opinion, the only evidence directly on the issue, is of a general nature and essentially unhelpful in resolving the factual issue in this case. It states no more than what most well-read individuals know, that if one is belted, one will not sustain injury from ejection. It does not assist in showing, in this case, whether the injuries were sustained inside the vehicle or as a result of ejection from the vehicle. In the event the injuries were sustained inside the vehicle by, for example, contact with the roof, it is possible a seatbelt would not have prevented or lessened the injuries. If, on the other hand, the injuries were sustained as a result of ejection, then failure to wear a seatbelt is likely causative, in part at least, of the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65 The defendants refer to common sense. However, common sense tells one that a wedge compression fracture may occur inside a small vehicle, even with lap belt restraint, or on landing outside the vehicle. So too, a head injury may occur inside or outside the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[paragraph] 66 In the circumstances of this case, it would be speculation to say that the injury was sustained or exacerbated because Ms. Terracciano did not wear a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court was referred to the Lakhani decision as well as two others, but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in all three cases there was evidence before the Court of the likely mechanism of the accident and a connection to the failure to wear a seatbelt. Such is not the case 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68 There is ample authority that each case must be decided on its own, and that failure to wear a seatbelt does not always lead to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even in cases of spinal cord or head injures: Rogers v. Pierson Estate </w:t>
      </w:r>
      <w:hyperlink r:id="rId73" w:history="1">
        <w:r>
          <w:rPr>
            <w:rFonts w:ascii="arial" w:eastAsia="arial" w:hAnsi="arial" w:cs="arial"/>
            <w:i/>
            <w:color w:val="0077CC"/>
            <w:sz w:val="20"/>
            <w:u w:val="single"/>
            <w:shd w:val="clear" w:color="auto" w:fill="FFFFFF"/>
            <w:lang w:val="en-US" w:eastAsia="en-US" w:bidi="ar-SA"/>
          </w:rPr>
          <w:t>(1993), 77 B.C.L.R. (2d) 35</w:t>
        </w:r>
      </w:hyperlink>
      <w:r>
        <w:rPr>
          <w:rFonts w:ascii="arial" w:eastAsia="arial" w:hAnsi="arial" w:cs="arial"/>
          <w:color w:val="000000"/>
          <w:sz w:val="20"/>
          <w:lang w:val="en-US" w:eastAsia="en-US" w:bidi="ar-SA"/>
        </w:rPr>
        <w:t xml:space="preserve"> (Y.C.A.); Koopman v. Fehr </w:t>
      </w:r>
      <w:hyperlink r:id="rId74" w:history="1">
        <w:r>
          <w:rPr>
            <w:rFonts w:ascii="arial" w:eastAsia="arial" w:hAnsi="arial" w:cs="arial"/>
            <w:i/>
            <w:color w:val="0077CC"/>
            <w:sz w:val="20"/>
            <w:u w:val="single"/>
            <w:shd w:val="clear" w:color="auto" w:fill="FFFFFF"/>
            <w:lang w:val="en-US" w:eastAsia="en-US" w:bidi="ar-SA"/>
          </w:rPr>
          <w:t>(1993), 81 B.C.L.R. (2d) 145</w:t>
        </w:r>
      </w:hyperlink>
      <w:r>
        <w:rPr>
          <w:rFonts w:ascii="arial" w:eastAsia="arial" w:hAnsi="arial" w:cs="arial"/>
          <w:color w:val="000000"/>
          <w:sz w:val="20"/>
          <w:lang w:val="en-US" w:eastAsia="en-US" w:bidi="ar-SA"/>
        </w:rPr>
        <w:t xml:space="preserve"> (B.C.C.A.); Plasway v. Abraham, </w:t>
      </w:r>
      <w:hyperlink r:id="rId75" w:history="1">
        <w:r>
          <w:rPr>
            <w:rFonts w:ascii="arial" w:eastAsia="arial" w:hAnsi="arial" w:cs="arial"/>
            <w:i/>
            <w:color w:val="0077CC"/>
            <w:sz w:val="20"/>
            <w:u w:val="single"/>
            <w:shd w:val="clear" w:color="auto" w:fill="FFFFFF"/>
            <w:lang w:val="en-US" w:eastAsia="en-US" w:bidi="ar-SA"/>
          </w:rPr>
          <w:t>[1993] B.C.J. No. 172</w:t>
        </w:r>
      </w:hyperlink>
      <w:r>
        <w:rPr>
          <w:rFonts w:ascii="arial" w:eastAsia="arial" w:hAnsi="arial" w:cs="arial"/>
          <w:color w:val="000000"/>
          <w:sz w:val="20"/>
          <w:lang w:val="en-US" w:eastAsia="en-US" w:bidi="ar-SA"/>
        </w:rPr>
        <w:t xml:space="preserve">, (28 January 1993), Vancouver B900423 (B.C.S.C.); Johnson v. Mailloux, </w:t>
      </w:r>
      <w:hyperlink r:id="rId76" w:history="1">
        <w:r>
          <w:rPr>
            <w:rFonts w:ascii="arial" w:eastAsia="arial" w:hAnsi="arial" w:cs="arial"/>
            <w:i/>
            <w:color w:val="0077CC"/>
            <w:sz w:val="20"/>
            <w:u w:val="single"/>
            <w:shd w:val="clear" w:color="auto" w:fill="FFFFFF"/>
            <w:lang w:val="en-US" w:eastAsia="en-US" w:bidi="ar-SA"/>
          </w:rPr>
          <w:t>[1992] B.C.J. No. 693</w:t>
        </w:r>
      </w:hyperlink>
      <w:r>
        <w:rPr>
          <w:rFonts w:ascii="arial" w:eastAsia="arial" w:hAnsi="arial" w:cs="arial"/>
          <w:color w:val="000000"/>
          <w:sz w:val="20"/>
          <w:lang w:val="en-US" w:eastAsia="en-US" w:bidi="ar-SA"/>
        </w:rPr>
        <w:t xml:space="preserve">, (31 March 1992), Vancouver B904093 (B.C.S.C.); Harrison v. Brown, </w:t>
      </w:r>
      <w:hyperlink r:id="rId69" w:history="1">
        <w:r>
          <w:rPr>
            <w:rFonts w:ascii="arial" w:eastAsia="arial" w:hAnsi="arial" w:cs="arial"/>
            <w:i/>
            <w:color w:val="0077CC"/>
            <w:sz w:val="20"/>
            <w:u w:val="single"/>
            <w:shd w:val="clear" w:color="auto" w:fill="FFFFFF"/>
            <w:lang w:val="en-US" w:eastAsia="en-US" w:bidi="ar-SA"/>
          </w:rPr>
          <w:t>[1987] 1 W.W.R. 212</w:t>
        </w:r>
      </w:hyperlink>
      <w:r>
        <w:rPr>
          <w:rFonts w:ascii="arial" w:eastAsia="arial" w:hAnsi="arial" w:cs="arial"/>
          <w:color w:val="000000"/>
          <w:sz w:val="20"/>
          <w:lang w:val="en-US" w:eastAsia="en-US" w:bidi="ar-SA"/>
        </w:rPr>
        <w:t xml:space="preserve"> (B.C.S.C.). The onus is upon the defendants to establish the facts necessary to found a conclusion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 find that the defendants have failed to prove to meet the onus on them of proving on the balance of probabilities that Mr. Claiter's injuries would have been reduced or eliminated had he been wearing a properly functioning seatbelt. Given the severity of the impact and the damage to Mr. Claiter's vehicle, and the angles of the impact, I am not satisfied that the use of a properly operating seatbelt would have prevented or reduced Mr. Claiter's injuries. I find the seatbelt defence is not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 OF DAMAGES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4"/>
        <w:gridCol w:w="313"/>
        <w:gridCol w:w="3346"/>
        <w:gridCol w:w="2091"/>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$175,000.00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313"/>
        <w:gridCol w:w="3033"/>
        <w:gridCol w:w="2405"/>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Income Loss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$ 45,000.00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(less adjustment for taxes as calculated by counsel, failing that liberty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3"/>
        <w:gridCol w:w="313"/>
        <w:gridCol w:w="3137"/>
        <w:gridCol w:w="2301"/>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Income Loss</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4"/>
        <w:gridCol w:w="313"/>
        <w:gridCol w:w="2927"/>
        <w:gridCol w:w="2301"/>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$ 6,872.79</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In trust Claim for $ 75,000.00 Mrs. Claiter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14"/>
        <w:gridCol w:w="313"/>
        <w:gridCol w:w="2614"/>
        <w:gridCol w:w="2614"/>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0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Care</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$565,000.00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3241"/>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$966,872.79</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plaintiffs will have court ordered interest at the registrar's rate on those amounts to which the Court Order Interest Act, R.S.B.C. 1979 c. 79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Subject to any submissions counsel wish to make the plaintiffs will have their costs,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POWERS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3"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3" w:history="1">
        <w:r>
          <w:rPr>
            <w:rFonts w:ascii="arial" w:eastAsia="arial" w:hAnsi="arial" w:cs="arial"/>
            <w:b/>
            <w:bCs/>
            <w:i/>
            <w:color w:val="0077CC"/>
            <w:kern w:val="32"/>
            <w:sz w:val="28"/>
            <w:szCs w:val="32"/>
            <w:u w:val="single"/>
            <w:shd w:val="clear" w:color="auto" w:fill="FFFFFF"/>
            <w:lang w:val="en-US" w:eastAsia="en-US" w:bidi="ar-SA"/>
          </w:rPr>
          <w:t>Esser v. Brown, [2003] B.C.J. No. 354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Gerow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3 - 6,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13,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C985560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354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4" w:history="1">
        <w:r>
          <w:rPr>
            <w:rFonts w:ascii="arial" w:eastAsia="arial" w:hAnsi="arial" w:cs="arial"/>
            <w:i/>
            <w:color w:val="0077CC"/>
            <w:sz w:val="20"/>
            <w:u w:val="single"/>
            <w:shd w:val="clear" w:color="auto" w:fill="FFFFFF"/>
            <w:lang w:val="en-US" w:eastAsia="en-US" w:bidi="ar-SA"/>
          </w:rPr>
          <w:t>2003 BCSC 246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4" w:history="1">
        <w:r>
          <w:rPr>
            <w:rFonts w:ascii="arial" w:eastAsia="arial" w:hAnsi="arial" w:cs="arial"/>
            <w:i/>
            <w:color w:val="0077CC"/>
            <w:sz w:val="20"/>
            <w:u w:val="single"/>
            <w:shd w:val="clear" w:color="auto" w:fill="FFFFFF"/>
            <w:lang w:val="en-US" w:eastAsia="en-US" w:bidi="ar-SA"/>
          </w:rPr>
          <w:t>223 D.L.R. (4th) 560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4" w:history="1">
        <w:r>
          <w:rPr>
            <w:rFonts w:ascii="arial" w:eastAsia="arial" w:hAnsi="arial" w:cs="arial"/>
            <w:i/>
            <w:color w:val="0077CC"/>
            <w:sz w:val="20"/>
            <w:u w:val="single"/>
            <w:shd w:val="clear" w:color="auto" w:fill="FFFFFF"/>
            <w:lang w:val="en-US" w:eastAsia="en-US" w:bidi="ar-SA"/>
          </w:rPr>
          <w:t>14 B.C.L.R. (4th) 273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4" w:history="1">
        <w:r>
          <w:rPr>
            <w:rFonts w:ascii="arial" w:eastAsia="arial" w:hAnsi="arial" w:cs="arial"/>
            <w:i/>
            <w:color w:val="0077CC"/>
            <w:sz w:val="20"/>
            <w:u w:val="single"/>
            <w:shd w:val="clear" w:color="auto" w:fill="FFFFFF"/>
            <w:lang w:val="en-US" w:eastAsia="en-US" w:bidi="ar-SA"/>
          </w:rPr>
          <w:t>16 C.C.L.T. (3d) 127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4" w:history="1">
        <w:r>
          <w:rPr>
            <w:rFonts w:ascii="arial" w:eastAsia="arial" w:hAnsi="arial" w:cs="arial"/>
            <w:i/>
            <w:color w:val="0077CC"/>
            <w:sz w:val="20"/>
            <w:u w:val="single"/>
            <w:shd w:val="clear" w:color="auto" w:fill="FFFFFF"/>
            <w:lang w:val="en-US" w:eastAsia="en-US" w:bidi="ar-SA"/>
          </w:rPr>
          <w:t>120 A.C.W.S. (3d) 893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4" w:history="1">
        <w:r>
          <w:rPr>
            <w:rFonts w:ascii="arial" w:eastAsia="arial" w:hAnsi="arial" w:cs="arial"/>
            <w:i/>
            <w:color w:val="0077CC"/>
            <w:sz w:val="20"/>
            <w:u w:val="single"/>
            <w:shd w:val="clear" w:color="auto" w:fill="FFFFFF"/>
            <w:lang w:val="en-US" w:eastAsia="en-US" w:bidi="ar-SA"/>
          </w:rPr>
          <w:t>[2003] B.C.T.C. 246</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Janie Marianne Esser, plaintiff, and Jay Raymond Brown, Arlene J. Luoma and Attorney General for the Province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4"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 w:name="Keywords_3"/>
      <w:bookmarkEnd w:id="27"/>
      <w:r>
        <w:rPr>
          <w:rFonts w:ascii="arial" w:eastAsia="arial" w:hAnsi="arial" w:cs="arial"/>
          <w:b/>
          <w:color w:val="000000"/>
          <w:sz w:val="20"/>
          <w:lang w:val="en-US" w:eastAsia="en-US" w:bidi="ar-SA"/>
        </w:rPr>
        <w:t xml:space="preserve">Barristers and solicitors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Scope of liability — Particular negligent acts — Preparation and execution of documents — Land transfers — Damages — Relations with third parties (including opposite parties)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Real estate transactions — Duty to third parties — Unrepresented parties.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 w:name="Case Summary_3"/>
            <w:bookmarkEnd w:id="2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Assessment of damages against Brown following default judgment in an action by Esser for fraud and forgery arising out of the sale of a ranch owned by Esser and Brown. Action by Esser against a notary public, Luoma, for damages for breach of duty of care and breach of trust in her handling of the real estate transaction. Esser also brought an action against the Attorney General for recovery from an assurance fund for fraud victims. Esser and Brown purchased a ranch property together. When their relationship ended, Esser left the property. Esser and Brown signed an agreement providing that Esser would transfer her interest in the property to Brown upon the completion of certain conditions. The conditions remained unfulfilled and the transfer did not occur. Esser did not transfer her interest to Brown. Brown asked Luoma, a notary public, to prepare a transfer document for the property. He stated to Luoma that Esser had been paid for her interest and agreed to transfer title to him. Brown also stated that he would take the blank transfer to Esser to have her sign the transfer. Brown then forged Esser's signature on the document. He had Luoma pay out the balance of the purchase money to two other individuals. Luoma was not in contact with Esser and did not inform her of the details of the transaction.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 w:name="Holdings of Court_3"/>
            <w:bookmarkEnd w:id="29"/>
            <w:r>
              <w:rPr>
                <w:rFonts w:ascii="arial" w:eastAsia="arial" w:hAnsi="arial" w:cs="arial"/>
                <w:color w:val="000000"/>
                <w:sz w:val="20"/>
                <w:lang w:val="en-US" w:eastAsia="en-US" w:bidi="ar-SA"/>
              </w:rPr>
              <w:t>HELD: Action allowed against Luoma and dismissed against the Attorney General.</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Brown and Luoma were ordered to pay damages to Esser, representing half of the proceeds of sale. Esser was entitled to costs at a higher scale against Brown, based on the difficulty he had caused and the importance of the case. There were significant indicia of a possible fraud that should have been apparent to Luoma. Luoma had a duty of care to Esser as a third party beneficiary. It was reasonably foreseeable that if Luoma was careless in carrying out the transfer, it could have resulted in harm to Esser.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 w:name="Legislation Cited_2"/>
      <w:bookmarkEnd w:id="3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5"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British Columbia Supreme Court Rules, Rule 57(18). Land Title Act, </w:t>
      </w:r>
      <w:hyperlink r:id="rId85" w:history="1">
        <w:r>
          <w:rPr>
            <w:rFonts w:ascii="arial" w:eastAsia="arial" w:hAnsi="arial" w:cs="arial"/>
            <w:i/>
            <w:color w:val="0077CC"/>
            <w:sz w:val="20"/>
            <w:u w:val="single"/>
            <w:shd w:val="clear" w:color="auto" w:fill="FFFFFF"/>
            <w:lang w:val="en-US" w:eastAsia="en-US" w:bidi="ar-SA"/>
          </w:rPr>
          <w:t>R.S.B.C. 1996, c. 250, s. 296(3)</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1" w:name="Counsel_3"/>
      <w:bookmarkEnd w:id="3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6" style="position:absolute;z-index:2517647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George B. Rush, for the plaintiff. Paul R. Miller, for the defendant, Arlene J. Luoma. Leanne D. Johnston, for the defendant, Attorney General for the Province of British Columbia.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 w:name="Judgment_3"/>
      <w:bookmarkEnd w:id="32"/>
      <w:r>
        <w:pict>
          <v:line id="_x0000_s1047" style="position:absolute;z-index:25181593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3" w:name="GEROW J."/>
            <w:bookmarkEnd w:id="33"/>
            <w:r>
              <w:rPr>
                <w:rFonts w:ascii="arial" w:eastAsia="arial" w:hAnsi="arial" w:cs="arial"/>
                <w:b/>
                <w:color w:val="000000"/>
                <w:sz w:val="30"/>
                <w:lang w:val="en-US" w:eastAsia="en-US" w:bidi="ar-SA"/>
              </w:rPr>
              <w:t>GEROW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claim arises out of a real estate transaction involving the sale of a ranch property owned by the plaintiff and the defendant, Jay Raymond Brown (Brown) in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claim against Mr. Brown is for damages for fraud and forgery in the transaction. Default judgment was entered against Mr. Brown on April 26, 1999 and the only issue is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claim against the defendant Arlene J. Luoma (Luoma), the notary public who represented Mr. Brown in the transaction, is that she owed a duty of care to the plaintiff and breached that duty of care causing loss and damage to the plaintiff. As well the plaintiff is claiming damages against Ms. Luoma for breach of trust in the handling of the real estate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issues with respect to Ms. Luoma are did she owe a duty of care to the plaintiff; if she did, was she in breach of the duty of care; and what, if any, damages result from the breach. Other issues to be addressed are whether Ms. Luoma was a trustee with respect to the monies she received from the sale and whether she breached her duty to the plaintiff as a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defendant, Attorney General for the Province of British Columbia (AG) is a defendant pursuant to section 296(3) of the Land Title Act, </w:t>
      </w:r>
      <w:r>
        <w:rPr>
          <w:rFonts w:ascii="arial" w:eastAsia="arial" w:hAnsi="arial" w:cs="arial"/>
          <w:i/>
          <w:color w:val="000000"/>
          <w:sz w:val="20"/>
          <w:lang w:val="en-US" w:eastAsia="en-US" w:bidi="ar-SA"/>
        </w:rPr>
        <w:t>R.S.B.C. 1996, c. 250</w:t>
      </w:r>
      <w:r>
        <w:rPr>
          <w:rFonts w:ascii="arial" w:eastAsia="arial" w:hAnsi="arial" w:cs="arial"/>
          <w:color w:val="000000"/>
          <w:sz w:val="20"/>
          <w:lang w:val="en-US" w:eastAsia="en-US" w:bidi="ar-SA"/>
        </w:rPr>
        <w:t>, which requires that the AG be joined as a nominal party defendant as a condition of recovering damages and costs from an assurance fund when a person is deprived in an interest in land as a result of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March 1, 1982 the plaintiff and Mr. Brown purchased a ranch property outside Kamloops as tenants-in-common. At the time the plaintiff and Mr. Brown were in a common-law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ranch property is several acres with 8 houses on it. The plaintiff and Mr. Brown lived in one of the houses with their respective children. They rented out a number of the other houses.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original down payment for the property was paid by the plaintiff and the balance was financed by a first mortgage in favour of Thompson Valley Savings Credit Union and a second mortgage which was a vendor back mortgage in favour of Mr. and Mrs. Desrosier.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and her children moved off the ranch in the summer of 1984 after her relationship with Mr. Brown ended. The evidence is that Mr. Brown physically and verbally abused the plaintiff both while she was living on the ranch property and after she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Brown and his children remained on the ranch, with Mr. Brown collecting the rents and managing the property until the property was sold in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Between 1984 and 1990 the plaintiff and Mr. Brown were in occasional contact. The plaintiff would attend the ranch from time to time to assist in the cleaning and painting of the rental houses and other general repairs and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December 1989 the plaintiff and Mr. Brown signed an agreement which provided the plaintiff would transfer her share of the ranch property to Mr. Brown in consideration of Mr. Brown paying her $15,000 and arranging that she be released from all liabilities including the two mortgages and taxes. Until the conditions were met and the transfer was effected Mr. Brown was to provide the plaintiff with financial statements for the ranch for income tax purposes on an annual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spring of 1991 the plaintiff made plans to move from Kamloops and hired a lawyer, Mr. Adkin, to assist her in finalizing the agreement with Mr. Brown. Mr. Adkin wrote to Mr. and Mrs. Desrosier requesting the plaintiff be released from the vendor back second mortgage. On March 20, 1991 the Desrosier's lawyer responded indicating that his clients would not release the plaintiff from her obligations under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June 1991 the plaintiff moved from Kamloops. The agreement with Mr. Brown had not been finalized. Although Mr. Brown had paid her the $15,000 she remained on title and was liable for the two ranch mortgages. Mr. Brown did not provide her with any financial statements regarding the income and expenses incurred from the rental of the houses on the ranch property. Mr. Brown never fulfilled his obligations under the agreement to have the plaintiff released from liability for the mortgages and taxes or to provide her with financial statements regarding the property. As a result the plaintiff never transferred her interest in the property to Mr.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was the plaintiff's evidence that the obligations of both parties were to be fulfilled within a reasonable period of time. They were not. When the Desrosiers declined to release the plaintiff from the larger second mortgage in September 1991 the plaintiff advised her counsel that she was not going to transfer her interest in the property to Mr.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1997 Mr. Brown attempted to contact the plaintiff regarding the ranch. On July 11, 1997 Mr. Brown left a note on the plaintiff's car that he wanted to reach a fair agreement with her with respect to the ranch property but did not advise her he was attempting to sell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 was, however, contemplating selling the ranch at the time. In July 1997 Mr. Brown met with Ms. Luoma and asked her to prepare a transfer for the ranch. He was accompanied by his friend Mr. George Graydon (Graydon) who was a long time friend of Ms. Luoma.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Luoma first met Mr. Brown in May 1997 when she acted for him with respect to another property in Kamloops which he sold. The plaintiff had no involvement in that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the meeting in July 1997 Mr. Brown had a copy of the title for the ranch dated April 19, 1997 which indicated that the plaintiff and Mr. Brown were owners of the property as tenants-in-common. The top of the page showing the source of the title search was blanked out which was unusual. The document showed that the application date for the registration of the property was received and entered on February 22,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Brown advised Ms. Luoma that he and the plaintiff had been married and had separated about 10-15 years earlier at which time they had entered into a written agreement whereby the plaintiff had agreed to transfer her interest in the property to him. He told Ms. Luoma that the plaintiff had been paid for her interest in the 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Luoma's evidence is that she asked to see the agreement but Mr. Brown told her he did not have it with him. According to Ms. Luoma, Mr. Graydon confirmed that he had seen the agreement and that the plaintiff had been paid. Ms. Luoma never received a copy of the agreement from Mr. Brown nor did she follow up on her request for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She did not question that the registration date on the property showing the plaintiff as an owner was 1990, which would have been three to eight years after Mr. Brown told her he had separated from the plaintiff and they had entered into the separation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At Mr. Brown's request, Ms. Luoma had her secretary prepare a Transfer for the ranch property which included the legal description but which left the name of the purchaser and the purchase price blank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Luoma's evidence is that Mr. Brown told her the reason he needed the blank transfer was that the plaintiff lived in Kamloops and he was going there the following week to have the plaintiff sign the document. He also advised her that the plaintiff was represented a lawyer named Roger Plested.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Both Ms. Luoma and Mr. Youngston, the expert called on behalf of the plaintiff, agree that it is very unusual to prepare a blank Transfer. As well, both agree that they seldom see properties owned by tenants-in-common. Mr. Youngston's evidence is that it is very rare for tenants-in-common to be separately represented.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next time Ms. Luoma had dealings with Mr. Brown was in December 1997 when Mr. Brown came to her office, again accompanied by Mr. Graydon. He had with him a signed Contract of Sale for the ranch to Mr. Forgaard for $280,000 and the blank Transfer signed by the plaintiff and witnessed by Mr. Plested. The evidence is that both the signatures of the plaintiff and Mr. Plested were forged.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Luoma completed the Transfer by typing in the name of the purchaser and the consideration. As well, she completed a vendor's Statement of Adjustments which she had Mr. Brown sign. She made no effort to contact the plaintiff or Mr. Plested in order to have the plaintiff sign the vendor's Statement of Adjustments, even though she was clearly on title and specifically referred to in the document. She did not send a copy of the completed Transfer or the vendor's Statement of Adjustments to Mr. Plested or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Her explanation as to why she did not contact the plaintiff or Mr. Plested was that she had no need to. She was satisfied that Mr. Plested had witnessed the plaintiff's signature. Her evidence was that she checked Mr. Plested's signature and seal against a document she had from the earlier transaction in which she had acted for Mr. Brown where Mr. Plested had acted for the purchaser in order to confirm the signature and seal were authentic. She was not concerned about the lack of a covering letter from Mr. Plested and she did not feel it was necessary to telephone him or write to him at any time with respect to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Luoma apparently did not think it was unusual that Mr. Plested would be the lawyer involved in both transactions, even though the plaintiff had not been involved in the May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After receiving the monies from the purchaser Ms. Luoma complied with Mr. Brown's instructions to her to discharge the mortgage in favour of the Thompson Valley Savings Credit Union. The purchaser was to assume the second mortgage. Ms. Luoma set out the details of the mortgage payouts in the vendor's Statement of Adjustments and included a note warning Mr. Brown that he remained on the covenant for the second mortgage. The vendor's Statement of Adjustments also indicated that $31,713.85 of the purchase monies was to be paid to a Mr. Ray Balan and "no funds due to Janie Esser under divorce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evidence is that although Ms. Luoma did not contact Mr. Plested she had no hesitation contacting the lawyer acting for the purchaser of the property and in fact phoned him on more than one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January 29, 1998 Mr. Brown authorized Ms. Luoma to pay the balance of the purchase monies remaining, $100,000, which was being held in her trust account to Mr. Balan and Mr. Graydon in equal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Luoma's evidence was that she understood Mr. Ray Balan was Mr. Brown's cousin. When asked about a note where she apparently referred to Mr. Brown as Ray she said she was confused about whether Mr. Brown's name was Ray or Jay. On some of the documents she referred to him as Ray and on some she referred to him as Jay.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When Ms. Luoma was asked about the payment out to Mr. Graydon she said it was her understanding that Mr. Brown owed Mr. Graydon some money although she didn't believe it was $50,000. As well Mr. Graydon and Mr. Brown told her that Mr. Brown owed Mr. Ray Balan money and that was the reason that most of the money was being paid to him. Mr. Balan was not Mr. Brown's cousin; rather Ray Balan was Mr. Brown's real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did not find Ms. Luoma a credible witness. Her evidence was self-serving. When asked about issues such as the top of the title search being blanked out and the confusion regarding Mr. Brown's name her evidence was that she had either not noticed or not paid any attention to those issues. She did not think it was unusual for Mr. Plested to have been involved in both real estate transactions in which she had acted for Mr.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When asked why she did not warn the plaintiff that she remained on the covenant as a result of the purchaser assuming the second mortgage Ms. Luoma said that she probably assumed there were no covenants. In support of that statement she referred to the fact that the mortgage was registered March 1, 1982 and the title showing Mr. Brown and plaintiff as owners was registered in 1990. Yet when she was later questioned about whether she thought it was odd that the title showing both as tenants-in-common was registered three to eight years after Mr. Brown had told her the separation agreement had been entered into Ms. Luoma said she probably did not notice the 1990 date on the title search.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She agreed that the assumption of a mortgage was a very rare event and it would not have been hard to obtain a copy of the mortgage to confirm if either Mr. Brown or the plaintiff were on the covenants, however, she took no steps to do so. Her evidence was that she asked Mr. Brown for a copy of the mortgage but never received it. In my view all of these factors should have put Ms. Luoma on inquiry regarding the legitimacy of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well, there were aspects of the transaction which were identified as unusual by Mr. Youngston which should have alerted Ms. Luoma to a possibility of a fraud. These included preparing a blank transfer, being advised that one vendor had disposed of her interest in land, receiving a signed and witnessed blank transfer from the co-vendor and receiving another transfer prepared by the purchaser's solicitor leaving the transferor's name blank.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Other factors which were indicia of a possible fraud were referred to at trial, including:</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being told the parties had separated 10 - 15 years earlier and being provided with a land title search indicating that the property had been registered with both their names three to eight years after they had allegedly signed a separation agreement;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contrary to normal practice Ms. Luoma was to fill out the names of the transferors;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contrary to normal conveyancing practice Ms. Luoma assumed responsibility of preparing the transfer including section 5 and advising the purchaser's lawyer that she was providing the Freehold transfer; something that is normally the responsibility of the purchaser's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There is also the issue of her friendship with Mr. Graydon. Ms. Luoma's evidence was that she was instructed to pay $50,000 to him. He was the person she relied on to confirm the agreement between Mr. Brown and the plaintiff. Ms. Luoma took no steps to obtain an independent verification of the story of the agreement from someone who was not going to profit by the transaction. This should have been another warning flag of a possible fraud to Ms. Luoma and she as a prudent notary should have obtained independent verification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THERE A DUTY OF CARE OWED BY MS. LUOMA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issue of what duty a person in the position of Ms. Luoma owes to a third party who is not her client has been considered in a number of recent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Cooper v. Hobart, </w:t>
      </w:r>
      <w:hyperlink r:id="rId86" w:history="1">
        <w:r>
          <w:rPr>
            <w:rFonts w:ascii="arial" w:eastAsia="arial" w:hAnsi="arial" w:cs="arial"/>
            <w:i/>
            <w:color w:val="0077CC"/>
            <w:sz w:val="20"/>
            <w:u w:val="single"/>
            <w:shd w:val="clear" w:color="auto" w:fill="FFFFFF"/>
            <w:lang w:val="en-US" w:eastAsia="en-US" w:bidi="ar-SA"/>
          </w:rPr>
          <w:t>[2001] 3 S.C.R. 537</w:t>
        </w:r>
      </w:hyperlink>
      <w:r>
        <w:rPr>
          <w:rFonts w:ascii="arial" w:eastAsia="arial" w:hAnsi="arial" w:cs="arial"/>
          <w:color w:val="000000"/>
          <w:sz w:val="20"/>
          <w:lang w:val="en-US" w:eastAsia="en-US" w:bidi="ar-SA"/>
        </w:rPr>
        <w:t xml:space="preserve">, the court affirmed the two step approach to determining if a duty of care exists set out in Anns v. Merton London Borough Council, [1978] A.C. 728 (H.L.). The question before the court was whether the Registrar of mortgage brokers owed a duty of care to members of the investing public giving rise to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economic losses that investors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court stated that the importance of Anns, supra, lay in its recognition of policy considerations and the balancing of interests which a court must undertake in determining whether a duty of care exists.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court went on to discuss the application of the two stage test and stated at para. 27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Provided the proper balancing of the factors relevant to a duty of care are considered, it may not matter, so far as a particular case is concerned, at which "stage" it occurs. The underlying question is whether a duty of care should be imposed, taking into account all relevant factors disclosed by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court said the two questions that need to be asked are: "(1) was the harm that occurred the reasonably foreseeable consequence of the defendant's act? and (2) are there reasons, notwithstanding the proximity between the parties established in the first part of this test that tort liability should not be recognized here?"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looking at the first question a court should consider whether the case either falls within or is analogous to cases where a duty of care has been found to exist.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There are categories of cases in which the duty of care of a solicitor to a third party not his client for economic loss has been found. In Tracy v. Atkins </w:t>
      </w:r>
      <w:hyperlink r:id="rId87" w:history="1">
        <w:r>
          <w:rPr>
            <w:rFonts w:ascii="arial" w:eastAsia="arial" w:hAnsi="arial" w:cs="arial"/>
            <w:i/>
            <w:color w:val="0077CC"/>
            <w:sz w:val="20"/>
            <w:u w:val="single"/>
            <w:shd w:val="clear" w:color="auto" w:fill="FFFFFF"/>
            <w:lang w:val="en-US" w:eastAsia="en-US" w:bidi="ar-SA"/>
          </w:rPr>
          <w:t>(1978), 16 B.C.L.R. 223</w:t>
        </w:r>
      </w:hyperlink>
      <w:r>
        <w:rPr>
          <w:rFonts w:ascii="arial" w:eastAsia="arial" w:hAnsi="arial" w:cs="arial"/>
          <w:color w:val="000000"/>
          <w:sz w:val="20"/>
          <w:lang w:val="en-US" w:eastAsia="en-US" w:bidi="ar-SA"/>
        </w:rPr>
        <w:t xml:space="preserve"> (C.A.), the court held that a solicitor acting for a purchaser in a real estate transaction owed a duty of care in tort to unrepresented vendors on the basis that the vendors relied 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As well, there are a number of cases involving a solicitor's duty of care to a beneficiary under a will, for example, Whittingham v. Crease &amp; Co., </w:t>
      </w:r>
      <w:hyperlink r:id="rId88" w:history="1">
        <w:r>
          <w:rPr>
            <w:rFonts w:ascii="arial" w:eastAsia="arial" w:hAnsi="arial" w:cs="arial"/>
            <w:i/>
            <w:color w:val="0077CC"/>
            <w:sz w:val="20"/>
            <w:u w:val="single"/>
            <w:shd w:val="clear" w:color="auto" w:fill="FFFFFF"/>
            <w:lang w:val="en-US" w:eastAsia="en-US" w:bidi="ar-SA"/>
          </w:rPr>
          <w:t>[1978] 5 W.W.R. 45</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duty of a solicitor to a third party beneficiary was recently addressed by the House of Lords in White v. Jones, [1995] 2 A.C. 207 (H.L.). The court in finding that the solicitor owed a duty of care to a third party beneficiary said that an important consideration in such cases is that a failure to recognize a duty of care would mean there is no remedy for a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 stated by Lord Goff: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forefront stands the extraordinary fact that, if such a duty is not recognized, the only persons who might have a valid claim (i.e. the testator and his estate) have suffered no loss, and the only person who has suffered a loss (i.e. the disappointed beneficiary) has no claim...It can therefore be said that, if the solicitor owes no duty to the intended beneficiaries, there is a lacuna in the law which needs to be filled. (p. 259)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decision in White, supra, has been cited with approval in a number of Canadian cases. In Earl v. Wilhelm </w:t>
      </w:r>
      <w:hyperlink r:id="rId89" w:history="1">
        <w:r>
          <w:rPr>
            <w:rFonts w:ascii="arial" w:eastAsia="arial" w:hAnsi="arial" w:cs="arial"/>
            <w:i/>
            <w:color w:val="0077CC"/>
            <w:sz w:val="20"/>
            <w:u w:val="single"/>
            <w:shd w:val="clear" w:color="auto" w:fill="FFFFFF"/>
            <w:lang w:val="en-US" w:eastAsia="en-US" w:bidi="ar-SA"/>
          </w:rPr>
          <w:t>(2000), 183 D.L.R. (4th) 45</w:t>
        </w:r>
      </w:hyperlink>
      <w:r>
        <w:rPr>
          <w:rFonts w:ascii="arial" w:eastAsia="arial" w:hAnsi="arial" w:cs="arial"/>
          <w:color w:val="000000"/>
          <w:sz w:val="20"/>
          <w:lang w:val="en-US" w:eastAsia="en-US" w:bidi="ar-SA"/>
        </w:rPr>
        <w:t>, the Saskatchewan Court of Appeal expressed agreement with White, supra, in finding that the solicitor owed a duty to third party beneficiaries while recognizing the conceptual difficulties of imposing a duty of care in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Luoma argues that the situation in Tracy, supra, is not analogous because in this case there was no reliance. She says the plaintiff could not have relied on Ms. Luoma because she had no knowledge of her or the fact that the land was being transferred. As well, she says this is not analogous to the disappointed beneficiary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Luoma accepts that the standard of care expected of a prudent solicitor in conducting a real estate transaction is applicable to a notary public. However, while agreeing that a solicitor can owe a duty of care to a third party for economic losses Ms. Luoma says that it is only in very limited circumstances as set out in the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Ms. Luoma relies on Kamahap Enterprises Ltd. v. Chu's Central Market Ltd. et al </w:t>
      </w:r>
      <w:hyperlink r:id="rId90" w:history="1">
        <w:r>
          <w:rPr>
            <w:rFonts w:ascii="arial" w:eastAsia="arial" w:hAnsi="arial" w:cs="arial"/>
            <w:i/>
            <w:color w:val="0077CC"/>
            <w:sz w:val="20"/>
            <w:u w:val="single"/>
            <w:shd w:val="clear" w:color="auto" w:fill="FFFFFF"/>
            <w:lang w:val="en-US" w:eastAsia="en-US" w:bidi="ar-SA"/>
          </w:rPr>
          <w:t>(1989), 40 B.C.L.R. (2d) 288</w:t>
        </w:r>
      </w:hyperlink>
      <w:r>
        <w:rPr>
          <w:rFonts w:ascii="arial" w:eastAsia="arial" w:hAnsi="arial" w:cs="arial"/>
          <w:color w:val="000000"/>
          <w:sz w:val="20"/>
          <w:lang w:val="en-US" w:eastAsia="en-US" w:bidi="ar-SA"/>
        </w:rPr>
        <w:t xml:space="preserve"> (C.A.) as authority for the proposition that a lawyer acting for one party cannot owe a duty of care to another party in a commercial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Kamahap, supra, Mr. Justice Taylor states that in a commercial transaction for the sale of property of land a vendor cannot owe a duty of care to a purchaser to protect the purchaser's economic interests, rather their duties in relation to each other are to be found in the contract between them and it is inappropriate for a court to impose an independent duty of care on them. (page 296)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He goes on to find that it is impossible that a lawyer acting for a vendor in the transaction, absent a finding of reasonable reliance by the purchaser, could owe a duty to the purchaser that the vendor did not have. (p. 296)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Justice Taylor says that in such a case there would be no "duty of care imposed under rule formulated in Anns, subject only to exceptions based on 'policy' considerations." (p. 295)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my view this case is distinguishable from Kamahap, supra, in that this is not a situation involving a vendor and a purchaser where both are motivated out of self interest and whose business dealings and duties to each other are found in the contract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This case involves two vendors, the plaintiff and Mr. Brown, who bought this property as tenants-in-common. Both are still on the title which is being transferred to the purchaser. Their interests are not clearly distinguishable, rather they have interests in common, i.e. both have an interest in having the mortgage paid off so that any personal covenants they have given are discharged. This is not a situation where no duty of care is owed by Mr. Brown to the plaintiff, as would be the case in a vendor/purchaser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British Columbia Court of Appeal recently considered the duty of care owed by a solicitor to a third party in Midland Mortgage Corp. v. Jawl &amp; Bundon </w:t>
      </w:r>
      <w:hyperlink r:id="rId91" w:history="1">
        <w:r>
          <w:rPr>
            <w:rFonts w:ascii="arial" w:eastAsia="arial" w:hAnsi="arial" w:cs="arial"/>
            <w:i/>
            <w:color w:val="0077CC"/>
            <w:sz w:val="20"/>
            <w:u w:val="single"/>
            <w:shd w:val="clear" w:color="auto" w:fill="FFFFFF"/>
            <w:lang w:val="en-US" w:eastAsia="en-US" w:bidi="ar-SA"/>
          </w:rPr>
          <w:t>(1999), 62 B.C.L.R. (3d) 239</w:t>
        </w:r>
      </w:hyperlink>
      <w:r>
        <w:rPr>
          <w:rFonts w:ascii="arial" w:eastAsia="arial" w:hAnsi="arial" w:cs="arial"/>
          <w:color w:val="000000"/>
          <w:sz w:val="20"/>
          <w:lang w:val="en-US" w:eastAsia="en-US" w:bidi="ar-SA"/>
        </w:rPr>
        <w:t xml:space="preserve">, Per curiam: </w:t>
      </w:r>
      <w:hyperlink r:id="rId92" w:history="1">
        <w:r>
          <w:rPr>
            <w:rFonts w:ascii="arial" w:eastAsia="arial" w:hAnsi="arial" w:cs="arial"/>
            <w:i/>
            <w:color w:val="0077CC"/>
            <w:sz w:val="20"/>
            <w:u w:val="single"/>
            <w:shd w:val="clear" w:color="auto" w:fill="FFFFFF"/>
            <w:lang w:val="en-US" w:eastAsia="en-US" w:bidi="ar-SA"/>
          </w:rPr>
          <w:t>64 B.C.L.R. (3d) 1</w:t>
        </w:r>
      </w:hyperlink>
      <w:r>
        <w:rPr>
          <w:rFonts w:ascii="arial" w:eastAsia="arial" w:hAnsi="arial" w:cs="arial"/>
          <w:color w:val="000000"/>
          <w:sz w:val="20"/>
          <w:lang w:val="en-US" w:eastAsia="en-US" w:bidi="ar-SA"/>
        </w:rPr>
        <w:t>. Madam Justice Southin confirms that generally a solicitor acting for one party does not owe a duty of care to a third party. At page 6 she sets out a possible exception to the general rule: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postulate a duty on the part of A to B in circumstances where the duty, if it were to be carried out, would require A to be in breach of his antecedent duty in contract and tort to C, does not accord with sound policy. </w:t>
      </w:r>
      <w:r>
        <w:rPr>
          <w:rFonts w:ascii="arial" w:eastAsia="arial" w:hAnsi="arial" w:cs="arial"/>
          <w:b/>
          <w:color w:val="000000"/>
          <w:sz w:val="20"/>
          <w:lang w:val="en-US" w:eastAsia="en-US" w:bidi="ar-SA"/>
        </w:rPr>
        <w:t>We are, of course, speaking only of an alleged duty on the part of A to B not to be negligent. Nothing we have said speaks to a case, if there ever were to be one, in which a solicitor discovered his client was, in the transaction in issue, about to perpetrate a fraud on a third person</w:t>
      </w:r>
      <w:r>
        <w:rPr>
          <w:rFonts w:ascii="arial" w:eastAsia="arial" w:hAnsi="arial" w:cs="arial"/>
          <w:color w:val="000000"/>
          <w:sz w:val="20"/>
          <w:lang w:val="en-US" w:eastAsia="en-US" w:bidi="ar-SA"/>
        </w:rPr>
        <w:t>. (emphasis added,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determining whether Ms. Luoma owed a duty of care to the plaintiff the first question to be considered is whether there was a sufficiently close relationship between Ms. Luoma and the plaintiff so that Ms. Luoma should have reasonably contemplated that carelessness on her part might cause harm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Luoma was transferring land owned by the plaintiff as a tenant-in-common with her client Mr. Brown. In the circumstances of this case I find it is reasonably foreseeable that if Ms. Luoma was careless in carrying out the transfer that could result in harm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Luoma says that she reasonably believed that the plaintiff was represented by counsel and, therefore, she owed no duty to the plaintiff. She says that in the cases which have found that a solicitor owed a duty of care to a third party the third party was not represented by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Even if I accepted Ms. Luoma's argument that she reasonably believed that the plaintiff was represented by counsel when she received the signed Transfer, she then ignored the counsel and did not provide him with any documentation she prepared involving his client. How can Mr. Plested advise the plaintiff regarding what, if any, impact not paying out the second mortgage would have on her if he does not know that the second mortgage is not paid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find that Ms. Luoma's argument that she was entitled to rely on the plaintiff being represented by counsel fails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While the proximity inquiry in the first stage of Anns, supra, looks at the relationship between the parties, the factors to be considered also include questions of policy. In this case the policy question to be considered is should a notary public or solicitor be allowed to ignore unusual circumstances which are indicia of the possibility of a fraud being committed.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Luoma's argument is that she made reasonable inquiries. I disagree. There are many examples of carelessness and turning a blind eye to obvious signs of a potentially fraudulent conveyance.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Youngston's evidence was that the unusual aspects of this transaction should have raised a red flag for Ms. Luoma. In his words, this transaction "Did not pass the smell test" and Ms. Luoma should have been alive to the possibility of a fraud being perpetrated.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Although the Court of Appeal in Midland, supra, refers to a situation in which the solicitor discovered his client was about to commit a fraud, it is my view a duty should be owed when the notary public or solicitor ignores clear signs that a fraud is about to perpetrated and does not bother to make simple inquiries which would have confirmed her suspicion. A failure to recognize a duty of care in such a case would mean there is no remedy for the notary public's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would be a lacuna in the law which needs to be filled. White,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After ignoring initial warning signs which should have put her on notice of a potential fraud, Ms. Luoma received the monies in her trust account. She then failed to payout the Desrosier mortgage, although she had the funds to do so; failed to obtain the authority of the plaintiff or her counsel to allow the Desrosier mortgage, together with the plaintiff's covenants to remain on title; and paid out 100% of the net proceeds to Mr. Brown's nominees without obtaining any authority from the plaintiff or Mr. Plested or even advising them she was about to do so contrary to her normal practice which was to obtain the signatures of all vendors on the Authority to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By preparing the documents and not providing them to Mr. Plested or the plaintiff, I find that Ms. Luoma purported to act for both vendors, including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It is clear that the Court of Appeal anticipated that there may be exceptions, either for policy reasons or when a fraud is about to be perpetrated, from the general rule set out in Kamahap, supra, and Midland, supra, that a solicitor acting for one party will not normally owe a duty of care to a third party in a commercial transaction. In my view this is a case which should be excepted from the general rule for both those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considering the second stage of the Anns test it is evident that finding a duty of care in this matter would not result in indeterminate liability to an indeterminate class. The facts of this case are such that Ms. Luoma should have either known or suspected that Mr. Brown was going to fraudulently transfer property owned by the plaintiff. There is no issue of indeterminacy as it is clear that the plaintiff is the person who directly stands to be affected by negligent conduct on the part of Ms. Luoma.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argument advanced on behalf of Ms. Luoma that if she had alerted Mr. Plested or the plaintiff to the possibility that Mr. Brown was going to fraudulently convey the land she would be in breach of her duty to Mr. Brown is preposterous. Her counsel argues that she was simply retained to carry out the conveyance and there was no duty on her to determine that the transaction was valid. I do not accept that a solicitor or notary public can ignore clear indicia of fraud. I am of the view that to accept that argument would be contrary to public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light of all the circumstances, I find that Ms. Luoma owed a duty of care to the plaintiff. Further I find that she breached that duty of care in failing to exercise reasonable care in carrying out her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Given these findings it is unnecessary to deal with the issue of whether Ms. Luoma was in breach of trust to the plaintiff as a beneficiary with respect to the monies she received into her trust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 AGAINST THE DEFENDANT,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award damages to the plaintiff against Mr. Brown in the amount of $81,116.47 plus pre-judgment interest from January 18, 1998 and costs on the basis that she should have received half of the net proceeds of the sale to the purchaser Mr. Forgaard.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assessing costs against Mr. Brown at scale 4 I have taken into consideration the difficulty the case has posed for the plaintiff and the general importance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As a result of the provisions of Part 20 of the Land Title Act, the plaintiff has had to pursue Ms. Luoma before being able to submit a claim against Assurance Fund for her losses due to Mr. Brown's fraud. This has resulted in significant legal fees plus a significant expenditure of her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As well, I agree with the plaintiff's submission that the action is important and of general interest to the public in encouraging innocent victims to pursue rogues and take action to maintain the integrity of the land registry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 AGAINST THE DEFENDANT, LUOMA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is claiming damages in the amount of $81,116.47 plus prejudgment interest from January 15, 1998 to present and costs. As well, she submits that I should award costs for the Foreclosure action she had to defend as a result of her personal covenants remaining on the title with respect to the Desrosier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evidence is that after January 1998, Mr. Forgaard, the purchaser, defaulted on the Desrosier mortgage. As a result of his default the mortgagees pursued the plaintiff on her personal covenant. She appeared and defended that action. She now claims the costs of that action against Ms. Luoma.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rejecting the claim for costs of the foreclosure action, I accept Ms. Luoma's argument that the plaintiff did not claim the expense as part of these proceedings. As well, the plaintiff has provided no particulars of her loss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With respect to net proceeds being claimed I agree with the plaintiff that Ms. Luoma cannot take advantage of any payments Mr. Brown may have made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do not accept Ms. Luoma's submission that the plaintiff did not suffer any loss. The plaintiff would have been entitled to half of the net proceeds, subject to any negotiations with Mr.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Luoma argues that to make such a finding ignores the 1989 agreement and provides a windfall to the plaintiff. I do not agree. I find that the 1989 agreement was simply an agreement to enter into a contract if certain conditions were fulfilled. They were not and the plaintiff did not transfer her interest in the land to Mr.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reject Ms. Luoma's argument that Mr. Brown thought the 1989 agreement had been put into effect. There would have been no need for the forgery if that was so. As well, it is clear from the note of July 11, 1997 that Mr. Brown knows there is no agreement with respect 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disagree that not taking into account the $15,000. payment by Mr. Brown to the plaintiff provides the plaintiff with a windfall. The plaintiff paid the original down payment of $15,000. Mr. Brown did not contribute any money to the down payment. Mr. Brown had exclusive use of the property from 1984 to 1998. He did not account to the plaintiff or provide her with any funds from the rents after 1989 at the latest. His only income came from the ranch and, therefore, the $15,000 he paid to her was generated from the ranch which was owned in part by her. In my view, it is not appropriate to take the $15,000 into account in assessing the damages against Ms. Luoma.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plaintiff would have been entitled to half of the net proceeds of the ranch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Ms. Luoma. Accordingly, I award the amount of $81,116.47 plus pre-judgment interest from January 15, 1998 against Ms. Luoma. The plaintiff is entitled to her costs as against Ms. Luoma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CLAIM AGAINST THE ATTORNEY GENERAL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Having found the defendant, Ms. Luoma liable to the plaintiff for the full amount of the damages being claimed I find that the plaintiff has no claim against the Assurance Fund and accordingly dismiss the plaintiff's claim against the AG.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AG is entitled to costs to be paid by the defendant, Ms. Luoma, pursuant to Rule 57(18) of the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GEROW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8"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
          <w:headerReference w:type="default" r:id="rId94"/>
          <w:footerReference w:type="even" r:id="rId95"/>
          <w:footerReference w:type="default" r:id="rId96"/>
          <w:headerReference w:type="first" r:id="rId97"/>
          <w:footerReference w:type="first" r:id="rId9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99" w:history="1">
        <w:r>
          <w:rPr>
            <w:rFonts w:ascii="arial" w:eastAsia="arial" w:hAnsi="arial" w:cs="arial"/>
            <w:b/>
            <w:bCs/>
            <w:i/>
            <w:color w:val="0077CC"/>
            <w:kern w:val="32"/>
            <w:sz w:val="28"/>
            <w:szCs w:val="32"/>
            <w:u w:val="single"/>
            <w:shd w:val="clear" w:color="auto" w:fill="FFFFFF"/>
            <w:lang w:val="en-US" w:eastAsia="en-US" w:bidi="ar-SA"/>
          </w:rPr>
          <w:t>Falbo v. Coutts, [2000] B.C.J. No. 504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Warren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February 29, 2000.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March 9, 2000.</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B960916</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[2000] B.C.J. No. 504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2000 BCSC 434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95 A.C.W.S. (3d) 658</w:t>
      </w:r>
    </w:p>
    <w:p>
      <w:pPr>
        <w:spacing w:before="120" w:line="260" w:lineRule="atLeast"/>
        <w:rPr>
          <w:lang w:val="en-US" w:eastAsia="en-US" w:bidi="ar-SA"/>
        </w:rPr>
      </w:pPr>
      <w:r>
        <w:rPr>
          <w:rFonts w:ascii="arial" w:eastAsia="arial" w:hAnsi="arial" w:cs="arial"/>
          <w:color w:val="000000"/>
          <w:sz w:val="20"/>
          <w:lang w:val="en-US" w:eastAsia="en-US" w:bidi="ar-SA"/>
        </w:rPr>
        <w:t>Between Kimberly Ann-Marie Falbo, plaintiff, and Mary Margaret Coutts, in her capacity as Administratrix of the Estate of Dougless Raymond Coutts, deceased,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(28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49" style="position:absolute;z-index:25166336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34" w:name="Keywords_4"/>
      <w:bookmarkEnd w:id="34"/>
      <w:r>
        <w:rPr>
          <w:rFonts w:ascii="arial" w:eastAsia="arial" w:hAnsi="arial" w:cs="arial"/>
          <w:b/>
          <w:color w:val="000000"/>
          <w:sz w:val="20"/>
          <w:lang w:val="en-US" w:eastAsia="en-US" w:bidi="ar-SA"/>
        </w:rPr>
        <w:t>Damages — Torts causing death — Particular damage claims — Nervous shock.</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35" w:name="Case Summary_4"/>
            <w:bookmarkEnd w:id="35"/>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plaintiff, Falbo, for a determination as to whether she was entitled to compensation for psychological damages. Falbo's car was struck by a motorcycle driven by the defendant Coutts. When Falbo's car was struck by Coutts's motorcycle, Falbo saw the motorcycle go flying and Coutts falling to the ground. Coutts died. Immediately after the impact, Falbo was in a state of shock and remained in her car for some time. One hour later, she exhibited emotional trauma in the form of nausea, numbness, trembling and sweating while she was in her doctor's office. Falbo's physical injuries from the accident included pain in her neck, shoulders and back, and bruising under her ribs. In the weeks and months after the accident, Falbo experienced stress and anxiety, outbursts of anger, and she was unable to cope with her daily household and child care duties. Falbo was diagnosed as suffering from post- traumatic stress disorder, and she received psychiatric treatment, antidepressant drug therapy and psychological counselling. Falbo submitted that she was entitled to compensation for psychiatric injury on the basis that she fit into the primary victim category. Coutts's estate submitted that Falbo fit into the secondary victim category. </w:t>
            </w:r>
            <w:r>
              <w:rPr>
                <w:lang w:val="en-US" w:eastAsia="en-US" w:bidi="ar-SA"/>
              </w:rPr>
              <w:cr/>
            </w:r>
          </w:p>
          <w:p>
            <w:pPr>
              <w:spacing w:before="120" w:line="260" w:lineRule="atLeast"/>
              <w:ind w:left="240"/>
              <w:jc w:val="both"/>
              <w:rPr>
                <w:lang w:val="en-US" w:eastAsia="en-US" w:bidi="ar-SA"/>
              </w:rPr>
            </w:pPr>
            <w:bookmarkStart w:id="36" w:name="Holdings of Court_4"/>
            <w:bookmarkEnd w:id="36"/>
            <w:r>
              <w:rPr>
                <w:rFonts w:ascii="arial" w:eastAsia="arial" w:hAnsi="arial" w:cs="arial"/>
                <w:color w:val="000000"/>
                <w:sz w:val="20"/>
                <w:lang w:val="en-US" w:eastAsia="en-US" w:bidi="ar-SA"/>
              </w:rPr>
              <w:t>HELD: Application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Falbo was entitled to recover damages for psychiatric injury on the basis of either the primary or secondary victim categories. The elements of the primary victim category were met in that it was Coutts's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caused the accident, and so Coutts' estate was liable for all personal injuries sustained by Falbo, whether physical or psychiatric. With respect to the secondary victim category, it was foreseeable that Coutts' negligent conduct could have caused injury to Falbo. It was reasonably foreseeable that a person who witnesses Coutts's death would suffer psychiatric injury. Falbo was in a state of shock immediately after the accident, and she was later diagnosed with post-traumatic stress disorder and depression, and received treatment for these condition. </w:t>
            </w:r>
            <w:r>
              <w:rPr>
                <w:lang w:val="en-US" w:eastAsia="en-US" w:bidi="ar-SA"/>
              </w:rPr>
              <w:cr/>
            </w:r>
          </w:p>
          <w:p>
            <w:pPr>
              <w:rPr>
                <w:lang w:val="en-US" w:eastAsia="en-US" w:bidi="ar-SA"/>
              </w:rPr>
            </w:pPr>
          </w:p>
        </w:tc>
      </w:tr>
    </w:tbl>
    <w:p>
      <w:pPr>
        <w:jc w:val="both"/>
        <w:rPr>
          <w:lang w:val="en-US" w:eastAsia="en-US" w:bidi="ar-SA"/>
        </w:rPr>
      </w:pPr>
      <w:bookmarkStart w:id="37" w:name="Legislation Cited_3"/>
      <w:bookmarkEnd w:id="37"/>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50" style="position:absolute;z-index:25171456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Rules 18A, 34.</w:t>
      </w:r>
      <w:r>
        <w:rPr>
          <w:lang w:val="en-US" w:eastAsia="en-US" w:bidi="ar-SA"/>
        </w:rPr>
        <w:cr/>
      </w:r>
    </w:p>
    <w:p>
      <w:pPr>
        <w:keepNext/>
        <w:spacing w:before="240" w:line="340" w:lineRule="atLeast"/>
        <w:rPr>
          <w:lang w:val="en-US" w:eastAsia="en-US" w:bidi="ar-SA"/>
        </w:rPr>
      </w:pPr>
      <w:bookmarkStart w:id="38" w:name="Counsel_4"/>
      <w:bookmarkEnd w:id="38"/>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51" style="position:absolute;z-index:25176576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H.C. Wood, for the plaintiff. J.A. Thomson, for the defendant.</w:t>
      </w:r>
      <w:r>
        <w:rPr>
          <w:lang w:val="en-US" w:eastAsia="en-US" w:bidi="ar-SA"/>
        </w:rPr>
        <w:cr/>
      </w:r>
    </w:p>
    <w:p>
      <w:pPr>
        <w:spacing w:after="240"/>
        <w:rPr>
          <w:lang w:val="en-US" w:eastAsia="en-US" w:bidi="ar-SA"/>
        </w:rPr>
      </w:pPr>
      <w:bookmarkStart w:id="39" w:name="Judgment_4"/>
      <w:bookmarkEnd w:id="39"/>
      <w:r>
        <w:pict>
          <v:line id="_x0000_s1052" style="position:absolute;z-index:25181696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40" w:name="WARREN J."/>
            <w:bookmarkEnd w:id="40"/>
            <w:r>
              <w:rPr>
                <w:rFonts w:ascii="arial" w:eastAsia="arial" w:hAnsi="arial" w:cs="arial"/>
                <w:b/>
                <w:color w:val="000000"/>
                <w:sz w:val="30"/>
                <w:lang w:val="en-US" w:eastAsia="en-US" w:bidi="ar-SA"/>
              </w:rPr>
              <w:t>WARREN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Kimberly Ann-Marie Falbo, was driving her car when she was struck by a motorcycle owned and driven by Dougless Raymond Coutts. Mr. Coutts died in the accident. The plaintiff has brought a personal injury action against the defendant Mary Margaret Coutts in her capacity as administratrix of the motorcyclist's estate. The defence admits that it was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motorcyclist that caused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is an application by the plaintiff pursuant to Rules 18A and 34 of the Rules of Court for an order to determine whether, at law, the plaintiff is entitled to be compensated for psychological damages, including nervous shock. No quantification of damages is being sought at this time.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is a homemaker who resides in Surrey, B.C. On August 6, 1994, at about noon, she was driving her motor vehicle with her two young sons in Surrey to do some shopping. At Highway 10 and 188th Street, as she was just commencing a left hand turn into a store, a motorcycle rear-ended her vehicle. The plaintiff said that there was a sudden bang and jolt from the rear corner of her car. She then saw a motorcycle go flying off to her left, and the motorcyclist go by her window before falling to the ground. There is some evidence she recalled seeing blood on the man's head and on the road.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She said that immediately after the impact, she was in a state of shock and stayed in her car for some time. After making sure that her sons were all right, her concern turned to the motorcyclist's well-being. The plaintiff did not know then that the motorcyclist had died. The plaintiff's husband then arrived at the scene and took her to her doctor's office approximately 1.5 hours after the accident. She was exhibiting emotional trauma; she was nauseated, numb, trembling and sweating. A Dr. Shicktler spent a considerable amount of time with her, trying to deal with the upset she was experiencing in relation to the spectre of the accident and the injuries to the motorcyclist. The plaintiff found out the next day that the motorcyclist had died.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sustained moderate physical injuries as a result of the collision, including pain in her neck, shoulders and back. She also had bruising under the ribs and a soft tissue injury to the cervical paraspinal muscles.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also sustained psychiatric injuries. In the weeks and months after the accident, she experienced a number of problems including feeling overwhelmed by a sense of stress and anxiety; difficulty coping with her three young children; experiencing outbursts of severe anger; being frequently physically aggressive with her husband; avoiding sexual intimacy for many months; a feeling of being the primary cause of discord in her marriage; developing feelings of increasing guilt; entertaining thoughts of committing suicide; withdrawing generally from friends and family; becoming more and more preoccupied with the accident; becoming increasingly less able to cope with daily duties; experiencing frequent sleep interruptions by accident-related nightmares; awaking from the nightmares with a thumping heart, sweating, shaking and nausea; and experiencing visions of the motorcyclist or hearing the crash in her dreams. The plaintiff also gained 25 pounds as a result of overeating.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Medical reports and notes prepared by the plaintiff's doctors following the accident show that she suffered from symptoms of post-traumatic stress disorder (PTSD) and depression. She received psychiatric treatment, including antidepressant drug therapy and psychological counselling. Her doctors reported that she responded favourably to the medication and counselling. The plaintiff says that she has now largely recovered from the psychological aftermath of the accident, but that she is still unnaturally startled by any unexpected, loud noises and that she still experiences sudden anxiety when she hears a motorcycle.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sets out the issue on this application as: "whether a Plaintiff who sues for personal injury arising out of a motor vehicle accident may recover, in addition to damages for 'purely physical' injury, damages for psychiatric injury where that condition arises in some measure from the witnessing of grievous injury to the negligent Defendant."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Analysis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Primary Versus Secondary Victims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submits that cases of psychiatric injury fall into two categories. The first category consists of what has been termed the "primary victim" cases. In these cases, the plaintiff is a "participant" in the accident. The typical fact pattern is where the negligent defendant causes an actual physical impact to the plaintiff and the plaintiff sustains a psychiatric injury in addition to his physical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second category consists of what has been termed the "secondary victim" cases. In these cases, the plaintiff is a "non-participant" in the accident. The typical fact pattern is where the negligent defendant causes an actual physical impact to a third party, often a relative or friend of the plaintiff, and the plaintiff who witnesses the accident or hears about it, sustains a psychiatric injury as a result.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distinction between these two types of cases has been recognized in this province. In Devji v. Burnaby (District), </w:t>
      </w:r>
      <w:hyperlink r:id="rId100" w:history="1">
        <w:r>
          <w:rPr>
            <w:rFonts w:ascii="arial" w:eastAsia="arial" w:hAnsi="arial" w:cs="arial"/>
            <w:i/>
            <w:color w:val="0077CC"/>
            <w:sz w:val="20"/>
            <w:u w:val="single"/>
            <w:shd w:val="clear" w:color="auto" w:fill="FFFFFF"/>
            <w:lang w:val="en-US" w:eastAsia="en-US" w:bidi="ar-SA"/>
          </w:rPr>
          <w:t>[1999] B.C.J. No. 2320</w:t>
        </w:r>
      </w:hyperlink>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1999 BCCA 599</w:t>
        </w:r>
      </w:hyperlink>
      <w:r>
        <w:rPr>
          <w:rFonts w:ascii="arial" w:eastAsia="arial" w:hAnsi="arial" w:cs="arial"/>
          <w:color w:val="000000"/>
          <w:sz w:val="20"/>
          <w:lang w:val="en-US" w:eastAsia="en-US" w:bidi="ar-SA"/>
        </w:rPr>
        <w:t>, a "secondary victim" case (although not referred to in those terms), McEachern C.J.B.C. at paragraphs 2 and 77 wrote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Because [in "secondary victim" cases] the plaintiff is not physically injured, and may not even come into contact with the defendant, the psychiatric injury alleged is an extra step removed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and difficult questions of proximity and duty of care arise.</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I am constrained by authorities binding upon me to decide that the experience the plaintiffs endured, grievous as it must have been for them, was not one that falls within the requirements of the law relating to the circumstances in which persons who are not physically injured are entitled to damages for nervous shock.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distinction between primary and secondary victims is more explicitly and forcefully discussed by the House of Lords in Page v. Smith, [1996] 1 A.C. 155 (H.L.). Lord Lloyd of Berwick at p. 184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In all these cases the plaintiff was the secondary victim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 or she was in the position of a spectator or bystander. In the present case, by contrast, the plaintiff was a participant. He was himself directly involved in the accident, and well within the range of foreseeable physical injury. He was the primary victim. ...</w:t>
      </w:r>
    </w:p>
    <w:p>
      <w:pPr>
        <w:spacing w:before="120" w:line="260" w:lineRule="atLeast"/>
        <w:ind w:left="720"/>
        <w:rPr>
          <w:lang w:val="en-US" w:eastAsia="en-US" w:bidi="ar-SA"/>
        </w:rPr>
      </w:pPr>
      <w:r>
        <w:rPr>
          <w:rFonts w:ascii="arial" w:eastAsia="arial" w:hAnsi="arial" w:cs="arial"/>
          <w:color w:val="000000"/>
          <w:sz w:val="20"/>
          <w:lang w:val="en-US" w:eastAsia="en-US" w:bidi="ar-SA"/>
        </w:rPr>
        <w:t>The factual distinction between primary and secondary victims of an accident is obvious and of long-standing. ...</w:t>
      </w:r>
    </w:p>
    <w:p>
      <w:pPr>
        <w:spacing w:before="120" w:line="260" w:lineRule="atLeast"/>
        <w:ind w:left="720"/>
        <w:rPr>
          <w:lang w:val="en-US" w:eastAsia="en-US" w:bidi="ar-SA"/>
        </w:rPr>
      </w:pPr>
      <w:r>
        <w:rPr>
          <w:rFonts w:ascii="arial" w:eastAsia="arial" w:hAnsi="arial" w:cs="arial"/>
          <w:color w:val="000000"/>
          <w:sz w:val="20"/>
          <w:lang w:val="en-US" w:eastAsia="en-US" w:bidi="ar-SA"/>
        </w:rPr>
        <w:t>Though the distinction between primary and secondary victims is a factual one, it has, as will be seen, important legal consequences. So the classification of all nervous shock cases under the same head may be misleading. ... It is of cardinal importance in the present case to bear that warning in mind.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stated by Professor Fleming in The Law of Torts, 9th ed. (Sydney: LBC Information Services, 1998) at p. 175:</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Modern law differentiates between claims by participants of an accident (primary victims) and claims by non-participants (secondary victims) who sustain psychiatric illness as a result of their association with the accident victim.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Because the law sets out different tests for the recovery of damages for psychiatric injury depending on whether the plaintiff is a primary or secondary victim, this distinction is an important 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case at bar, plaintiff's counsel submits that the plaintiff is a primary victim; counsel for the defendant submits that the plaintiff is a secondary victim. In my view, the law does not require that the plaintiff be one type of victim to the exclusion of the other but in this case, I am satisfied that the plaintiff is both a primary and secondary victim of the same accident. She is a primary victim because she was involved in the accident: she was actually struck by the negligent motorcyclist and suffered both physical and psychiatric injury as a result. She is a secondary victim because her psychiatric injury was brought on in large measure by the trauma of her witnessing the motorcyclist hurtle past her car and land on the side of the road and later hearing of his death the next day. After the initial impact, the plaintiff was in the position of a spectator who witnesses a catastrophic event.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the circumstances of this case, the question of whether the plaintiff is entitled to recover damages for psychiatric injury (nervous shock) is to be determined in accordance with the jurisprudence respecting either primary or secondary victims and, in my view, the plaintiff is entitled to succeed on either approach.</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Primary Victim Analysis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legal test for primary victim cases was set out by the House of Lords in Page v. Smith, supra. In that case, the plaintiff suffered a recrudescence of an illness or condition known variously as M.E., C.F.S., or P.V.F.S., but suffered no physical injury, after his car was struck by a negligent motorist on the highway. Lord Browne-Wilkinson expressed the following view at p. 183:</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am therefore of opinion that any driver of a car should reasonably foresee that, if he drives carelessly, he will be liable to cause injury, either physical or psychiatric or both, to other users of the highway who become involved in an accident. Therefore, he owes to such persons a duty of care to avoid such injury. In the present case the defendant could not foresee the exact type of psychiatric damage in fact suffered by the plaintiff who, due to his M.E., was "an eggshell personality." But that is of no significance since the defendant did owe a duty of care to prevent foreseeable damage, including psychiatric damage. Once such duty of care is established, the defendant must take the plaintiff as he finds him. [emphasis mine]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Later, at p. 190, Lord Lloyd of Berwick said: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The test in every case ought to be whether the defendant can reasonably foresee that his conduct will expose the plaintiff to risk of personal injury. If so, then he comes under a duty of care to that plaintiff. ... Once it is established that the defendant is under a duty of care to avoid causing personal injury to the plaintiff, it matters not whether the injury in fact sustained is physical, psychiatric or both. [emphasis mine]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my view, the law relating to primary victims as enunciated in Page v. Smith is consistent with the law in this province, and is applicable to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is no doubt that each motorist on the highway owes a duty of care to every other motorist to operate his or her vehicle in a reasonably safe manner. A person who operates a motor vehicle in a negligent manner can reasonably foresee that his or her conduct will expose other users of the highway to a risk of personal injury in the event of an accident. Once that duty of care is established, it matters not that the injury in fact sustained by the plaintiff is physical, psychiatric or both.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this case, I am satisfied that the deceased motorcyclist did owe a duty of care to the plaintiff and the defence admits that it was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caused the accident. Accordingly, the deceased's estate is liable for all the personal injuries sustained by the plaintiff, whether physical or psychiatric.</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Secondary Victim Analysis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legal test in secondary victim cases is different and was recently set out in Devji v. Burnaby (District), supra, where McEachern C.J.B.C. examined the law relating to psychiatric injury in great detail and concluded in paragraphs 65 to 77:</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At the end of all this, I find that we are thrown back to the conventional approach ... that, assuming reasonable foreseeability, the tests to be applied are whether there is a sufficiently close relationship between plaintiff and defendant to establish a duty of care, and, if so, whether any public policy negates such duty.</w:t>
      </w:r>
    </w:p>
    <w:p>
      <w:pPr>
        <w:spacing w:before="120" w:line="260" w:lineRule="atLeast"/>
        <w:ind w:left="720"/>
        <w:rPr>
          <w:lang w:val="en-US" w:eastAsia="en-US" w:bidi="ar-SA"/>
        </w:rPr>
      </w:pPr>
      <w:r>
        <w:rPr>
          <w:rFonts w:ascii="arial" w:eastAsia="arial" w:hAnsi="arial" w:cs="arial"/>
          <w:color w:val="000000"/>
          <w:sz w:val="20"/>
          <w:lang w:val="en-US" w:eastAsia="en-US" w:bidi="ar-SA"/>
        </w:rPr>
        <w:t>In this case, we are not required to express a view on the true nature of reasonable foreseeability because we are bound at least in part by Rhodes. It clearly requires not merely foreseeability but also proximity and something more ...</w:t>
      </w:r>
    </w:p>
    <w:p>
      <w:pPr>
        <w:spacing w:before="120" w:line="260" w:lineRule="atLeast"/>
        <w:ind w:left="720"/>
        <w:rPr>
          <w:lang w:val="en-US" w:eastAsia="en-US" w:bidi="ar-SA"/>
        </w:rPr>
      </w:pP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[As for reasonable foreseeability, McEachern C.J.B.C. was of the view that it must be reasonably foreseeable that the defendant's negligent conduct could cause persons of usual fortitude to suffer nervous shock or psychiatric injury.]</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But the analysis need not stop there [reasonable foreseeability]. Even if the injury suffered ... were reasonably foreseeable, Rhodes requires that we also consider not only the many kinds of proximity required by the general law ... but also the specific control mechanisms prescribed by Rhodes ...</w:t>
      </w:r>
    </w:p>
    <w:p>
      <w:pPr>
        <w:spacing w:before="120" w:line="260" w:lineRule="atLeast"/>
        <w:ind w:left="720"/>
        <w:rPr>
          <w:lang w:val="en-US" w:eastAsia="en-US" w:bidi="ar-SA"/>
        </w:rPr>
      </w:pP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 In Rhodes, Taylor and Wood JJ.A. described the requisite experience as alarming and startling (and therefore sudden and unexpected), horrifying, shocking and frightening, and Southin J.A. referred to a "fright, terror or horror".</w:t>
      </w:r>
    </w:p>
    <w:p>
      <w:pPr>
        <w:spacing w:before="120" w:line="260" w:lineRule="atLeast"/>
        <w:ind w:left="720"/>
        <w:rPr>
          <w:lang w:val="en-US" w:eastAsia="en-US" w:bidi="ar-SA"/>
        </w:rPr>
      </w:pPr>
      <w:r>
        <w:rPr>
          <w:rFonts w:ascii="arial" w:eastAsia="arial" w:hAnsi="arial" w:cs="arial"/>
          <w:color w:val="000000"/>
          <w:sz w:val="20"/>
          <w:lang w:val="en-US" w:eastAsia="en-US" w:bidi="ar-SA"/>
        </w:rPr>
        <w:t>The nature of the experience by which an injury is alleged to have been suffered is one of the "controlling mechanisms" that serve to limit the reach of liability for nervous shock in this province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my reading of Devji there are at least three requirements to consider when determining whether damages for psychiatric injury may be awarded to secondary victims. First, there must be reasonable foreseeability between the defendant's conduct and the plaintiff's psychiatric injury. Second, there must be a proximity of relationship between the plaintiff and the defendant, made up of a combination of various relational elements or factors. Third, as a public-policy based control mechanism to limit liability, the experience by which the plaintiff's psychiatric injury is suffered must be "alarming", "startling", "horrifying", "shocking" or "frightening." This is by no means a step-by-step test, nor are these necessarily the sole considerations. As McEachern C.J.B.C. noted, the interaction between proximity and foreseeability remain undefined but what is apparent from Devji is that those three factors -- foreseeability, proximity, and the highly dramatic nature of the experience -- must be taken into account.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find that in this case it was reasonably foreseeable that the deceased's negligent conduct could cause psychiatric injury to a person of usual fortitude such as the plaintiff. In Devji, at paragraph 69, McEachern C.J.B.C. wrote: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Persons view the bodies of deceased persons for a number of reasons on many occasions and psychological injury is not what one expects or would reasonably foresee from such an experience.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This, however, is not a case where the plaintiff happened upon a dead body by the side of the road or identified a dead body in a morgue. Rather, this is an instance where, in close proximity, the plaintiff heard and felt a sudden impact and then saw the motorcyclist hurtle through the air in front of her and hit the ground. It is reasonably foreseeable that motorcyclists involved in collisions will be thrown to the ground upon impact with another vehicle and that this can cause psychiatric injury to those who witness such an event. In such a situation, it cannot be said that the plaintiff's usual fortitude would protect her from psychiatric injury and make such injury not reasonably foreseeable.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find that there is a sufficient proximity of relationship between this plaintiff and this motorcyclist. In Devji, McEachern C.J.B.C. at paragraph 38 referred to Rhodes and quoted the following passage: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requisite proximity relationship is made up of a combination of various relational elements or factors. These include, inter alia, relational proximity (the closeness of the relationship between the claimant and the victim of the defendant's conduct); locational proximity (being at the scene and observing the shocking event); temporal proximity (the relation between the time of the event and the onset of the psychiatric illness).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Although the plaintiff in this case is unrelated to the motorcyclist (relational proximity), a combination of the locational and temporal factors provides the "requisite proximity relationship."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is a high degree of both locational proximity and temporal proximity. Immediately after the impact, the plaintiff was in a state of shock and stayed in her car. Within 1.5 hours of the impact, she exhibited emotional trauma at the doctor's office as she was nauseated, numb, trembling and sweating. In the ensuing weeks and months, she developed a variety of psychiatric conditions, was diagnosed with PTSD and depression, and received psychiatric treatment including antidepressants and counselling.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Finally, I find that the nature of the experience to which the plaintiff was subjected was sufficiently "alarming", "startling", "horrifying", "shocking" or "frightening" to allow recovery. In Devji, McEachern C.J.B.C. wrote: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experience of viewing the body ... cannot be equated to the shock and horror that would be experienced, for example, at the scene of an accident ... because the features of surprise, shock, horror and even fear are absent in a hospital setting.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plaintiff in this case did not simply view a body in a clinical setting. She was going about her daily business, turning into a store with her two young boys and the next moment, she was at the centre of a deadly collision. What the plaintiff felt, heard and saw must have been "alarming", "startling", "horrifying", "shocking" and "frightening." The defence questions whether the plaintiff actually saw blood, but even without the blood I am satisfied that she was exposed to a startling and horrifying experience resulting directly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motorcyclist. In the circumstances of this case, on either a primary or secondary victim analysis, I find that the nature of the experience is sufficiently shocking to found a claim for damages for psychiatric injury and the plaintiff is entitled to be compensated for psychiatric injury.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WARREN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7" w:history="1">
        <w:r>
          <w:rPr>
            <w:rFonts w:ascii="arial" w:eastAsia="arial" w:hAnsi="arial" w:cs="arial"/>
            <w:b/>
            <w:bCs/>
            <w:i/>
            <w:color w:val="0077CC"/>
            <w:kern w:val="32"/>
            <w:sz w:val="28"/>
            <w:szCs w:val="32"/>
            <w:u w:val="single"/>
            <w:shd w:val="clear" w:color="auto" w:fill="FFFFFF"/>
            <w:lang w:val="en-US" w:eastAsia="en-US" w:bidi="ar-SA"/>
          </w:rPr>
          <w:t>Frost v. Whistler (Resort Municipality), [2003] B.C.J. No. 17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Bauman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8,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7,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S000561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35 M.P.L.R. (3d) 177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119 A.C.W.S. (3d) 139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Stephen Frost, plaintiff, and Resort Municipality of Whistler,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4"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1" w:name="Keywords_5"/>
      <w:bookmarkEnd w:id="41"/>
      <w:r>
        <w:rPr>
          <w:rFonts w:ascii="arial" w:eastAsia="arial" w:hAnsi="arial" w:cs="arial"/>
          <w:b/>
          <w:color w:val="000000"/>
          <w:sz w:val="20"/>
          <w:lang w:val="en-US" w:eastAsia="en-US" w:bidi="ar-SA"/>
        </w:rPr>
        <w:t xml:space="preserve">Municipal law — Liability of municipalities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maintenance of bus stop — Standard of care, maintenance of streets and highways.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2" w:name="Case Summary_5"/>
            <w:bookmarkEnd w:id="4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Frost for damages for personal injuries resulting from a slip and fall. Frost stepped off a bus at a bus stop on the shoulder of a road. As he walked away from the bus, he stepped into a depression probably caused by storm water channeling through the shoulder into the adjacent ditch. He lost his balance and fell, injuring his ankle. At issue was whether Whistler's road inspection policy was sufficient to exempt it from liability for the injury. Whistler had no written road inspection policy. It followed undertook monthly inspections when staffing and budgetary limitations permitted, and it relied on reports from the public and its own work crews of immediate hazards. Shouldering of the roads, which included inspection of all shoulders, was done every May, June and July. The area where Frost's injury occurred was inspected three weeks before his accident, and no hazards were noted. Frost argued that Whistler had no system in place for the periodic inspection of bus stops.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3" w:name="Holdings of Court_5"/>
            <w:bookmarkEnd w:id="43"/>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Whistler had adopted a system for inspection of road shoulder bus stops. It was wholly unrealistic to suggest that a distinct and special inspection policy for road shoulder bus stops was required. The manner and quality of the Whistler system met the requisite standard of care. It adopted a reasonable system of road inspection and had carried it out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4" w:name="Legislation Cited_4"/>
      <w:bookmarkEnd w:id="4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5"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5" w:name="Counsel_5"/>
      <w:bookmarkEnd w:id="4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6" style="position:absolute;z-index:2517667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G.A. McEachran, for the plaintiff. D.J.A. Bell,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6" w:name="Judgment_5"/>
      <w:bookmarkEnd w:id="46"/>
      <w:r>
        <w:pict>
          <v:line id="_x0000_s1057" style="position:absolute;z-index:25181798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7" w:name="BAUMAN J."/>
            <w:bookmarkEnd w:id="47"/>
            <w:r>
              <w:rPr>
                <w:rFonts w:ascii="arial" w:eastAsia="arial" w:hAnsi="arial" w:cs="arial"/>
                <w:b/>
                <w:color w:val="000000"/>
                <w:sz w:val="30"/>
                <w:lang w:val="en-US" w:eastAsia="en-US" w:bidi="ar-SA"/>
              </w:rPr>
              <w:t>BAUMAN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trip and fall case for disposition by way of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It was 3:30 p.m. on a sunny day in August 1999, when Stephen Frost stepped off a bus at a stop admittedly operated by the Resort Municipality of Whistler ("Whistler").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Frost was carrying his infant daughter in his arms. They had enjoyed a day of sun and water at Lost Lake in the resort municipality and they were returning to their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 far as bus stops go, this particular stop was pretty rustic. It consisted of a slightly widened portion of the gravel shoulder of the road, and a sign. The shoulder of the road sloped gently away from the pavement into an open ditch.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Frost had parked his car in a parking lot across from the bus stop on Blackcomb Way. Instead of crossing Blackcomb Way at a well-marked pedestrian crosswalk immediately west of the bus stop, Mr. Frost elected to walk east along the shoulder of the road, with the intention of crossing Blackcomb Way mid-block after the bus pulled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he navigated along the shoulder he carried his daughter in his arms and he kept an eye on the departing bus.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Frost did not see a depression in the shoulder of the road. He stepped into it with his left foot, lost his balance and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Frost injured his left ankle and this litigation ensued.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is conceded that the depression was probably caused by storm water channelling through a portion of the road shoulder into the adjacent ditch.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It is further conceded by Whistler that, but for the considerations set out below, it owed Mr. Frost a duty of care under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principal issue between the parties is whether Whistler can make out a policy defence on the basis of the law discussed in, amongst other cases, Just v. British Columbia, </w:t>
      </w:r>
      <w:hyperlink r:id="rId108"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Just, Cory J. summarizes his discussion of the principles at play where a governmental agency is sued in tort (at pp. 1244-45):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may be convenient at this stage to summarize what I consider to be the principles applicable and the manner of proceeding in cases of this kind. As a general rule, the traditional tort law duty of care will apply to a government agency in the same way that it will apply to an individual. In determining whether a duty of care exists the first question to be resolved is whether the parties are in a relationship of sufficient proximity to warrant the imposition of such a duty. In the case of a government agency, exemption from this imposition of duty may occur as a result of an explicit statutory exemption. Alternatively, the exemption may arise as a result of the nature of the decision made by the government agency. That is, a government agency will be exempt from the imposition of a duty of care in situations which arise from its pure policy decisions.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determining what constitutes such a policy decision, it should be borne in mind that such decisions are generally made by persons of a high level of authority in the agency, but may also properly be made by persons of a lower level of authority. The characterization of such a decision rests on the nature of the decision and not on the identity of the actors. As a general rule, decisions concerning budgetary allotments for departments or government agencies will be classified as policy decisions. Further, it must be recalled that a policy decision is open to challenge on the basis that it is not made in the bona fide exercise of discretion. If after due consideration it is found that a duty of care is owed by the government agency and no exemption by way of statute or policy decision-making is found to exist, a traditional torts analysis ensues and the issue of standard of care required of the government agency must next be considered.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manner and quality of an inspection system is clearly part of the operational aspect of a governmental activity and falls to be assessed in the consideration of the standard of care issue. At this stage, the requisite standard of care to be applied to the particular operation must be assessed in light of all the surrounding circumstances including, for example, budgetary restraints and the availability of qualified personnel and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now turn to discuss the evidence of Whistler's road inspection policy as described by its roads supervisor, Andrew Chalk.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would summarize the municipality's policy by noting that:</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Whistler has no written road inspection policy;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follows an unwritten policy by undertaking inspections once per month when staffing and budgetary limitations permit;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Whistler relies on reports from the public of immediate hazards; it also relies on reports from its own work crews;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Whistler does have a written schedule of tasks which are to be undertaken by the Roads Department annually. That schedule states that "shouldering" is to be done in May, June and July if budget and staffing limitations permit: "In 'shouldering' the roads, we inspect for all obvious hazards, including but not limited to potholes, pavement and shoulder failures, and bent signs, and then repair these hazards as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Chalk deposes that the road inspection records for the area of the plaintiff's slip and fall indicate that this location was inspected on 16 July 1999 and that no problems or hazards were noted. This is just three weeks before the incident on 9 August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Chalk further deposes that the plaintiff's slip and fall is the only incident of which he is aware involving a pedestrian being injured due to the condition of the road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Chalk's evidence in this regard is confirmed by that of the municipality's city clerk.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submits that in effect, Whistler has no system in place for the periodic inspection of bus stops like the one in question here. While Whistler has in place a contracted system of inspection and maintenance for stops with bus shelters, it is said that there is no inspection system in place for bus stops which simply utilize the road shoulder for the boarding and discharge of passengers.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Further, the plaintiff says that there is no evidence of Whistler considering and making a decision not to have a system for the inspection of these types of bus stops. It is therefore urged that Whistler cannot be heard to say that its system of "no inspection" is the product of a discretionary decision making process - that is a policy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any event, the plaintiff submits that a failure to adopt any inspection system for this type of bus stop is wholly unreasonable given the knowledge of Whistler as to the patrons who use, and the manner they might be expected to use, this type of bus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Finally, the plaintiff says that Whistler could have adopted a so-called "fool proof" method of inspection at little or no cost by having bus drivers "keep an eye out for potential dangers at the road shoulder bus stops" and report any hazards to the Whistler Roads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will be seen that the plaintiff's case appears to engage two aspects of the Just analysis, that is:</w:t>
      </w:r>
      <w:r>
        <w:rPr>
          <w:rFonts w:ascii="arial" w:eastAsia="arial" w:hAnsi="arial" w:cs="arial"/>
          <w:sz w:val="20"/>
          <w:lang w:val="en-US" w:eastAsia="en-US" w:bidi="ar-SA"/>
        </w:rPr>
        <w:cr/>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policy defence available here because there was no decision concerning budgetary allotments as no decision on an inspection system was ever made; and</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was a conscious decision made to adopt a no inspection policy that decision was not made in the bona fide exercise of the discretion, given the nature of the risk and the low cost of a viable system of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will consider these points as well as the third aspect of Just: if one concludes that indeed Whistler has put in place an inspection system, namely that described by Mr. Chalk and set out above, does the manner and quality of that system, and its operation in the case at bar, meet the requisite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do not accept that Whistler has failed to adopt any inspection system for road shoulder bus stops.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It has adopted a general road inspection policy as detailed by Mr. Chalk in his evidence and this, in particular, includes the shouldering work which he has described and which is undertaken in the summer months as budget and staffing limitations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That is an inspection and maintenance policy, albeit in part unwritten, which includes the road shoulders in the area of bus stops.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believe that it is the counsel of perfection and wholly unrealistic to suggest that a distinct and special inspection policy need be adopted for road shoulder bus stops as urged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is, with respect, slicing the road inspection issue much too thinly.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Oser v. Nelson (City) </w:t>
      </w:r>
      <w:hyperlink r:id="rId109" w:history="1">
        <w:r>
          <w:rPr>
            <w:rFonts w:ascii="arial" w:eastAsia="arial" w:hAnsi="arial" w:cs="arial"/>
            <w:i/>
            <w:color w:val="0077CC"/>
            <w:sz w:val="20"/>
            <w:u w:val="single"/>
            <w:shd w:val="clear" w:color="auto" w:fill="FFFFFF"/>
            <w:lang w:val="en-US" w:eastAsia="en-US" w:bidi="ar-SA"/>
          </w:rPr>
          <w:t>(1997), 44 M.P.L.R. (2d) 231</w:t>
        </w:r>
      </w:hyperlink>
      <w:r>
        <w:rPr>
          <w:rFonts w:ascii="arial" w:eastAsia="arial" w:hAnsi="arial" w:cs="arial"/>
          <w:color w:val="000000"/>
          <w:sz w:val="20"/>
          <w:lang w:val="en-US" w:eastAsia="en-US" w:bidi="ar-SA"/>
        </w:rPr>
        <w:t xml:space="preserve"> (B.C.S.C.), Justice McEwan considered a municipality's apparent policy of inspecting roads and sidewalks, at least in low traffic areas, on the occasion of complaints only. His reaction mirrors mine in the case before me (at paras. 11 and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The plaintiff submits that the defendant's "policy" of having no schedule of inspections of sidewalks and roads before June 1994 is "so irrational and unreasonable as to constitute an improper exercise of government discretion", as that test is enunciated in Brown v. British Columbia (Minister of Transportation and Highways) </w:t>
      </w:r>
      <w:hyperlink r:id="rId110" w:history="1">
        <w:r>
          <w:rPr>
            <w:rFonts w:ascii="arial" w:eastAsia="arial" w:hAnsi="arial" w:cs="arial"/>
            <w:i/>
            <w:color w:val="0077CC"/>
            <w:sz w:val="20"/>
            <w:u w:val="single"/>
            <w:shd w:val="clear" w:color="auto" w:fill="FFFFFF"/>
            <w:lang w:val="en-US" w:eastAsia="en-US" w:bidi="ar-SA"/>
          </w:rPr>
          <w:t>(1994) 112 D.L.R. (4th) 1</w:t>
        </w:r>
      </w:hyperlink>
      <w:r>
        <w:rPr>
          <w:rFonts w:ascii="arial" w:eastAsia="arial" w:hAnsi="arial" w:cs="arial"/>
          <w:color w:val="000000"/>
          <w:sz w:val="20"/>
          <w:lang w:val="en-US" w:eastAsia="en-US" w:bidi="ar-SA"/>
        </w:rPr>
        <w:t xml:space="preserve"> (S.C.C.) at p. 11, per Mr. Justice Cory. That decision establishes that the person who asserts such an improper exercise of discretion must prove it on a balance of probabilities. Here, the only evidence offered is the fact that there were no scheduled inspections. From this, an inference of irrationality or unreasonableness is invited. But, as submitted by the City, it is not unreasonable not to inspect if a bona fide policy decision has been made that certain hazards fall below a threshold established due to budgetary or manpower considerations. That is the evidence before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Without evidence that clearly dangerous situations were being ignored or that the "threshold" was irresponsibly high or arbitrary, no inference of irrationality or unreasonableness is warranted from the mere fact that there were no scheduled inspections. That submission is tantamount to an assertion that the City is an insurer respecting any mishap within or upon its public places. That is not the defendant's legal burden.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That is sufficient to deal with the first two aspects of the Just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Turning to the third aspect, does the manner and quality of the Whistler system meet the requisite standard of care? - I have concluded that it does.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Here, I recognize that Whistler is allocating a limited road inspection/maintenance budget amongst various needs within the municipality. It has set up a system of responding to reports of hazards and it has proactively established a shouldering program during the summer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That system was at work here, with an inspection of the road shoulder in the area of the incident undertaken only three weeks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As in Barratt v. North Vancouver (District), </w:t>
      </w:r>
      <w:hyperlink r:id="rId111" w:history="1">
        <w:r>
          <w:rPr>
            <w:rFonts w:ascii="arial" w:eastAsia="arial" w:hAnsi="arial" w:cs="arial"/>
            <w:i/>
            <w:color w:val="0077CC"/>
            <w:sz w:val="20"/>
            <w:u w:val="single"/>
            <w:shd w:val="clear" w:color="auto" w:fill="FFFFFF"/>
            <w:lang w:val="en-US" w:eastAsia="en-US" w:bidi="ar-SA"/>
          </w:rPr>
          <w:t>[1980] 2 S.C.R. 418</w:t>
        </w:r>
      </w:hyperlink>
      <w:r>
        <w:rPr>
          <w:rFonts w:ascii="arial" w:eastAsia="arial" w:hAnsi="arial" w:cs="arial"/>
          <w:color w:val="000000"/>
          <w:sz w:val="20"/>
          <w:lang w:val="en-US" w:eastAsia="en-US" w:bidi="ar-SA"/>
        </w:rPr>
        <w:t>, this particular hazard could only have been discovered if Whistler had adopted a more regular, virtually continuous, system of shoulder inspections. In the exercise of its discretion, for obvious budgetary reasons, it has not and as that is a bona fide exercise of discretion, no liability can attach.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my view, Whistler has adopted a reasonable system of road inspection and has carried it out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plaintiff's action is dismissed with costs on Scale 3 unless there are circumstances which counsel wish to bring to my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BAUMAN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8"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8" w:history="1">
        <w:r>
          <w:rPr>
            <w:rFonts w:ascii="arial" w:eastAsia="arial" w:hAnsi="arial" w:cs="arial"/>
            <w:b/>
            <w:bCs/>
            <w:i/>
            <w:color w:val="0077CC"/>
            <w:kern w:val="32"/>
            <w:sz w:val="28"/>
            <w:szCs w:val="32"/>
            <w:u w:val="single"/>
            <w:shd w:val="clear" w:color="auto" w:fill="FFFFFF"/>
            <w:lang w:val="en-US" w:eastAsia="en-US" w:bidi="ar-SA"/>
          </w:rPr>
          <w:t>Hama v. Capilano Suspension Bridge Holdings Ltd. (c.o.b. Capilano Suspension Bridge and Park), [2002] B.C.J. No. 2212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Bishop</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12,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26,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S015320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2212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1375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117 A.C.W.S. (3d) 225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Nadia Hama, plaintiff, and Capilano Suspension Bridge Holdings Ltd. d.b.a Capilano Suspension Bridge and Park,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9"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8" w:name="Keywords_6"/>
      <w:bookmarkEnd w:id="48"/>
      <w:r>
        <w:rPr>
          <w:rFonts w:ascii="arial" w:eastAsia="arial" w:hAnsi="arial" w:cs="arial"/>
          <w:b/>
          <w:color w:val="000000"/>
          <w:sz w:val="20"/>
          <w:lang w:val="en-US" w:eastAsia="en-US" w:bidi="ar-SA"/>
        </w:rPr>
        <w:t>Practice — Pleadings — Striking out pleadings — Grounds, failure to disclose a cause of action or defence — Grounds, false, frivolous, vexatious or scandalous — Grounds, prejudice, embarrass or delay fair trial — Grounds, prolix pleading.</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9" w:name="Case Summary_6"/>
            <w:bookmarkEnd w:id="4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defendant Capilano Suspension Bridge Holdings to strike out portions of Hama's statement of claim. Hama was crossing the Capilano Suspension Bridge with her two young children when she lost her footing and her 17-month-old child fell off the bridge. She brought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Ten paragraphs of her statement of claim described the extensive media attention focusing on the incident arising from an allegation by Hama's former husband that Hama had intentionally dropped the child from the bridge. She claimed that the negative attention caused her emotional distress and affected her ability to look for work and to conduct family litigation against her former husband. The defendant sought to strike the paragraphs on the ground that they did not set out a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Hama argued that the paragraphs were particulars of her claim for post-traumatic stress disorder.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0" w:name="Holdings of Court_6"/>
            <w:bookmarkEnd w:id="50"/>
            <w:r>
              <w:rPr>
                <w:rFonts w:ascii="arial" w:eastAsia="arial" w:hAnsi="arial" w:cs="arial"/>
                <w:color w:val="000000"/>
                <w:sz w:val="20"/>
                <w:lang w:val="en-US" w:eastAsia="en-US" w:bidi="ar-SA"/>
              </w:rPr>
              <w:t>HELD: Motion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not plain and obvious that the claim for damages for post-traumatic stress disorder would fail. The pleadings were not scandalous, frivolous or vexatious, nor would they prejudice, embarrass or delay a fair trial. However, parts of the pleadings were prolix and obfuscatory or otherwise unnecessary. Therefore, the paragraph describing the family litigation was struck and portions of the remaining paragraphs were edited.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1" w:name="Legislation Cited_5"/>
      <w:bookmarkEnd w:id="5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0"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19(1), 19(24), 19(24)(b).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2" w:name="Counsel_6"/>
      <w:bookmarkEnd w:id="5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1" style="position:absolute;z-index:2517678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 Anderson, for the plaintiff. G.R. MacLennan,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3" w:name="Judgment_6"/>
      <w:bookmarkEnd w:id="53"/>
      <w:r>
        <w:pict>
          <v:line id="_x0000_s1062" style="position:absolute;z-index:25181900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4" w:name="MASTER BISHOP"/>
            <w:bookmarkEnd w:id="54"/>
            <w:r>
              <w:rPr>
                <w:rFonts w:ascii="arial" w:eastAsia="arial" w:hAnsi="arial" w:cs="arial"/>
                <w:b/>
                <w:color w:val="000000"/>
                <w:sz w:val="30"/>
                <w:lang w:val="en-US" w:eastAsia="en-US" w:bidi="ar-SA"/>
              </w:rPr>
              <w:t>MASTER BISHOP</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By notice of motion filed in these proceedings, the defendant requested orders that:</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statement of claim of the plaintiff be struck out as an abuse of process of the court;</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this proceeding be stayed pending the dismissal or discontinuance of action number S002005 in the Supreme Court of British Columbia (Vancouver Registry);</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paragraphs 15 to 24 of the statement of claim be struck out for failure to disclose a reasonable claim;</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paragraphs 15 to 24 of the statement of claim be struck out on the grounds that they are unnecessary, scandalous, frivolous or vexatious;</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paragraphs 15 to 24 of the statement of claim be struck out on the grounds that they may prejudice, embarrass or delay the fair trial or hearing of this proceeding; and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pay the costs of this application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commencement of this proceeding, counsel for the defendant advised the court that items 1 and 2 contained in the notice of motion were no longer in issue between the parties, and that the application before the court was to strike out paragraphs 15 through 24 of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pleadings allege that she attended a tourist attraction called the Capilano Suspension Bridge on or about September 22, 1999. She attended with her two children, Kaya, then approximately seventeen months old, and Jovan, then almost five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While attempting to cross the bridge, she lost her footing. The young child, Kaya, fell to the ground some fifty metres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As a result, the plaintiff claims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for personal injuries, loss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It is a fair statement that the incident in question received national and international media attention, attention from the Ministry of Children and Families in British Columbia and the Royal Canadian Mounted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impugned paragraphs, 15 through 24 in the statement of claim, are as follows: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accident the plaintiff was in the midst of acrimonious litigation with her former husband Kjeld Werbes ("Werbes") and father of the Children, during which Werbes had not made a claim for custody of the Children, who had been in the custody of the plaintiff from the date of her separation from Werbes. Following the incident on the Bridge, Werbes claimed that the plaintiff intentionally dropped Kaya off the Bridge and claimed custody of the Children. The circumstances of the incident were investigated by the Ministry of Children and Families during which time the Children were apprehended by the Ministry and placed in the care of Werbes' brother and sister-in-law. The Ministry completed its investigation and returned the Children to the Plaintiff about two and one half months following the incident.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incident was investigated by the Royal Canadian Mounted Police ("R.C.M.P.") who questioned the plaintiff at length and who carried out an extensive investigation of the events surrounding Kaya's fall from the Bridge. Upon completion of the investigation, no charges were laid against the Plaintiff.</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Immediately after the incident, the plaintiff was detained by the R.C.M.P. during which time she was questioned and during which time she was not allowed to see Kaya and further during which time she was aggressively questioned about the theory that she purposely dropped Kaya off the Bridge. The plaintiff was denied medical treatment of her injuries during the period she was detained by the R.C.M.P.</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suffered severe stress and distress during the period of detention due to her shock and concern about Kaya's condition and the nature of the allegations being made by the R.C.M.P. and her treatment in their hands, and further was in discomfort due to her untreated injuries.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incident on the Bridge provoked national and international media attention and negative comments about the plaintiff made by the R.C.M.P. and Werbes were widely reported. The plaintiff's picture was published in the media and she became easily recognizable by the public. The plaintiff was frequently approached by strangers who wished to speak with her about the events at the Park or who wished to make negative remarks about her parenting. The plaintiff received anonymous threatening telephone calls related to Kaya's fall off the Bridge.</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incurred expenses in retaining legal counsel to assist her in dealing with the Royal Canadian Mounted Police investigation of the Bridge incident. The plaintiff further incurred additional legal expenses relating to her family litigation as a result of Werbes' claim for custody of the Children based on his allegation that she had dropped Kaya intentionally.</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suffered emotional distress at the loss of having her children during her care while they were in the care of the Ministry and further suffered emotional distress related to the trauma of the actual Bridge incident and the overwhelming negative attention she received following it.</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unable to assume remunerative employment as a result of the negative public attention she has received and her need to devote her time to maintaining contact with the Children while they were in the care of the Ministry and further due to the need for her to devote extensive time conducting her family law litigation.</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ability to conduct her family litigation was negatively affected by the ongoing trauma-related stress she was experiencing and the Bridge incident became a key area of evidence during her family trial, which lasted 16 days and which concluded on March 16, 2001. Reasons for Judgment, </w:t>
      </w:r>
      <w:hyperlink r:id="rId119" w:history="1">
        <w:r>
          <w:rPr>
            <w:rFonts w:ascii="arial" w:eastAsia="arial" w:hAnsi="arial" w:cs="arial"/>
            <w:i/>
            <w:color w:val="0077CC"/>
            <w:sz w:val="20"/>
            <w:u w:val="single"/>
            <w:shd w:val="clear" w:color="auto" w:fill="FFFFFF"/>
            <w:lang w:val="en-US" w:eastAsia="en-US" w:bidi="ar-SA"/>
          </w:rPr>
          <w:t>[2001] B.C.J. No. 1255</w:t>
        </w:r>
      </w:hyperlink>
      <w:r>
        <w:rPr>
          <w:rFonts w:ascii="arial" w:eastAsia="arial" w:hAnsi="arial" w:cs="arial"/>
          <w:color w:val="000000"/>
          <w:sz w:val="20"/>
          <w:lang w:val="en-US" w:eastAsia="en-US" w:bidi="ar-SA"/>
        </w:rPr>
        <w:t>, were released on June 15, 2001, at which time custody of the Children was granted to Werbes. The plaintiff's visit to the Park constituted in part the basis for the trial Judge's decision on custody as set out in the Reasons for Judgment.</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continues to suffer stress from the loss of her ability to reside with and care on a day-to-day basis for the Children to whom she had been the custodial parent and primary care giver since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relies on Rule 19(24). That Rule reads:</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 on the ground that</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or the proceeding, or</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grant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argument of the defendant is that the impugned paragraphs do not set out any cause of action, or if they do they set out one in defamation or injury to reputation; claims that cannot be maintained in an action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position is quite the contrary. The plaintiff says that she has claimed for damages for post-traumatic stress disorder. She says that the pleadings impugned are particulars of the cause of her post-traumatic stress disorder and are the facts on which she intends to rely to establish damages for that condition. She anticipates she will be in a position to provide expert evidence, in due course, to that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burden here is on the defendant to show that the pleadings must be struck and that this is a "plain and obvious case" within the meaning set out in the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have reviewed all of the authorities submitted by both counsel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a review of the impugned paragraphs and the statement of claim in its entirety, this is not a case in which it is "plain and obvious" that the claim for damages for post-traumatic stress disorder will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pleadings are not scandalous, frivolous or vexatious, nor will they prejudice, embarrass or delay a fair trial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They are not an abuse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For the most part, these pleadings are drafted in accordance with Rule 19(1) which reads:</w:t>
      </w:r>
      <w:r>
        <w:rPr>
          <w:rFonts w:ascii="arial" w:eastAsia="arial" w:hAnsi="arial" w:cs="arial"/>
          <w:sz w:val="20"/>
          <w:lang w:val="en-US" w:eastAsia="en-US" w:bidi="ar-SA"/>
        </w:rPr>
        <w:cr/>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pleading shall be as brief as the nature of the case will permit and must contain a statement in summary form of the material facts on which the party relies, but not the evidence by which the facts are to be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However, while a majority of the pleadings impugned do not offend the Rules of Court, there are parts of the pleadings that are "prolix" and "obfuscatory" within the description used by Southin J.A. in Murrell v. Simon Fraser University, </w:t>
      </w:r>
      <w:hyperlink r:id="rId120" w:history="1">
        <w:r>
          <w:rPr>
            <w:rFonts w:ascii="arial" w:eastAsia="arial" w:hAnsi="arial" w:cs="arial"/>
            <w:i/>
            <w:color w:val="0077CC"/>
            <w:sz w:val="20"/>
            <w:u w:val="single"/>
            <w:shd w:val="clear" w:color="auto" w:fill="FFFFFF"/>
            <w:lang w:val="en-US" w:eastAsia="en-US" w:bidi="ar-SA"/>
          </w:rPr>
          <w:t>43 B.C.L.R. (3d) 209</w:t>
        </w:r>
      </w:hyperlink>
      <w:r>
        <w:rPr>
          <w:rFonts w:ascii="arial" w:eastAsia="arial" w:hAnsi="arial" w:cs="arial"/>
          <w:color w:val="000000"/>
          <w:sz w:val="20"/>
          <w:lang w:val="en-US" w:eastAsia="en-US" w:bidi="ar-SA"/>
        </w:rPr>
        <w:t xml:space="preserve"> (C.A.) page 217, or otherwise unnecessary within the meaning of Rule 19(24)(b).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a result, there will be an order that portions of the paragraphs 15 through 24 will be struck so that the paragraphs will now read in the statement of claim as follows:</w:t>
      </w:r>
      <w:r>
        <w:rPr>
          <w:rFonts w:ascii="arial" w:eastAsia="arial" w:hAnsi="arial" w:cs="arial"/>
          <w:sz w:val="20"/>
          <w:lang w:val="en-US" w:eastAsia="en-US" w:bidi="ar-SA"/>
        </w:rPr>
        <w:cr/>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circumstances of the incident were investigated by the Ministry of Children and Families during which time the Children were apprehended by the Ministry and placed in the care of Werbes' brother and sister-in-law. The Ministry completed its investigation and returned the Children to the plaintiff about two and one-half months following the incident.</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incident was investigated by the Royal Canadian Mounted Police ("R.C.M.P.") who questioned the plaintiff at length and who carried out an extensive investigation of the events surrounding Kaya's fall from the Bridge. Upon completion of the investigation, no charges were laid against the plaintiff.</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Immediately after the incident, the plaintiff was detained by the R.C.M.P. during which time she was questioned and during which time she was not allowed to see Kaya. The plaintiff was denied medical treatment of her injuries during the period she was detained by the R.C.M.P.</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suffered severe stress and distress during the period of detention due to her shock and concern about Kaya's condition, the nature of the allegations being made by the R.C.M.P., and further was in discomfort due to her untreated injuries.</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incident on the Bridge provoked national and international media attention. The plaintiff's picture was published in the media and she became easily recognizable by the public.</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incurred expenses in retaining legal counsel to assist her in dealing with the Royal Canadian Mounted Police investigation of the Bridge incident.</w:t>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suffered emotional distress at the loss of having her children during her care while they were in the care of the Ministry and further suffered emotional distress related to the trauma of the actual Bridge incident.</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unable to assume remunerative employment as a result of the negative public attention she has received and her need to devote her time to maintaining contact with the Children while they were in the care of the Ministry.</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continues to suffer stress from the loss of her ability to reside with and care on a day-to-day basis for the Children to whom she had been the custodial parent and primary care giver since birth.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the defendant was largely successful in this application, the defendant will have its costs on scale 3 as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BISHOP</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3"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21"/>
          <w:headerReference w:type="default" r:id="rId122"/>
          <w:footerReference w:type="even" r:id="rId123"/>
          <w:footerReference w:type="default" r:id="rId124"/>
          <w:headerReference w:type="first" r:id="rId125"/>
          <w:footerReference w:type="first" r:id="rId12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27" w:history="1">
        <w:r>
          <w:rPr>
            <w:rFonts w:ascii="arial" w:eastAsia="arial" w:hAnsi="arial" w:cs="arial"/>
            <w:b/>
            <w:bCs/>
            <w:i/>
            <w:color w:val="0077CC"/>
            <w:kern w:val="32"/>
            <w:sz w:val="28"/>
            <w:szCs w:val="32"/>
            <w:u w:val="single"/>
            <w:shd w:val="clear" w:color="auto" w:fill="FFFFFF"/>
            <w:lang w:val="en-US" w:eastAsia="en-US" w:bidi="ar-SA"/>
          </w:rPr>
          <w:t>Hart v. Texmo, [2003] B.C.J. No. 1673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Campbell River,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Truscott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24 - 26,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10,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Campbell River Registry No. S4239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1673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1092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124 A.C.W.S. (3d) 497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Ronald Wayne Hart, plaintiff, and Rory Texmo,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4"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5" w:name="Keywords_7"/>
      <w:bookmarkEnd w:id="55"/>
      <w:r>
        <w:rPr>
          <w:rFonts w:ascii="arial" w:eastAsia="arial" w:hAnsi="arial" w:cs="arial"/>
          <w:b/>
          <w:color w:val="000000"/>
          <w:sz w:val="20"/>
          <w:lang w:val="en-US" w:eastAsia="en-US" w:bidi="ar-SA"/>
        </w:rPr>
        <w:t>Damage awards — Injury and death — Condition aggravated by subsequent injury — Bodily injuries — Back injuries.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6" w:name="Case Summary_7"/>
            <w:bookmarkEnd w:id="5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Hart against Texmo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resulting in personal injury, wage loss, and loss of earning capacity. Hart was injured when he was a passenger in a truck driven by Texmo when the truck left the roadway, rolled over, and landed in a ditch. Texmo admitted liability but argued that Hart's present complaints of personal injury were unrelated to the accident. Hart claimed that the accident aggravated his pre-existing back condition. Texmo argued that Hart's back symptoms would have recurred despite the accident. Hart's back symptoms were minimal immediately after the accident. He first sought treatment for them four months later. Hart had degenerate disc disease. Two of the doctors stated that this condition caused his ongoing pain.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7" w:name="Holdings of Court_7"/>
            <w:bookmarkEnd w:id="57"/>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Hart was awarded $20,000 in damages for a temporary aggravation of his back condition as well as neck, shoulder and arm pain. The accident did not cause a permanent aggravation of Hart's condition.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8" w:name="Counsel_7"/>
      <w:bookmarkEnd w:id="5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5"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D.J.F. Tees, for the plaintiff. P.J. Field,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9" w:name="Judgment_7"/>
      <w:bookmarkEnd w:id="59"/>
      <w:r>
        <w:pict>
          <v:line id="_x0000_s1066" style="position:absolute;z-index:25176883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0" w:name="TRUSCOTT J."/>
            <w:bookmarkEnd w:id="60"/>
            <w:r>
              <w:rPr>
                <w:rFonts w:ascii="arial" w:eastAsia="arial" w:hAnsi="arial" w:cs="arial"/>
                <w:b/>
                <w:color w:val="000000"/>
                <w:sz w:val="30"/>
                <w:lang w:val="en-US" w:eastAsia="en-US" w:bidi="ar-SA"/>
              </w:rPr>
              <w:t>TRUSCOTT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Mr. Hart claims damages from Mr. Texmo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personal injury, past wage loss and loss of future income earning capacity arising out of a single motor vehicle accident that occurred on December 13, 1999. In that accident Mr. Hart was a passenger in a truck owned and driven by Mr. Texmo that left the travel portion of a roadway near Port Hardy, British Columbia, and rolled over and came to rest upside down in a ditch. Mr. Texmo has admitted liability for the accident and any proven resulting injuries and other losses, but takes the position that Mr. Hart's present complaints of personal injury and pecuniary loss are not caused by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particular issue that divides Mr. Hart and Mr. Texmo is whether the accident caused or contributed to Mr. Hart's current back symptoms that continue to prevent him from returning to his former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Hart takes the position that, although he had a prior compromised back condition, it was asymptomatic at the time of this accident and the accident caused his back condition to become symptomatic resulting in Mr. Texmo being liable for 100% of his continuing back symptoms and related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Alternatively he submits that if the court considers that there was a measurable risk that his present back symptoms would have existed regardless of this accident, then that risk can be taken into account in discounting the value of his claim to the extent of that risk, but no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Texmo, on the other hand, submits that Mr. Hart's present back symptoms would have occurred in any event without the accident and therefore causation is not proven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Alternatively, Mr. Texmo submits that if the court cannot determine whether the accident caused Mr. Hart's current back symptoms or whether his previous back condition alone would have caused his present back symptoms, then Mr. Hart has failed to satisfy his legal onus of proving that Mr. Texmo's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caused his present back symptoms and any resulting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Hart's Medical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medical reports and records filed at trial along with the evidence of the doctors at trial, have provided the following facts about Mr. Hart's medical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Hart had a history of low back pain dating back to at least the late 1980's. In 1990, he was working for Mainroad North Island Contracting Ltd. as an equipment operator and sign person. In that year, he was caught in a mud slide while operating a heavy piece of equipment. The machine with Mr. Hart were rolled down the hill. He suffered an exacerbation of his back pain and developed left leg discomfort. Thereafter there was progressive low back and bilateral leg pain. (Dr. Locht's report of October 22,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By August 1, 1996, Mr. Hart could no longer work because of recurring problems with his back causing low back pain and left leg pain. By that time he was a Road Foreman I at Mainroad North Island Contracting. Pain was radiating from his back into the posterior thigh and calf area. The right leg had numbness over the buttock and lateral thigh area and the left leg had discomfort down the posterolateral thigh and slightly into the calf. (Dr. Schweigel's report of October 11,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Schweigel performed a two level disc laminectomy and discectomy at L4-5 and L5-S1 on November 18, 1996. (Dr. Schweigel's report of May 22, 2001; Dr. Locht's report of October 22,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Schweigel saw Mr. Hart again on March 11, 1997. Mr. Hart was informed at that time that heavy work was contraindicated and that the most ideal job for him would be a job where he could stand part of the day and sit part of the day. He was informed that bending and twisting all day long and lifting objects beyond 30 pounds was not good for him. Dr. Schweigel felt that the type of work Mr. Hart was presently doing on the highways over rough terrain was not the ideal job for him. (Dr. Schweigel's report of March 11, 1997; Dr. Schweigel's report of May 22,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Hart returned after the operation to regular duties as a road foreman on May 15, 1997. It was his evidence that regular duties involved lifting more than 20-30 pounds at times. On returning to work he was complaining of mild low back pain but no leg pain and he said he was able to cope with the heavy requirements of bush work, equipment loading, and sitting for long periods of time on snow removal equipment. (Dr. Locht's report of October 22,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December 19, 1997, while Mr. Hart was driving a snow plow truck, it flipped over and he landed upside down in the truck suspended in his seat belt. He released the belt and landed on his neck and left shoulder area. He took four days off work, returning to full duties thereafter. (Dr. Schweigel's report May 22,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Hart's evidence was that his neck continued to hurt for 10-21 days but within two months he was working with no restrictions on activities. By the time he saw Dr. Schweigel again on June 2, 1998, he said he was fine.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 referral note of his family doctor, Dr. Mallette, to Dr. Schweigel of June 1, 1998, indicates the reason for referral was that Mr. Hart had a recurrence of low back pain, with a recent history of left sciatica and low back pain, shooting pains when he coughed or sneezed and thoracic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Schweigel indicates in his report of May 22, 2001, that when he saw Mr. Hart on June 2, 1998, he had neck and low back pain and Dr. Schweigel's diagnosis was of strain of the muscles of the neck and back with some irritation to the sciatic nerve bilaterally. (Dr. Schweigel's report of May 22,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Schweigel's report to a Dr. Benson of June 2, 1998, indicates that when he saw Mr. Hart that day, Mr. Hart told him that since the accident of December 19, 1997, he had had increased back pain and bilateral leg discomfort, cramping in particular. According to Dr. Schweigel, Mr. Hart told him the left leg was worse than the right leg and numb on occasion on a daily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Hart explained at trial that when he saw Dr. Schweigel on June 2, 1998, he told him he had these complaints at the time of the December 19, 1997 accident, but they ceased two months later and were no longer complaints on June 2, 1998, except for his cramps. He said Dr. Schweigel prescribed bananas for his cramps.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accept the evidence of Dr. Schweigel over the evidence of Mr. Hart on this issue because Dr. Schweigel's evidence is confirmed by the referral note from Dr. Mallette.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his report of June 2, 1998, Dr. Schweigel also referred to Mr. Hart trying to obtain a lighter job as a foreman and indicated that if he did not obtain the lighter job he would have to be retrained.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was Mr. Hart's evidence that by the summer of 1998 he had returned to his normal duties and could complete them without any problems whatsoever.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 report of another surgeon, Dr. Burton, to Dr. Mallette of April 6, 1999, indicates that when he saw Mr. Hart he had some ongoing back and leg pains and some residual numbness in his left calf and foot. Mr. Hart allowed in his evidence that he may have told Dr. Burton this and may have had this condition in April, 1999. I accept Dr. Burton's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Hart could not recall if he was tolerating his back in the period of March, 1999 - December, 1999. He said he was fulfilling his normal duties at work with no problems and he had returned to playing recreational hockey full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Monday, December 13, 1999, Mr. Hart was involved in the motor vehicle accident that is the subject of this law 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Hart's evidence was that the truck rolled over, perhaps more than once, and when it came to rest upside down he was once again suspended from his seat belt. Upon releasing the belt he dropped partly on to the driver's seat and emergency brake and partly on to the back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Immediately he said he felt pain in his left shoulder and neck and his neck became very stiff. After filling out a police report at the station he went home where he noticed he had a very sore shoulder, a very stiff neck, and his whole body was sore. He had no other specific complaints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When asked later in his direct examination specifically about his back, Mr. Hart said that the first night he had a dull back pain with slight pain radiating into his legs but not very much. His priority was his shoulder and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 said that the back pain and pain radiating into his legs was somewhat more intense but not dramatically worse over the next few weeks, but in the first month his neck and shoulder were the real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cross-examination it was pointed out to Mr. Hart that Dr. Mallette's clinical note of December 15, 1999 indicates that he only complained at that time of neck, shoulder and arm problems and not of any back problems. Mr. Hart replied that he did have some back problems at that time but did not report them to Dr. Mallette. He also said that while he had no left arm pain initially, approximately one month later at work his left arm started to bother him and got worse during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 returned to work on Monday, December 20, 1999, when his shoulder was still very weak and his neck stiff and he was taking hot baths daily.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first few weeks of work he was not required to sit in a plow truck for extended periods of time. He was able to modify his activities somewhat and was able to complete his shifts with the help of an assistant. His main problems were his shoulder and neck soreness and his left arm that started to act up. He said he had dull back pain but he worked through it, although he said the pain level was on a scale of 4 out of 10. He never took any painkillers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By the end of his winter shift Mr. Hart said that the stiffness in his neck was gone, his shoulder was still weak but functioning without much pain, but his low back still had some dull pain. His left arm was not badly affected because in winter season he was not doing any loading on his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 also said he was taking physiotherapy at that time and he was pretty sure that in the time period January-April, 2000, he had told the physiotherapist about his back, but it was possible that he was not treated for it until May, 2000, when he needed treatment as he started into Summer shift. He did agree that if he had told the physiotherapist about any back problem the physiotherapist would have applied heat.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physiotherapy records indicate 22 treatments between December 28, 1999, and April 25, 2000, with no recorded treatment of the lumbar spine area. Interim reports of the physiotherapist to I.C.B.C. of March 1, 2000, and April 28, 2000, indicate treatment only to the left elbow, left shoulder and the cervical and upper to mid thoracic spine areas. The first recorded treatment to the back was on May 1,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When Summer shift started in 2000 and Mr. Hart started clearing brush by the side of the road with a power saw, his left arm started to get worse with pain on the inside just below the elbow joint, for which he started to wear an elbow brace.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shoulder was getting stronger but his low back was getting progressively worse, with extensive cramping in his left leg daily. He said the back pain was 4-6 on a scale of 10 but he kept working and kept up his physiotherapy through July, 2000, and then again in November, 2000. The break between July, 2000, and November, 2000, was probably because he was feeling well enough to do the job without the physiotherapy and he was off the brushing program as he was temporarily fulfilling the position of Foreman 2. A Foreman 2 position has no physical labour associated with it and he found that his back was not as sore and his leg cramping not as often.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Sleeping was a problem, however, for Mr. Hart because he often woke up stiff and sore. Cramping in his legs also impeded his sex life with his wife on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When winter shift began again in mid-November, 2000, as soon as he had to return to driving heavy trucks every day his low back pain flared up again and it only subsided when the weather warmed up around Christmas and he was able to move to driving a pick-up truck. The low back pain was still present but not as bad.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He continued his physiotherapy during the winter of 2000/2001 two times a week and the physiotherapist worked on his low back and neck. His sleeping also remained disturbed.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There were three physiotherapy treatments in November, 2000, and none in December while seven more were in January, 2001, before January 30th.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physiotherapist suggested the purchase of a special bed with a massage and heating pad built into it, and once this was purchased in late January, 2001, it improved Mr. Hart's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January 30, 2001, Mr. Hart took part in a rescue operation of a person trapped in a cargo van that was found upside down over the bank against a tree on the Port Alice highway. The van was filled with three life preservers that weighed about 300 pounds each and Mr. Hart assisted in pulling these life preservers out of the van so that the occupant could be 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Hart also took heavy equipment up the bank and made a number of trips up and down the bank. Eventually all this activity resulted in his back getting very sore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Two days later he got medical attention when he had major low back pain with pain radiating down his legs. It was worse than the back pain he had experienced in summer, 2000. He could not return to work and had not returned to work to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After the January 30, 2001 incident he started physiotherapy again with hot baths and Advil. The symptoms eased off a bit, but in Summer, 2001, he slipped while out with his dog and re-aggravated his back to what it was like after the rescue operation of January 30, 2001, before the pain again eased off in three weeks or so. By four weeks after his slip he said his back was what it was like three to four months after the rescue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According to Dr. Leete's report of August 15, 2001, Mr. Hart told him that for three weeks after he slipped while walking his dog he was totally unable to move due to severe back and leg pain. (Dr. Leete's report of August 15, 2001.) I accept Dr. Leete's evidence on this issue over Mr. Hart's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medical evidence in the case is consistent that Mr. Hart should not return to work at his former job. It is too physically demanding on his back. He should look for employment with light to medium physical demands. It should not involve heavy lifting, bending, twisting all day long or any job that involves driving for long periods. (Dr. Schweigel's report of May 22, 2001, Dr. Leete's report of August 15, 2001, Dr. Locht's report of October 22,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Hart said that his left arm has not been bad for the last 18 months as he has not loaded it. His neck only gets stiff after long drives, but can be relieved in 15 to 20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Hart's Employment and Future Prospects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Hart has a Grade 12 education. He is 41 years old. He lives in Port Hardy in a home in a semi-rural area on an 80 x 200 foot lot with a large shop in the yard that he built himself. His hobbies are working on boats and vehicles in his shop. He has worked for Mainroad Construction on the maintenance of the highways in the Port Hardy area since 1989 and in the position of foreman since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His income in 1998 was $51,000, in 1999 approximately $54,000 and in 2000 approximately $48,000.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Hart expressed the wish to stay in Port Hardy where he has lived since 1985 as he enjoys the outdoors and has friends and family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He understands that the vocational evaluator, Mr. Niall Trainor of Viewpoint Medical Assessment Services Inc., has suggested a couple of alternative careers, and he does have some interest in the civil engineering diploma course which is offered by B.C.I.T. and would take two years to complete. To meet the entrance requirements he would need to take the technology entry program which is a 15 week program to upgrade his skills including mathematics and computer literacy. The total cost of re-training would be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However, Mr. Hart is still technically employed by Mainroad Contracting and he thinks he can do the Foreman 2 job. One such position is coming available in September, 2003, but he does not know if it is 100% sure he will get that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cross-examination he confirmed that his seniority and experience should put him in first position for the Foreman 2 job next time. He is putting his hopes on that position so he has not taken any of the training courses recommended by Mr. Trainor although he agreed nothing prevents him from doing so if he wants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He has also not sought other employment, instead waiting for the present Foreman 2 to retire.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He confirmed that the Foreman 2 position is a union position and he has been told the seniority position that he holds should allow him to obtain the position. However, Mainroad's contract with the Provincial Government in this area comes up for renewal in September, 2003, and it may not get the next contract. If it does he should get the job unless he is bumped by someone in Mainroad with more seniority from another part of the province where Mainroad does not get a new contract. He does not know who that might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At the time of the December 13, 1999, accident Mr. Hart was playing hockey on an old timers team on a regular basis two times a week. Following this accident he only played sporadically, depending on how he felt and this has continued after the January 30, 2001, rescue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Prior to December 13, 1999, he engaged fully in working on boats and vehicles in his shop but after the accident this activity was nonexistent for two to four months and since has only progressed to lighter work as he always needs help with the heavier work. This has resulted in much more limited time in his workshop.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Causation of the Back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Stanley Leete, orthopaedic surgeon, gave evidence for Mr. Hart at trial and his three reports were filed as exhibits.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Leete acknowledged that Mr. Hart's lumbar spine was compromised at the time of the December 13, 1999, accident by the previous surgery done by Dr. Schweigel in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He also recognized that Mr. Hart had degenerative changes in his spine which made it more vulnerable to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However, in his opinion the presence of degenerative changes does not necessarily correlate with Mr. Hart's present symptoms. In his view a person who has a grossly degenerative spine may be totally symptom free and conversely a person who has a relatively pristine spine can be totally disabled with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Accepting Mr. Hart's evidence of a back injury in the December, 1999 accident, Dr. Leete was of the opinion that Mr. Hart's surgery in 1996 together with his subsequent accidents of 1998, 1999 and 2001, have all combined to have an incremental effect upon the development of his back pain. Each episode of back trauma has rendered the spine more vulnerable to subsequent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his opinion, whereas the December, 1999 injury was not solely the cause of Mr. Hart's current disabling back pain, it was one of the causes or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While he acknowledged the possibility that the rescue operation back injury in 2001 would have occurred even if Mr. Hart had not suffered a back injury in December, 1999, he was still of the opinion that each insult to the spine significantly contributed and made it more likely that Mr. Hart would suffer further injury in the rescue operation. In his opinion, to single out the rescue operation as the sole source of Mr. Hart's ongoing back problems was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Leete was asked if it would be unusual for Mr. Hart to have had only minimal back pain immediately following the December, 1999, accident while he restricted his activities, but then develop increasing back pain as he became more active, and whether in that circumstance Dr. Leete would still attribute his back pain in part to the December, 1999,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Leete's answer was that it would not be unusual, and from the fact Mr. Hart told him that he continued to have back pain up to the time of the rescue operation on January 30, 2001, Dr. Leete concluded that the December, 1999, accident must have been a major contributing cause to Mr. Hart's ongoing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Under cross-examination it was pointed out to Dr. Leete that the first mention in Mr. Hart's clinical records of any back treatment after the December 13, 1999, accident was in physiotherapy records of May 1, 2000. Dr. Leete thought it was possible that as Mr. Hart increased his activities after the December 13, 1999, accident his back pain increased. However, he agreed that if there were no back problems for 4 1/2 months after the accident he would find that gap to be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Two reports of another orthopaedic surgeon, Dr. Randall Locht, were filed as exhibits by the plaintiff. In the first report of October 22, 2001, Dr. Locht expressed the opinion that with Mr. Hart's ongoing multi-level lumbar degenerative disease complicated by the previous two level disectomy, it was to be expected that pain would be frequently triggered by stresses on the spine. In his opinion the lumbar degenerative disc disease as well as Mr. Hart's low aerobic capacity and obesity at the time he saw him in 2001 all contributed to the abnormal dynamic and static mechanics that will result in chronic peripheral pain generation triggered by lifting, bending, stooping and prolonged sitting. The exacerbation of low back pain in the accident of December, 1999, and the extreme physical overloads in the rescue operation of January 30, 2001, were not unexpected by Dr. Locht.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Dr. Locht's opinion the lumbar degenerative disc disease had been longstanding and slowly progressive and it was unlikely that there was any enhancement of Mr. Hart's lumbar spine pathology in the December, 1999, motor vehicle accident. In his view a recovery time of three months would have been reasonable for most soft tissue injuries causing an exacerbation of his low back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his follow-up report of May 2, 2002, Dr. Locht explained that his conclusion that it was not likely that there was any enhancement of Mr. Hart's pre-existing lumbar pathology in the December 13, 1999, motor vehicle accident was based on the objective findings of medical assessments with known limitations. However, based on Mr. Hart's subjective complaints of continuing increased low back and left leg pain after the December 13, 1999, motor vehicle accident leading right up to the rescue operation of January 30, 2001, that carried even more pain, it was possible that Mr. Hart may have enhanced his lumbar spine pathology in the December, 1999, accident as well as in the 2001 rescue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Chris Cameron, another orthopaedic surgeon, gave evidence for Mr. Texmo and his three reports were also filed as exhibits. His opinion was that the main cause for Mr. Hart's back pain was chronic degenerative disc disease which necessitated the surgery in 1996. His subsequent incidents of back complaints such as his truck accident of 1998, this accident of December 13, 1999, and the rescue accident in 2001, were all flare-ups of his back condition that were largely a factor of his ongoing degenerative disc disease. Dr. Cameron was of the opinion that Mr. Hart would have suffered the injury rescuing the motorist in 2001 even if he had not suffered injury in the December 13, 1999,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Cameron stated that Mr. Hart had given him a history that the low back pain that he experienced right after the December 13, 1999, accident and in subsequent weeks was relatively minor and it was not until later that the low back pain increased. This indicated to Dr. Cameron that the actual injury to the back from the December, 1999, accident was minor and his view was that such an injury does not cause progressively worsening symptoms over time but rather symptoms that steadily decline.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Accordingly he was of the belief that the possibility of the December 13, 1999, motor vehicle accident making Mr. Hart more susceptible to future back injury was remote. He did not think the December, 1999, injury to his low back was a contributing factor to Mr. Hart being more susceptible to injury in his low back area as he subsequently experienced on January 30,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Cameron was of the opinion that it is an error to focus on the accidents as the only possible causes of Mr. Hart's continuing back problems as bending and twisting by themselves can cause injury to his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He agreed that if a person remains inactive he may experience fewer symptoms but in this case had Mr. Hart had any significant back injury at the time of the accident he would have expected back pain right away. If there was any substantial injury to his spine in the December, 1999, accident this would imply a significant amount of pain for Mr. Hart within a day or two of the accident and not later. It was not consistent, in his view, with any substantial injury to Mr. Hart's back in the December, 1999, accident for back symptoms to become apparent for the first time only weeks or months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Under cross-examination he agreed that it was possible that if Mr. Hart suffered significant back injury in the December, 1999, accident and was inactive for a period thereafter, that upon increasing his activities the symptoms could get worse, but still he would have expected significant back pain at the time of the accident if Mr. Hart's back had been significantly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He agreed that if Mr. Hart altered his activities after the December, 1999, accident it could trigger back pain, but in his opinion, that would be due to the change in activity and not to the December, 1999,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Cameron could not say that Mr. Hart's present back complaints are due to the January, 2001, rescue operation, however. He would only agree that his continuing back complaints can no longer be considered as mere flare-ups.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Other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Hart's neck pain and shoulder pain appear to have resolved quite quickly after the December, 1999, accident. On his evidence by the end of the Winter shift 1999/2000 which was around May 1, 2000, the stiffness in his neck was gone and while his shoulder was still weak he was able to function at his job without much pain. As he continued working his shoulder strengthened.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Malette stated in his report of August 11, 2000, that when he saw Mr. Hart in July, 2000, apart from back pain he still had left shoulder pain every day and complained that both sides of his elbows were uncomfortable since the December, 1999, accident. His long term prognosis was good, however.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When Dr. Schweigel saw Mr. Hart on June 7, 2000, he noticed some restriction of neck movement and some soft signs of impingement in his left shoulder. He had no abnormality in his elbows or wrists and his grip strength was 65K on both the right and left sides. When Dr. Schweigel saw him again on the 1st or 6th of February, 2001, right after the rescue operation, he obtained a history that his neck would stiffen on occasions. On examination he had some improvement of range in his cervical spine and had no complaints about his left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Presently Mr. Hart says the only time his neck gets stiff is after long drives and then he is able to loosen it up in 15 or 20 minutes after stopping.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other remaining complaint of Mr. Hart is with respect to his left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It is Dr. Cameron who appears to have discovered the problem with Mr. Hart's left arm. In his report of July 8, 2002, he found tenderness to deep palpation on the biceps tendon distally, with no elbow instability.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He found no evidence of residual injury to the neck and found only mild tenderness but no other abnormality of the left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As far as the left arm was concerned Dr. Cameron thought there might be a partial tear of Mr. Hart's biceps tendon that would likely heal with time but did not disable him from work and had not disabled him from work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a subsequent report of September 13, 2002, Dr. Cameron said that a biceps tear, fracture or major ligament injury was ruled out but not a lesser ligamentous strain.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He expressed the opinion that the injury was suffered in the December 13, 1999, motor vehicle accident but was resolving.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At trial he declined to agree that it is now a permanent fixture for Mr. 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Dr. Leete's report of March 5, 2003, he examined the left arm and found no wasting but did find weakness of resisted flexion of the elbow and weakness of resisted supination of the forearm with diminished grip strength on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Leete could not state categorically whether the left arm complaint was accident related or not but Mr. Hart had the pathology and in his opinion the injury will impede Mr. Hart's ability to carry out heavy work such as digging, crowbar work and using a chainsaw.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Athey v. Leonati, </w:t>
      </w:r>
      <w:hyperlink r:id="rId52"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the Supreme Court of Canada dealt with the question of whether and when a loss can be apportioned between tortious and non-tortious causes where both are necessary to create the injury. Major J. writing for the court stated at p. 472: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essential purpose and most basic principle of tort law is that the plaintiff must be placed in the position he or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"original position"). However, the plaintiff is not to be placed in a position better than his or her original one. It is therefore necessary not only to determine the plaintiff's position after the tort but also to assess what the original position would have been. It is the difference between those positions, the "original position" and the "injured position" which is the plaintiff's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Applying legal principles to the facts of that case, which concerned a pre-existing back problem with two subsequent motor vehicle accidents, Major J. said:</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disc herniation would likely have occurred at the same time, without the injuries sustained in the accident, then causation is not proven.</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was necessary to have both the accidents and the pre-existing back condition for the herniation to occur, then causation is proven, since the herniation would not have occurred but for the accidents. Even if the accidents played a minor role, the defendant would be fully liable because the accidents were still a necessary contributing cause.</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accidents alone could have been a sufficient cause, and the pre-existing back condition alone could have been a sufficient cause, then it is unclear which was the cause in fact of the disc herniation. The trial judge must determine, on a balance of probabilities, whether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On my review of the evidence, it is my conclusion that the proximate cause of Mr. Hart's present back symptoms is his progressive degenerating lumbar disc disease and the accident of December 13, 1999, did not cause or contribute to his present back symptoms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prefer the opinions of Dr. Locht and Dr. Cameron that Mr. Hart's degenerative disc disease is causing his back pain that can be triggered by lifting, bending, stooping, twisting and prolonged sitting, as well as by any other form of trauma to his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do not accept that any back injury Mr. Hart suffered in the December 13, 1999 accident was of any significance and I do not accept that it enhanced his lumbar spine pathology. Any back pain as a result of the December 13, 1999 accident was mild and of short term duration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cannot accept Mr. Hart's evidence that he experienced back pain of any significance immediately after the December 13, 1999 accident. The physiotherapy records do not show any treatment for the low back area until May 1, 2000, four and one half months after the accident. Mr. Hart agreed that if he had told the physiotherapist about a back problem, heat would have been applied, but the records do not show any application of heat and I do not accept that the physiotherapist was told of any back problem until May 1,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Leete agreed that if there were no back problems for four and one half months after the accident, he would find that gap to be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accept that Mr. Hart did suffer some back pain immediately after the December 13, 1999 accident, but it was only mild pain and not even significant enough to tell the physiotherapist or Dr. Mallette. I accept the opinion of Dr. Cameron that such a minor injury does not cause progressively worsening symptoms over time, but rather symptoms that steadily decline.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Hart was told by Dr. Schweigel as far back as March, 1997, that heavy work was not good for him and his present job was not ideal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believe Mr. Hart's job continued to aggravate his back and that includes his accidents of December 19, 1997 and January 30, 2001, on the job, as well as his bending, twisting, lifting and long sitting positions on the job. I believe that he was experiencing back symptoms well into 1999 before the December 13, 1999 accident. His degenerative disc disease made him more vulnerable to back problems and he was in fact experiencing back problems even before the accident of December 13,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cannot accept Dr. Leete's opinion that the accidents have had any incremental effect on Mr. Hart's vulnerability as I believe that vulnerability was always there in full from his degenerative disc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believe Mr. Hart would have come to the point he is at now with his back regardless of the December 13, 1999 accident. It may be that the January 30, 2001 rescue accident has made it a permanent problem for Mr. Hart, but in my opinion the December 13, 1999 accident did not contribute to his present back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am prepared to award damages to Mr. Hart for temporary aggravation of his symptomatic back condition in the December 13, 1999 accident, lasting no more than three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am also prepared to award damages as well for Mr. Hart's neck pain and shoulder pain and left arm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Hart's evidence was that stiffness in his neck was gone by the end of winter shift in 2000. Dr. Schweigel still observed some restriction of neck movement in June, 2000, but by February, 2001, was told that the neck only stiffened on occasion. Mr. Hart says his neck only gets stiff now after long drives and it only takes 15-20 minutes to loosen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addition, by the end of winter shift 2000, Mr. Hart's shoulder was still weak but functioning without much pain and it strengthened thereafter. It was still painful according to Dr. Mallette when he saw Mr. Hart in July, 2000, but there were no complaints when Dr. Schweigel saw him in February,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accept Dr. Cameron's opinion that it might be a ligamentous strain on Mr. Hart's left arm that is resolving and has never disabled him from work. Even Dr. Leete says the left arm injury will only impede Mr. Hart's ability to carry out heavy work such as digging, crowbar work and using a chain saw. These are heavy activities that are not recommended for Mr. Hart's back,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For general damages for pain and suffering and loss of enjoyment of life due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Texmo I conclude that the plaintiff is entitled to damages for his neck, shoulder and left arm pain, as well as temporary back pain, in an amount of $20,000, and I have in mind the award in Hoskin v. Trisevic, </w:t>
      </w:r>
      <w:hyperlink r:id="rId128" w:history="1">
        <w:r>
          <w:rPr>
            <w:rFonts w:ascii="arial" w:eastAsia="arial" w:hAnsi="arial" w:cs="arial"/>
            <w:i/>
            <w:color w:val="0077CC"/>
            <w:sz w:val="20"/>
            <w:u w:val="single"/>
            <w:shd w:val="clear" w:color="auto" w:fill="FFFFFF"/>
            <w:lang w:val="en-US" w:eastAsia="en-US" w:bidi="ar-SA"/>
          </w:rPr>
          <w:t>[2002] B.C.J. No. 1326</w:t>
        </w:r>
      </w:hyperlink>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2002 BCSC 903</w:t>
        </w:r>
      </w:hyperlink>
      <w:r>
        <w:rPr>
          <w:rFonts w:ascii="arial" w:eastAsia="arial" w:hAnsi="arial" w:cs="arial"/>
          <w:color w:val="000000"/>
          <w:sz w:val="20"/>
          <w:lang w:val="en-US" w:eastAsia="en-US" w:bidi="ar-SA"/>
        </w:rPr>
        <w:t>, as comparable.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There is no claim for past loss of income as I understand the defendant has already paid for the loss of income for the one week Mr. Hart was off work until December 20,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With respect to the loss of earnings claim since January, 2001, to the date of trial, again this claim is denied as being attributable to the back injury that is unconnected to the December 13, 1999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make no award for future loss of income earning capacity either related to the back injury, because it is not caused by the December 13, 1999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The plaintiff submits that he is entitled to an award for loss of income earning capacity because of his continuing left arm injury, and cites such cases as Pallos v. Insurance Corporation of British Columbia </w:t>
      </w:r>
      <w:hyperlink r:id="rId59"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where there was no clear medical evidence that the plaintiff had a diminished ability to earn income in the future or, if so, the extent to which that ability was diminished, and yet he still received an award of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my opinion that case is distinguishable, however, by the fact that there was uncontradicted medical evidence of partial permanent physical disability from the car accident, which could have an effect on his capacity to work and on his employability. In this case the medical evidence is that Mr. Hart is not capable of heavy work because of his back injury, which I have found is not caused by the December 13, 1999 accident, and accordingly, if Dr. Leete is right that Mr. Hart's left arm injury will only prevent him from carrying out heavy work, that ability has already been lost by the back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also allow no damages for costs of retraining because again the need for retraining is attributable to the back injury unconnected to the December 13, 1999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Lastly, I also must deny the claim for a special bed as again being due to the back injury unconnected to the December 13, 1999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Unless there are submissions to be made the plaintiff will have his costs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TRUSCOTT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7" style="position:absolute;z-index:2518200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35" w:history="1">
        <w:r>
          <w:rPr>
            <w:rFonts w:ascii="arial" w:eastAsia="arial" w:hAnsi="arial" w:cs="arial"/>
            <w:b/>
            <w:bCs/>
            <w:i/>
            <w:color w:val="0077CC"/>
            <w:kern w:val="32"/>
            <w:sz w:val="28"/>
            <w:szCs w:val="32"/>
            <w:u w:val="single"/>
            <w:shd w:val="clear" w:color="auto" w:fill="FFFFFF"/>
            <w:lang w:val="en-US" w:eastAsia="en-US" w:bidi="ar-SA"/>
          </w:rPr>
          <w:t>Hopkins (Committee of) v. Wellington, [2000] B.C.J. No. 1436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Burnyeat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10 - 14 and February 14 - 15,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12,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B971255 and B975393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1436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1072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 M.V.R. (4th) 177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97 A.C.W.S. (3d) 1285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Ronald George Wellington, plaintiff, and Kenneth David Hopkins, by his Guardian ad litem and Committee, David Richard Hopkins, defendants (Vancouver Registry No. B971255) And between Kenneth David Hopkins, by his Guardian ad litem and Committee, David Richard Hopkins, plaintiff, and Ronald George Wellington, Interlink Freight Systems, Inc., G.E. Capital Canada Equipment Financing Inc., John Doe, and Insurance Corporation of British Columbia, defendants (Vancouver Registry No. B975393)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8"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1" w:name="Keywords_8"/>
      <w:bookmarkEnd w:id="61"/>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standard of care of driver — Visibility reduced — Dangerous highways or adverse driving conditions — Travelling too close to vehicles ahead (tailgating) — Motor vehicle, speed — Excessive speed — Where reduced speed required, road conditions — Where reduced speed required, poor or obstructed visibility.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2" w:name="Case Summary_8"/>
            <w:bookmarkEnd w:id="6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Hopkins against Wellington for damages for personal injuries arising out of a motor vehicle accident. Wellington brought an action against Hopkins for damages for personal injuries arising out of the same motor vehicle accident. A vehicle driven by Hopkins collided head-on with the vehicle driven by Wellington. The road was covered with snow at the time, which made it difficult to see the centre lines on the road. The evidence showed that Hopkins was travelling at an excessive rate of speed earlier on the day of the accident and that he was travelling in a snow cloud created by another vehicle immediately prior to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3" w:name="Holdings of Court_8"/>
            <w:bookmarkEnd w:id="63"/>
            <w:r>
              <w:rPr>
                <w:rFonts w:ascii="arial" w:eastAsia="arial" w:hAnsi="arial" w:cs="arial"/>
                <w:color w:val="000000"/>
                <w:sz w:val="20"/>
                <w:lang w:val="en-US" w:eastAsia="en-US" w:bidi="ar-SA"/>
              </w:rPr>
              <w:t>HELD: The action by Hopkins was dismissed and the action by Wellington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evidence of Hopkins's speed as observed earlier in the day was inadmissible in determining his speed immediately prior to the accident. However, by following too closely in the snow cloud of another vehicle, Hopkins was operating the vehicle in an unsafe manner and his speed was excessive in the circumstances. There was no evidence that Wellington was driving at an excessive speed. The evidence suggested that Hopkins allowed his vehicle to travel over to the oncoming lane of traffic, which caused the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4" w:name="Counsel_8"/>
      <w:bookmarkEnd w:id="6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9"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W.T. Morley, for Ronald G. Wellington (Registry No. B971255). D. Lindsay, for Kenneth D. Hopkins, by his Guardian ad litem and Committee David Richard Hopkins (Registry No. B971255). R.B. Webster and N. Foley, for Kenneth D. Hopkins, by his Guardian ad litem and Committee David Richard Hopkins (Registry No. B975393). D.J. Whitelaw, for Ronald G. Wellington, Interlink Freight Systems, Inc. and G.E. Capital Canada Equipment Financing Inc. (Registry No. B975393). R.J. Rogers, for John Doe and Insurance Corporation of British Columbia (Registry No. B975393).</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5" w:name="Judgment_8"/>
      <w:bookmarkEnd w:id="65"/>
      <w:r>
        <w:pict>
          <v:line id="_x0000_s1070" style="position:absolute;z-index:25176985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6" w:name="BURNYEAT J."/>
            <w:bookmarkEnd w:id="66"/>
            <w:r>
              <w:rPr>
                <w:rFonts w:ascii="arial" w:eastAsia="arial" w:hAnsi="arial" w:cs="arial"/>
                <w:b/>
                <w:color w:val="000000"/>
                <w:sz w:val="30"/>
                <w:lang w:val="en-US" w:eastAsia="en-US" w:bidi="ar-SA"/>
              </w:rPr>
              <w:t>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At about 2:00 p.m. on December 1, 1995 north of Pine Pass on Highway 97, a vehicle being driven southbound by Mr. Hopkins collided with a vehicle being driven northbound by Mr. Wellington. The posted speed at that location was 90 kilometres per hour. There was loose snow on top of a layer of compact snow on the road that day and it as snowing lightly at the time of the accident. The two vehicles collided head-on and the main issue in these trials is whether one or both of the vehicles were travelling in the wrong lane of traffic. As a result of the catastrophic injuries suffered by Mr. Hopkins, Mr. Hopkins cannot testify as to what happened that day. Accordingly, only the testimony of Mr. Wellington is available. No other witnesses to the accident are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As a result of the actions of people who came upon the accident scene, much of the debris from the accident scene was moved and, accordingly, any assistance that might have been obtained from this source is not available. As well, the snow on the surface of the highway made it impossible to attempt to ascertain what happened by examining marks on the road which may or may not have been present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Photographs of the accident scene were taken by the R.C.M.P. approximately one hour after the accident, after more snow had fallen and after some of the debris from the accident scene had been moved from the road. It is on the basis of these photographs and the recollections of Mr. Wellington that accident reconstruction experts have attempted to ascertain what happened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For purposes of determining liability, these two actions are being tried at the same time. As only Mr. Wellington was in a position to testify, the case for Mr. Wellington was heard first. The trial or trials dealing with damages await this decision as to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 OF MR. WELLINGTON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Wellington is 45. He has been qualified to drive equipment with air brakes since age 19. Mr. Wellington had been employed as a truck driver by Interlink Freight Systems, Inc. ("Interlink") since 1993. Prior to that, he had 16 years experience driving trucks or heavy equipment in the fall and winter. At the time of the accident, Mr. Wellington was driving a truck and trailer owned by Interlink. On the basis of the testimony of Mr. Wellington, I find that Mr. Wellington had driven the route between Prince George and Dawson Creek many times before the accident and that he was familiar with the route. Mr. Wellington requires glasses as he is near-sighted. I find that he was wearing glasses on the day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the day of the accident, Mr. Wellington arrived at work at approximately 7:40 a.m., did his pre-trip checking by about 9:15 a.m. and then left Prince George for Dawson Creek at about 10:00 a.m. On the way, he made one stop on the way to go to the bathroom and purchase some food.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Wellington was driving a 1994 International Model 9400 Tractor. The licence for that vehicle provided for a maximum gross weight of 46,300 kgs. The Bill of Lading described the contents of the material carried in the trailer that day as being 231 "loose pieces" consisting of 12 skids of "dangerous/hazardous goods" being naphtha petroleum (80 lbs.), adhesives (320 lbs.), tire tread rubber in packages (15,720 lbs.), tire patches (43 lbs.), adhesives in packages (973 lbs.), machinery in boxes (10 lbs.), and size 12 liners (60 lbs.). On the basis of the evidence before me, I find the width of the tractor being driven that day by Mr. Wellington is approximately 8 feet and that the width of the trailer following the tractor is approximately 8 1/2.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WELLINGTON'S RECOLLECTIONS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Wellington gave a December 2, 1995 statement to the R.C.M.P. In that statement, Mr. Wellington indicated that his vehicle had all of its lights on and that he was wearing a shoulder seat belt at the time of the accident. On the basis of the evidence before me, I find that this was the case. Mr. Wellington further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coming down this long straight stretch. It was snowing lightly, I could still see this other transporter heading south. There was about an inch of snow on the road. You could see the turbulence behind his truck. I looked in my mirror &amp; mine was heavy so we both slowed down. We both pulled over to the shoulders on the road so we could avoid the bulk of the turbulence. As I passed his turbulence I knew his road was straight. I could just see the side of the shoulders. Visibility was poor, all I could see was 10 feet approximately. In that same moment I saw the headlights of another vehicle direct in front of me. We collided and it made me go off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this statement, Mr. Wellington also stated: "I don't think I was going 70 kph when I went by him [the southbound trailer being driven by Mr. Doe]." Mr. Wellington testified that he "marked" the side of the shoulder of the road by the discoloured snow which had been thrown up either by passing traffic or by the crews who had attempted to keep the road clear of snow. My notes indicate that Mr. Wellington testified that he "set his mark" about "one foot or two feet away from the shoulder." Mr. Wellington also testified that, as he entered the white-out caused by the Doe vehicle, he attempted to use the "mark" to make sure that his vehicle continued in a straight line and did not stray left into the line of oncoming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Wellington also made a report to Interlink. In his December 3, 1995 letter, Mr. Wellington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came to a long straight stretch. It was snowing lightly with approximately one inch of powder snow on the highway. At the far end of the straight stretch I could see another semi coming towards me. I could see the turbulence created by his unit, looking in my mirrors I could see that my unit was doing the same thing. As we approached we both slowed down and pulled over to the shoulder of the road to make seeing easier when we passed. As we went by my foot was off the accelerator and applying slight break [sic] pressure. The other trucker and I waved to each other on the way past. I knew the road was straight and as I entered the turbulent area visibility was approximately 10 feet. I could just barely see the snowbank on the shoulder of the road, and at that instant I saw a headlight directly in front of me. Before I could apply any further break [sic] pressure I was hit. Fractions of a moment after impact I went off the road. Upon impact I heard a loud explosion and when the truck came to rest I was scrambling to get out of the seat belt and get out of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Wellington also wrote a December 3, 1995 letter to the R.C.M.P. indicating that he had forgotten to mention something on December 2, 1995: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way home on the bus I had a lot of opportunity to reflect upon the accident. One part I remember that I had failed to tell the officer taking my statement was that when I went past the other semi driver my foot was off the accelerator and applying light break [sic] pressure. As we went by we waved to one another. When I entered this turbulent area and saw that headlight in front of me I did not have enough time to take a full braek (sic) application even though my foot was already making a slight application. It was not until impact that I made that full braek (sic)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White-out prevails as moving vehicles throw up a wake of snow if certain snow and other weather conditions prevail. On December 1, 1995 at the scene of the accident, Mr. Wellington told Constable Kennedy he could see nothing beyond the approaching semi-trailer and that, as the trucks passed, he still could see nothing due to white-out conditions. Mr. Wellington also told Constable Kennedy he felt he may have cleared the Doe trailer by 50 feet or so before the accident occurred. On the basis of the evidence before me, I find that the end of the vehicle of Mr. Wellington had cleared the end of the Doe trailer by about 50 feet before the accident occurred. I also find that the turbulence created by the Doe vehicle created white-out conditions that day and that both the Wellington and Hopkins vehicles were in such a white-out when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identities of the owner and driver of the southbound semi-trailer and truck are unknown and, accordingly, John Doe and the Insurance Corporation of British Columbia have been added as party defendants in Action No. B975393. In his December 2, 1995 statement given to the R.C.M.P., Mr. Wellington indicated that the Doe vehicle had all of its lights on. On the basis of that evidence, I make a finding that this was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ROAD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his December 2, 1995 statement to the R.C.M.P., Mr. Wellington described the road conditions at the time as: "Hard compact, no sand I would say poor. Not horribly poor." He indicated in the same report that it was "snowing lightly" but he described the visibility as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Glen Anderson was doing road work on Highway 97 that day. In his December 1, 1995 statement given to the R.C.M.P., Mr. Anderson described the conditions as "snowing lightly, cloudy, cold, minus 17 degrees Centigrade, visibility good unless meeting a semi truck and then you would have a white-out for a couple seconds." "Heavy compact snow, well sanded, light cover and blowing snow." "Traffic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find that it was snowing at the time of the accident and the roadway was covered with loose snow on top of a layer of compact snow. I find that neither the centre line nor the fog lines on the roadway were visible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moving and removal of debris and the absence of any pre-impact tire marks or collision marks make the determination of the exact location of the impact difficult to ascertain. As well, measurements were not taken to determine how wide the travelled portion of the road was, the distance between the two vehicles when they came to rest, the distance between the vehicles and the debris, the edges of the travelled portion of the road in relation to the actual centre line marked on the road, the relationship between the travelled portion of the road and the marked centre line on the road, the paths of the vehicles as they came to rest off the road, or the exact location of debris on the road and on adjacent surfaces.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Corporal Fare of the R.C.M.P. who is a collision reconstructionist took measurements on August 17, 1999. These measurements were taken at a time when the centre lane and all lanes were visible. In the northbound lane, the lane is 3.65 metres throughout, there is next a paved shoulder of between 1.80 metres and 2.0 metres wide, then a gravel shoulder 2.3 metres wide and then a ditch ranging from 2.35 metres deep to 2.95 metres deep. On the southbound lane, the lane is 3.65 metres wide with the most southerly portion 3.68 metres wide, then a paved shoulder of between 1.8 metres and 1.9 metres wide, then a gravel shoulder 2.0 metres wide and then a ditch which is 60 centimetres deep at the most northerly portion and 4.5 metres deep at the most southerly portion. I accept that evidence while noting that the measurements taken do not particularly assist in the determination of how wide the travelled portion of the road was on the day of the accident and where that was in relation to the ordinary traffic lanes and paved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After the accident, the Wellington tractor and semi-trailer went off the road, plowing snow ahead of it and leaving a path through the snow at the side of the road. The vehicle of Mr. Wellington then came to rest in the snow to the right of the northbound lane and at what appears to be an approximate 20% angle facing north and off the road. As is indicated in his statements and in his testimony, Mr. Wellington was concerned for his own safety so that, after the accident, he left his vehicle, struggled through the snow to get back onto the road, went to assist Mr. Hopkins, and then was eventually attended to for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ACTIVITIES OF MR. HOPKINS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Hopkins had been in Moberly Lake that day and, after obtaining repairs to his vehicle, he left to drive to Quesnel. Those repairs were undertaken by Mr. Alex McPhee who had known Mr. Hopkins for about five years. Mr. McPhee gave a statement on December 8, 1995 to the R.C.M.P. and also testified at trial. In his statement, Mr. McPhee stated: "He was kinda in a rush to get outa here to get to work in Quesnel." As to when Mr. Hopkins departed from Moberly Lake, Mr. McPhee stated: "Right after I had finished he said thanks I gotta go. It would have been between 12:30 and 01:00 p.m." Evidence was not available to confirm when Mr. Hopkins had to reach Quesnel or whether his schedule was such that he was in rush to be there. Accordingly, I can draw no conclusion that it would be likely that Mr. Hopkins was in a hurry to get from Moberly Lake to Quesnel.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Hopkins was driving a 1977 Dodge Pickup, two door, automatic transmission with a camper unit on the back of the pickup. The gross weight of the vehicle was 2,800 pounds. I find that Mr. Hopkins was wearing his seat belt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Anderson had graded the accident scene earlier in the day. Mr. Anderson also attended at the accident scene after the accident. Mr. Anderson gave a statement to the R.C.M.P. on December 1, 1995. He also testified at trial. In his statement, Mr. Anderson stated that, at approximately 1:40 p.m., he was grading Highway 97 in the Pine Pass area "At the big rock" approximately 20 kms. west of Mt. Blanc. He described what he believes to have been the vehicle of Mr. Hopkins: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came out of a curve into a straight stretch proceeding westward at an excessive rate of speed. I would estimate that he was 15 metres away when I first observed him. I would estimate that he was exceeding the posted speed limit of 90 kph. Also I could say he was definitely proceeding to [sic] fast for the road conditions. The Dodge was throwing up a tail of snow behind him similar to a semi truck. I can say the Dodge Pickup was definitely travelling faster than the flow of traffic. By that, I mean the vehicles I met on the highway were a lot slower than this vehicle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his statement, Mr. Anderson indicated that he observed the Dodge truck approximately two kilometres from the accident scene and that estimated the speed of the Hopkins vehicle at over 100 kph. While his estimate of the distance between where he observed the vehicle and the scene of the accident varied in later testimony from 2 to 5 kilometres rather than 2 kilometres and while his estimate of the speed of the vehicle he observed of what he believed to be the Hopkins vehicle increased from 100 kilometres per hour in his sworn statement to 120 kilometres per hour at trial, I am satisfied that these inconsistencies do not erode the general reliability of the evidence of Mr. Anderson.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While Mr. Anderson was not admitted as an expert witness, I am satisfied that Mr. Anderson would have considerable experience in gauging what was "excessive rate of speed" in similar weather conditions. After reviewing Mr. Anderson's statement given contemporaneously and his testimony at trial, I find that Mr. Anderson's assessment that the vehicle he saw was travelling anywhere between 10 and 30 kilometres per hour over the posted speed limit is accurate and I also accept his testimony that the speed of the vehicle was an "excessive rate of speed" given the weather and road conditions which existed on December 1,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his statement, Mr. Anderson indicates that he recognized the Dodge truck being driven by Mr. Hopkins when he later went to the accident scene: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knew this vehicle is the same one I met because of the camperette on the back. It struck in my mind because of its speed. ... My speed was about 28 kilometres per hour. I was operating a grader and not a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Frederick Knight also testified that he saw the vehicle being driven by Mr. Hopkins that day. Mr. Knight testified that he was working for the company that maintains Highway 97 and that he was plowing snow and sanding the highway approximately 34 kilometres north of the accident scene. He indicated that he observed a vehicle coming towards him and he described the speed of the vehicle as: "Too fast for road conditions at the time." He testified that the vehicle "came close to my truck when he passed." He felt that the operation of the vehicle was "unsafe" as the vehicle was "hitting the centre line of the road." He estimated the speed of the vehicle at 70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After he was advised that there had been an accident, Mr. Knight went to the accident scene to take up his duties as a "flag man." He testified that the Hopkins vehicle was the same vehicle he had earlier observed as it stuck in his mind that the vehicle did not have a skidoo with it as most vehicles that day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Under cross-examination, Mr. Knight agreed that at least 60% of drivers drive too fast for winter conditions, that it was possible to lose your bearings in a white-out condition and that he thought that it was appropriate to slow down to approximately 60 kilometres per hour in white-out conditions. He agreed that white-out conditions usually began at the sides of vehicles and that the white-out increased in intensity starting at the front axle. He agreed with the statement that white-out occurred at speeds as low as l5 to 20 kilometres per hour but that the white-out conditions became more intense with additional speed. Mr. Knight testified that a vehicle would have to be virtually stopped in order not to throw up snow. He confirmed that white-out conditions were common at that time of year on Highway 97. On re-direct examination, Mr. Knight testified that it was his observation that trucks driving that stretch of highway ordinarily went between 60 and 65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After the accident, the Hopkins vehicle came to rest in the snow bank to the right of the southbound lane almost at right angles to the road and with the cab of the vehicle facing towards the road. Mr. Hopkins was eventually extracted from the vehicle and transported to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 TO THE TWO VEHICLES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29a</w:t>
      </w:r>
      <w:r>
        <w:rPr>
          <w:rFonts w:ascii="arial" w:eastAsia="arial" w:hAnsi="arial" w:cs="arial"/>
          <w:color w:val="000000"/>
          <w:sz w:val="20"/>
          <w:lang w:val="en-US" w:eastAsia="en-US" w:bidi="ar-SA"/>
        </w:rPr>
        <w:t xml:space="preserve">  The estimated damage to the Wellington vehicle for parts and labour was approximately $36,700 on the basis of the two estimates undertaken. From the photographs that are available, it is apparent that the left front wheel opening of the tractor portion of the Wellington vehicle was broken and that there are some marks on the left leading edge of the trailer. </w:t>
      </w:r>
      <w:r>
        <w:rPr>
          <w:rFonts w:ascii="arial" w:eastAsia="arial" w:hAnsi="arial" w:cs="arial"/>
          <w:color w:val="000000"/>
          <w:sz w:val="18"/>
          <w:lang w:val="en-US" w:eastAsia="en-US" w:bidi="ar-SA"/>
        </w:rPr>
        <w:t>[The Court did not number this paragraph. Quicklaw has assigned the number 29a.]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Regarding the damage to the Hopkins vehicle, Mr. Bailey of MacInnes Engineering describes the damage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damage begins on the front end on the left side. Scaling of a photograph of the front the vehicle reveals the damage begins 8 inches left of the left end of the centre mounted front license plate, or about 14 inches left of the vehicle centre line. The overall vehicle width is 79 inches, so the left 25 1/2 inches of the front has been contacted. It appears that the collision force has kinked the left end of the bumper aft outboard of the left frame rail. Much of the left side of the vehicle has been damaged. There is deformation of the fender, hood, A-pillar, door and box forward of the rear axle. The distance from the front bumper to the rear axle is approximately 173 inches. The left front wheel and suspension has been torn off; it separated from the vehicle and landed about 2 truck-lengths north from where the rest of the vehicle came to rest. The right side of the vehicle is more or less intact, except for some induced deformation of the right windshield A-pillar.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EXPERT OPINIONS AND TESTIMONY OF THE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Mark Bailey, P. Eng., was called as a witness for Mr. Hopkins and was qualified as an expert in accident reconstruction. Mr. Bailey provided a November 9, 1999 opinion. Mr. Bailey was not able to examine either of the vehicles or the accident scene so that all information about vehicle damage and the accident scene was obtained from the police photographs as well as the measurements taken by Corporal Fare in August of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opinion provided by Mr. Bailey related to the combined speed of the vehicles, the angle of the vehicles when they collided, the location of the Wellington vehicle at the time of the accident, the location of the turbulence created by the Doe vehicle and where the Wellington vehicle would be on the road in relation to that turbulence. The opinion expressed by Mr. Bailey was based on the following assumptions: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mass of the Hopkins dodge pick-up truck was 1795 to 2245 kg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mass of the Wellington tractor-trailer combination was approximately 11000 to 19000 kg (includes 17807 lb cargo)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vehicle positions depicted in the accident scene photographs are the vehicles' rest positions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road where the accident happened is straight and each lane is 3.65m wide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his report, Mr. Bailey makes these observations regarding the damage to the two vehicles and the angle of the vehicles at the point of collision: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to match the damage on each vehicle, the vehicles had to have been nearly parallel to each other and overlapped by approximately 25 1/2 inches. There would have been collision damage to the front end of the Wellington tractor about 25 1/2 inches inboard of its left end also, though this is not visible in the photographs.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Hopkins Dodge was angled right of the tractor when they collided then the left side of the Dodge would be crushed more to the right, the damage would not extend as far back, and the left front wheel would not have been torn off.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Hopkins Dodge was angled left of the tractor then its damage would be confined more to the front end as it would have spun more quickly, sparing its left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his opinion, Mr. Bailey sets out his conclusions as follows:</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vehicles collided they were nearly parallel to each other and overlapped by about 25 1/2 inches.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point of impact was on the road, but precisely where along the road width can not be determined.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Just before the collision, the Hopkins Dodge was probably travelling about 71 to 80 km/h and the Wellington semi-trailer was probably travelling about 74 to 65 km/h.</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Mr. Wellington to be blinded by the other semi-trailer wake when he had cleared it by 40 feet, the Wellington tractor had to be partially over the centreline, provided the other tractor trailer was centred in its lane, there was no crosswind, and the wake on the other tractor trailer resembles flow around a cylinder.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Timothy S. Leggett, P. Eng. and Dr. Amrit Toor, P. Eng. were both called as witnesses on behalf of Mr. Wellington to comment on the opinion provided by Mr. Bailey and to testify regarding their attempts to reconstruct the accident scene. Dr. Toor was qualified as an accident reconstruction engineer as was Mr. Leggett. Dr. Toor prepared a November 18, 1999 "Accident Analysis" and reviewed Mr. Bailey's report in his analysis. The conclusions contained in Dr. Toor's report are as follows: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MacInnis report does not provide sufficient technical detail to allow for a technical review of the speed calculations. The accuracy of the numbers cannot be evaluated without details of the speed analysis used in the MacInnis report.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numerous errors with the turbulent flow model and wake analysis in the MacInnis report:</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MacInnis report has used an idealized case for a simple two dimensional circular shape and has applied it to a complex three dimensional real world situation with multiple objects, rectangular shapes, non ideal flow, multiple mediums in the flow, and ground effects. There is almost no reasonable comparison between the MacInnis academic endeavor with a circle and the real case involving two semi-trailers. The prediction of where Mr. Wellington would be blinded by snow is fraught with weak and suspect assumptions and is thus rendered unsupportable.</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Turbulent flow cannot be mathematically modelled with accuracy; it can only be accurately predicted by experimental modelings of specific conditions and objects.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MacInnis report has not provided technical details which were used in the presented description or analysis.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assessment of the impact location provided in the MacInnis report (as stated in Conclusion 4 of the MacInnis report) is based on an incorrect model the resulting conclusion is likely incorrect and not 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To decide the questions of liability, it will be necessary to determine whether the speed of one or both of the vehicles was excessive for the driving and weather conditions that day, whether both drivers took adequate precautions before entering into the white-out condition caused by the Doe vehicle, whether one or both of the drivers allowed their vehicle to stray into the travelled portion of the highway which was being used by oncoming traffic, and whether any of these factors caused or contributed to causing this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APPLICABLE PROVISIONS OF THE MOTOR VEHICLE ACT, R.S.B.C., 1996, c. 318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627"/>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driver of a vehicle must confine the course of the vehicle to the right hand half of the roadway if the roadway is of sufficient width and it is practicable to do so, except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overtaking and passing a vehicle proceeding in the same direction,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151 A driver who is driving a vehicle on a laned roadway</w:t>
      </w: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drive it from one lane to another when a broken line only exists between the lanes, unless the driver has ascertained that movement can be made with safety and will in no way affect the travel of another vehicle,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OBLIGATIONS OF DRIVERS OF VEHICLES WHEN THE CENTRE LINE ON A ROAD CANNOT BE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Because of the lack of information, it is not possible for me to reach a conclusion as to where the centre of the driveable portion of the road was in relation to the centre line marked on the road. However, I do adopt the following statement of L.D. Barry J. who dealt with the duties of drivers in similar conditions in Ryall v. Coombs, </w:t>
      </w:r>
      <w:hyperlink r:id="rId136" w:history="1">
        <w:r>
          <w:rPr>
            <w:rFonts w:ascii="arial" w:eastAsia="arial" w:hAnsi="arial" w:cs="arial"/>
            <w:i/>
            <w:color w:val="0077CC"/>
            <w:sz w:val="20"/>
            <w:u w:val="single"/>
            <w:shd w:val="clear" w:color="auto" w:fill="FFFFFF"/>
            <w:lang w:val="en-US" w:eastAsia="en-US" w:bidi="ar-SA"/>
          </w:rPr>
          <w:t>[1995] N.J. No. 230</w:t>
        </w:r>
      </w:hyperlink>
      <w:r>
        <w:rPr>
          <w:rFonts w:ascii="arial" w:eastAsia="arial" w:hAnsi="arial" w:cs="arial"/>
          <w:color w:val="000000"/>
          <w:sz w:val="20"/>
          <w:lang w:val="en-US" w:eastAsia="en-US" w:bidi="ar-SA"/>
        </w:rPr>
        <w:t xml:space="preserve"> (Nfld.S.C.):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 highway is snow-covered and there are two, clearly defined, sets of tire tracks, in opposite directions, a driver in Ryall's position is entitled to follow the tire tracks on his side of the road and expect that a driver following the tracks on the other side of the road will not move over into the other set of tracks, even though a part of these may be over the obscured yellow line, unless conditions are such that it is safe to do so. ... In these circumstances, I believe this Court should treat the accident scene as though it were a two-lane highway. hence, whether or not Ryall's vehicle was over the obscured yellow line is irrelevant. (at para.28)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While there is insufficient evidence to show how wide the travelled portion was and where the travelled portion was in relation to the centre line on the road, the provisions of s. 150(1) of the Motor Vehicle Act still apply. However, the obligation which was imposed on both Mr. Wellington and Mr. Hopkins was to remain on the right half of the travelled portion of Highway 97 that day and to move their vehicles as far right as was safe within their respective portions of the travelled portion of the highway when they were approaching other vehicles. For the purposes of determining whether a driver is driving in accordance with the provisions of s. 150(1) when it is not possible ascertain the exact centre of the "roadway", the driver of the vehicle must confine the course of his or her vehicle to the right hand half the travelled portion of a roadway. Accordingly, the questions that must be determined in this case will relate to the travelled portion of the highway and not to the question of where the vehicles were in relation to the centre line marked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 OF MR. HOPKINS (ACTION NO. Bl971255)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accept the evidence of Messrs. Anderson and Knight that the vehicle they observed before the accident was the vehicle being driven by Mr. Hopkins. As well, I am satisfied that both Messrs. Anderson and Knight have sufficient experience in observing the speed and the operation of vehicles in winter conditions that their observations regarding how Mr. Hopkins was operating his vehicle earlier that day should be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However, I am satisfied that the observations of Messrs. Anderson and Knight and their conclusions regarding the speed and operation of the Hopkins vehicle prior to the accident are inadmissible and of no probative value in determining the question of the speed and the operation of Hopkins vehicle immediately prior to the accident. In this regard see Betijevic et al v. Law </w:t>
      </w:r>
      <w:hyperlink r:id="rId137" w:history="1">
        <w:r>
          <w:rPr>
            <w:rFonts w:ascii="arial" w:eastAsia="arial" w:hAnsi="arial" w:cs="arial"/>
            <w:i/>
            <w:color w:val="0077CC"/>
            <w:sz w:val="20"/>
            <w:u w:val="single"/>
            <w:shd w:val="clear" w:color="auto" w:fill="FFFFFF"/>
            <w:lang w:val="en-US" w:eastAsia="en-US" w:bidi="ar-SA"/>
          </w:rPr>
          <w:t>[1969] S.C.R. 257</w:t>
        </w:r>
      </w:hyperlink>
      <w:r>
        <w:rPr>
          <w:rFonts w:ascii="arial" w:eastAsia="arial" w:hAnsi="arial" w:cs="arial"/>
          <w:color w:val="000000"/>
          <w:sz w:val="20"/>
          <w:lang w:val="en-US" w:eastAsia="en-US" w:bidi="ar-SA"/>
        </w:rPr>
        <w:t xml:space="preserve"> at pp. 263-4; MacDonald v. Shorter </w:t>
      </w:r>
      <w:hyperlink r:id="rId138" w:history="1">
        <w:r>
          <w:rPr>
            <w:rFonts w:ascii="arial" w:eastAsia="arial" w:hAnsi="arial" w:cs="arial"/>
            <w:i/>
            <w:color w:val="0077CC"/>
            <w:sz w:val="20"/>
            <w:u w:val="single"/>
            <w:shd w:val="clear" w:color="auto" w:fill="FFFFFF"/>
            <w:lang w:val="en-US" w:eastAsia="en-US" w:bidi="ar-SA"/>
          </w:rPr>
          <w:t>[1991] B.C.J. No. 3714</w:t>
        </w:r>
      </w:hyperlink>
      <w:r>
        <w:rPr>
          <w:rFonts w:ascii="arial" w:eastAsia="arial" w:hAnsi="arial" w:cs="arial"/>
          <w:color w:val="000000"/>
          <w:sz w:val="20"/>
          <w:lang w:val="en-US" w:eastAsia="en-US" w:bidi="ar-SA"/>
        </w:rPr>
        <w:t xml:space="preserve"> (B.C.C.A.); Ptyciav. Slewlishnoff et al </w:t>
      </w:r>
      <w:hyperlink r:id="rId139" w:history="1">
        <w:r>
          <w:rPr>
            <w:rFonts w:ascii="arial" w:eastAsia="arial" w:hAnsi="arial" w:cs="arial"/>
            <w:i/>
            <w:color w:val="0077CC"/>
            <w:sz w:val="20"/>
            <w:u w:val="single"/>
            <w:shd w:val="clear" w:color="auto" w:fill="FFFFFF"/>
            <w:lang w:val="en-US" w:eastAsia="en-US" w:bidi="ar-SA"/>
          </w:rPr>
          <w:t>[1971] S.C.R. 670</w:t>
        </w:r>
      </w:hyperlink>
      <w:r>
        <w:rPr>
          <w:rFonts w:ascii="arial" w:eastAsia="arial" w:hAnsi="arial" w:cs="arial"/>
          <w:color w:val="000000"/>
          <w:sz w:val="20"/>
          <w:lang w:val="en-US" w:eastAsia="en-US" w:bidi="ar-SA"/>
        </w:rPr>
        <w:t xml:space="preserve">; Shergill (Guardian ad Litem of) v. Taylor </w:t>
      </w:r>
      <w:hyperlink r:id="rId140" w:history="1">
        <w:r>
          <w:rPr>
            <w:rFonts w:ascii="arial" w:eastAsia="arial" w:hAnsi="arial" w:cs="arial"/>
            <w:i/>
            <w:color w:val="0077CC"/>
            <w:sz w:val="20"/>
            <w:u w:val="single"/>
            <w:shd w:val="clear" w:color="auto" w:fill="FFFFFF"/>
            <w:lang w:val="en-US" w:eastAsia="en-US" w:bidi="ar-SA"/>
          </w:rPr>
          <w:t>[1993] B.C.J. No. 1806</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Whether a driver is driving in an unsafe manner at the time of an accident must relate to the time span immediately prior to the accident so that a person's previous record of accidents, previous driving habits or previous driving convictions will be of no or little probative value to determine how a party was driving immediately prior to the accident and whether how a party was driving has contributed to causing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Even if I am wrong in ruling that the observations of Messrs. Anderson and Knight are inadmissible, I am satisfied that it is only appropriate to give their testimony little weight. While I applaud their attempts to be of assistance to the court, I am bound by the decisions noted above. As well, it would be unsafe to ever assume that the driving habits of Mr. Hopkins when he was on open road would be the same as his driving habits when he was following the Doe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However, I am satisfied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Hopkins can be established without reference to whether Mr. Hopkins was driving in an unsafe manner previously that day. There can be no question that immediately before the accident occurred, Mr. Hopkins was driving in the snow cloud created by the Doe vehicle. I make that finding as I accept the evidence of Mr. Wellington of where the accident took place in relation to the end of the Doe vehicle. I also accept the evidence of Mr. Wellington that he and Mr. Hopkins were both in the white-out area created by the Doe vehicle when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By following so closely behind the Doe vehicle as to be in the snow thrown up by it, Mr. Hopkins was operating his vehicle in an unsafe manner. In this regard, I agree with the comments of Scollin J. in Rosenberger v. Cooke, (1982) 17 Man.Rep. (2d) 395 when he concluded that the defendant was liable: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snow was swirling from the semi-trailer ahead and the defendant was following just behind that snow. In view of the hazardous driving conditions, this in itself was unsafe; he deprived himself and other road users of his ability to respond successfully to any emergency, however caused. (at p. 397)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If that can be said of a driver who continuously drives immediately behind a temporary white-out, it is clear that a driver who drives within the temporary white-out created by a vehicle ahead is also in breach of the standard of care imposed on a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evidence satisfies me that Mr. Wellington has shown on a balance of probabilities that Mr. Hopkins was in breach of the standard of care imposed on him when he drove in the cloud of snow created by the Doe vehicle. From that position, Mr. Hopkins could not observe oncoming traffic, stay sufficiently behind the Doe vehicle to stop if the Doe vehicle had to apply emergency braking, respond successfully to emergency situations such as might be created by oncoming vehicles, or gauge his relative position on the road in order to travel as far to the right as was safe to give oncoming vehicles the maximum passage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Whether or not there had been a cloud of snow created by the Doe vehicle that day, I am also satisfied that Mr. Hopkins was travelling so closely behind the Doe vehicle that he was not maintaining recommended separation which allows for drivers to deal with all road conditions. As Mr. Leggett notes in his November 12, 1999 opinion, the British Columbia Safe Driving Guide suggests that motorists follow a minimum of two seconds behind the vehicle in front of them, three seconds behind if at highway speeds, and four seconds behind if vehicles are travelling in bad conditions. I agree with and adopt the statement contained in the opinion of Mr. Leggett: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Clearly, travelling just 50' behind the tractor/trailer unit, Mr. Hopkins was far closer than that required in the Driving Guide, (i.e. with the following distances of less than .75 of a second). A following distance of .75 of a second, at highway speed, would likely be insufficient for a driver, even to perform a perception or reaction to a hazard, let alone perform the avoidance maneouvre, (i.e. swerve, brake or other). Aside not having sufficient distance to perform an evasive maneouvre if one was required, the visibility available to a motorist travelling just 50' behind the unknown tractor/trailer would have been extremely poor, according to the information reviewed.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Where the centre line and shoulder markings can be observed, those markings are obscured by the white-out caused by a passing vehicle. Where the white-out is caused by a vehicle in the same lane, the centre line and shoulder markings are obscured for as long as the trailing vehicle remains in the white-out. Where the centre line and shoulder markings on the road are already obscured, the ability to gauge the position of the vehicle on the road is virtually eliminated as the horizon, the observable travelled portion of the road, and the observable edges of the travelled portion are also partially or completely obscured by the white-out. By following so closely and by following the Doe vehicle within the white-out created by the Doe vehicle, I am satisfied that Mr. Hopkins failed to meet the standard of care imposed upon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question which then arises is whether this failure to meet the standard of care of a reasonable and careful person in the community was the cause or a contributory cause to the accident which occurred on December 1, 1995. The answer to this question must be answered in the context of where the vehicle of Mr. Hopkins was in relation to both the vehicle of Mr. Doe and the vehicle of Mr. Wellington.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actual width of the travelled portion of Highway 97 that day can never be known. Nor is it possible to know where the centre of the travelled portion of the road was in relation to the centre line marked on the roadway. On the question of the location of the vehicles of Messrs. Doe and Wellington, I am satisfied that, whether or not it can be said that their two vehicles were an equal distance away from the actual centre line marked on the highway or from the centre of the travelled portion of Highway 97 and whether or not it can be said that the two vehicles had moved as far to the right of the centre of the travelled portion as was safe, they obviously provided for sufficient separation between their two trailer units when they passed. If they had not, the Wellington and Doe vehicles would have collided.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Whether or not Mr. Doe was an experienced truck driver is not known. Whether by experience or by self-preservation, it is inconceivable that the driver of the Doe vehicle would not move as far to the right as was perceived to be safe. I find that Mr. Wellington also moved his vehicle as far to the right as he thought was safe as his vehicle approached the Doe vehicle. I find that Mr. Wellington was very experienced in driving in snowy conditions. To move to the right would have been the natural step for Mr. Wellington to have taken even though his cargo was of a hazardous nature. While all drivers would be fearful of allowing their vehicles to move too far right so as to be caught up in any snow which had been pushed to the side of the road, I cannot conclude that Mr. Wellington did not take the expected precaution of moving his vehicle as far to the right as he thought was safe. Stated differently, I am satisfied that Mr. Hopkins has not shown on a balance of probabilities that Mr. Wellington did not move as far to the right as was possible or that he failed to move as far right as he should have because his cargo was of a hazardous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also accept the evidence of Mr. Wellington that he waved to the driver of the Doe vehicle when their vehicles passed and that the driver of the Doe vehicle waved back. I find that as a fact. I take from the fact that Messrs. Wellington and Doe waived to each other as an indication that neither perceived that the other was not observing the usual rule of moving their vehicles to the right when passing.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find that the Wellington and Doe vehicles were both to the right of the centre of the travelled portion of the road when their vehicles passed. The questions which then arise are whether or not the Hopkins vehicle was similarly within the right hand portion of the southbound travelled portion of the roadway that day and whether or not the Hopkins vehicle had inadvertently moved into the northbound lane. At the same time, the question which arises is whether or not the Wellington vehicle, after passing the Doe vehicle, then moved sufficiently to the left so as to cross over into the southbound portion of the driveable surface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An additional question is whether or not the speed of the Wellington and Hopkins vehicles was appropriate given the driving conditions that day and, in particular, the fact that the Wellington vehicle was about to enter into the white-out created by the Doe vehicle and the fact that the Hopkins vehicle was driving in the white-out created by the Doe vehicle. Before dealing with the question of the position of the two vehicles immediately prior to the accident, I will deal with the speed of the vehicles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SPEED OF THE VEHICLES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posted speed was 90 kilometres per hour. In his testimony and in his various statements, Mr. Wellington was of the belief that he was not going in excess of 70 kilometres per hour. In his November 9, 1999 opinion, Mr. Bailey calculated the speed of the Hopkins vehicle at between 71 and 80 kph and the speed of the Wellington vehicle at between 65 and 74 kph. However, in his November 18, 1999 opinion, Dr. Toor concludes that the method used by Mr. Bailey would not allow for a calculation of the vehicle speeds as the point of impact as the rest locations of the vehicles are not accurately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After a review of the opinions and testimony of Messrs. Bailey and Leggett and Dr. Toor, I am satisfied that I am not in a position to reach a conclusion regarding the speed of either the Hopkins or the Wellington vehicles or regarding the combined speeds of the two vehicles. In this regard, I agree with the criticisms set out in the November 18, 1999 opinion of Dr. Toor regarding the calculations of Mr. Bailey. Without knowing the point of impact and the exact rest locations of the vehicles in relation to each other, I am satisfied that the calculations of Mr. Bailey are of little assistance in arriving at a conclusion as to the actual speed or combined speeds of the vehicles. At the same time, I am satisfied that the calculations of Mr. Bailey have not sufficiently taken into account the conditions that day and, in particular, the fact that there was snow on the ground and the fact that both vehicles went through considerable snow banks before coming to rest. I am satisfied that both of these factors would lead to inaccuracies in the calculations and opinion of Mr. Bailey.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It is clear that there is a heavy onus on a person driving a vehicle to drive as slowly as is necessary in order to be able to stop or take evasive measures if unforeseeable contingency arises: Laurie v. Raglan Building Co. Ltd. (1941) 3 All E.R. 332; Castle v. McDonald, </w:t>
      </w:r>
      <w:hyperlink r:id="rId141" w:history="1">
        <w:r>
          <w:rPr>
            <w:rFonts w:ascii="arial" w:eastAsia="arial" w:hAnsi="arial" w:cs="arial"/>
            <w:i/>
            <w:color w:val="0077CC"/>
            <w:sz w:val="20"/>
            <w:u w:val="single"/>
            <w:shd w:val="clear" w:color="auto" w:fill="FFFFFF"/>
            <w:lang w:val="en-US" w:eastAsia="en-US" w:bidi="ar-SA"/>
          </w:rPr>
          <w:t>[1988] B.C.J. No. 856</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Even accepting the conclusions of Mr. Bailey that the combined speed of the vehicles was 145 kph and that the speed of the Wellington vehicle was somewhere between 65 and 74 kph, I cannot reach the conclusion that the speed of the Wellington vehicle was unsafe in the circumstances or that any excessive speed of the Wellington vehicle was the cause or a contributory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am mindful of the testimony of Mr. Knight regarding the appropriate and estimated speed of trucks driving that stretch of highway, the estimate of Mr. Bailey as to the speed of the Wellington vehicle and the testimony of Mr. Wellington as to the speed of his vehicle that day. After a review of the evidence, I am not in a position to conclude that the speed of the Wellington vehicle was in excess of what was appropriate for the driving and weather conditions that day after the Wellington vehicle had slowed down when Mr. Wellington saw the Doe vehicle approaching.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Except to the extent that the speed of the Hopkins vehicle was such as to bring the Hopkins vehicle within the white-out behind the Doe vehicle, I cannot otherwise conclude that the speed of the Hopkins vehicle was also inappropriate in the circumstances. Even accepting the conclusion of Mr. Bailey that the speed of the Hopkins vehicle was somewhere between 71 and 80 kph, I cannot reach the conclusion that the speed of the Hopkins vehicle was unsafe in the circumstances or that any excessive speed of the Hopkins vehicle was the cause or a contributory cause of the accident. Whatever the speed of the Hopkins vehicle, the fact that the speed of the vehicle brought it within the white-out behind the Doe vehicle was sufficient to make the speed unsafe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Dealing only with the speed of the Wellington vehicle, I am satisfied that it was appropriate in the circumstances as I am satisfied that it would be unreasonable for vehicles to travel in similar conditions at minimal speeds. Travelling at minimal speeds would be the only way of assuring passing motorists that little or no white-out would be produced from behind a vehicle. Where a road has a number of straight stretches, there may well be sufficient time to slow down so that there is little or no white-out produced. Where a road has a number of curves, there may not be sufficient time to slow down when oncoming traffic is observed. As well, the slowing down of the vehicle may well produce a hazard for following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am satisfied that it is unreasonable in the circumstances to expect vehicle traffic to be moving at a such a slow rate on the highway as to eliminate snow being thrown up behind and to the sides of the vehicle. Mr. Knight was even of the view that white-out conditions are still present when a vehicle is going 20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am satisfied that the speed of the Wellington vehicle and the steps taken by Mr. Wellington were appropriate to deal with any danger occasioned by the Doe vehicle or any danger hidden by the wake behind the Doe vehicle. I find that Mr. Wellington took all appropriate steps to deal with the white-out produced by the Doe vehicle when he drove with all of his lights on, when he slowed down to 70 kph or less, when he moved his vehicle as far over to the right as he thought was safe, when he took a mark on the snowbank to the right of his vehicle in order to maintain his bearings through the white-out, when he took his foot off the accelerator and placed his foot over the brake and when he proceeded to hold a straight line on the travelled portion of the road when he knew that there was a considerable distance behind the Doe vehicle before there were further curves in Highway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Even if I was satisfied that the speed of the Wellington vehicle was excessive in the circumstances, I could not conclude that the speed of the Wellington vehicle contributed to causing the accident. I am satisfied that the Hopkins vehicle was so close behind the Doe vehicle that the speed of the Wellington vehicle was not a factor which contributed to causing the accident. I find that the Hopkins vehicle was following so closely behind the Doe vehicle that this accident would have occurred even if the Wellington vehicle had maintained its position on the road that day but had slowed considerably. Whether the speed of the Wellington vehicle was 20 kph or whether it was 90 kph, I find that this accident would not have been avoided solely by Mr. Wellington driving at a slower speed. All other things being equal, a slower speed by the Wellington vehicle when entering into the white-out would only have slightly altered the location of the accident. Because Mr. Hopkins was travelling so closely behind the Doe vehicle, the time available for Mr. Wellington or Mr. Hopkins to react to avoid an accident would have been insufficient whether Mr. Wellington was driving at 20 kph or at 90 kph.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Having concluded that the speed of the Hopkins vehicle was excessive and that Mr. Hopkins failed to meet the obligations imposed on him when he drove within the white-out behind the Doe vehicle and having concluded that the speed of the Wellington vehicle was not excessive and that the Wellington vehicle was on the right hand portion of the northbound travelled portion of the highway that day, it is necessary to turn to the question of whether or not the Wellington vehicle, after passing the Doe vehicle, then moved purposely or inadvertently to the left so as to cross over into the southbound portion of the driveable surface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WAS MR. WELLINGTON NEGLIGENT THAT DAY AND DID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 THIS ACCIDENT? (ACTION NO. B975393)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After a review of all of the evidence, I have concluded that Mr. Hopkins has not proven on a balance of probabilities that the Wellington vehicle moved into the southbound portion of the travelled portion of Highway 97 that day. Firstly, I accept the evidence of Mr. Bailey that the damage is such that I can conclude that the vehicles hit straight on. I am satisfied that a collision at an angle would have produced different damage to both vehicles than what can be observed in the photographs which were taken. I find that the vehicles hit straight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Secondly, having reached that conclusion, I am also satisfied that there was not sufficient time or distance for Mr. Wellington to purposely or inadvertently move his vehicle sufficiently to the left and then re-adjust its path so that it was again travelling parallel to the sides of the travelled portion of the highway. I accept the evidence of Mr. Wellington that the end of his vehicle was only about 40 to 50 feet beyond the end of the Doe vehicle. Even if the vehicle of Mr. Wellington had started to move left immediately after it had passed the Doe vehicle, I am satisfied that there was insufficient time and distance for Mr. Wellington's vehicle to both move left and become a vehicle travelling straight down the road to meet the Hopkins vehicle straight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Thirdly, while I agree with the opinion reached by Mr. Bailey and by the other experts that the point of impact cannot be determined, I cannot reach the same conclusion Mr. Bailey reached when he provided the opinion that the Wellington vehicle "... had to be over the 'centre line'" when the accident occurred. That opinion is based on where the white-out behind the Doe vehicle would have been, where the Wellington vehicle would have been in relation to the highway if it was driving in that white-out when the accident occurred and where the end positions of the two vehicles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opinion of Mr. Bailey is based on assumptions of fact which I cannot find. Mr. Bailey assumes that the Doe vehicle was in the centre of the lane of the southbound portion of the driveable portion that day and I have found this not to be the case. Mr. Bailey also assumes that there was no crosswind to affect the location or the duration of the white-out behind the Doe vehicle. The information which is before me does not allow me to reach that conclusion or any conclusion regarding whether there was a crosswind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When Mr. Bailey attempts to provide a diagram of the turbulence behind the Doe vehicle, his assumption is that the wake would resemble the "flow around a cylinder." I agree with the criticisms contained in the opinions of Dr. Toor and Mr. Leggett. I cannot conclude that the mathematical formulation of the wake around a cylinder would correspond closely enough to the wake behind a truck and a trailer so as to allow me to reach a conclusion about the location of the air turbulence behind the Doe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Bailey was not asked to provide an opinion about the relationship between the air turbulence created by the Doe vehicle and the corresponding movement of snow as a result of that turbulence. I am not in a position to assume that the snow caught up in the turbulence would be equally distributed throughout the turbulence and I am not prepared to assume that the distribution of the snow would be unaffected by the turbulence created by the Wellington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As well, Mr. Bailey only deals with the wake which he says is produced behind a tractor/trailer and does not deal with air turbulence and resulting snow which is thrown up by the wheels of a vehicle. Common observation as well as the testimony of the witnesses allows me to conclude that snow can be thrown up almost immediately and that it does not start to be thrown up only after a considerable distance behind a tractor/trailer. The failure to take into account this turbulence provides a false picture of where the white-out would be in relation to the Wellington vehicle. Having failed to take into account this turbulence and the resulting snow from it, the opinion of Mr. Bailey as to where the Wellington vehicle must have been situate on the road is therefore of little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Lastly, the result produced by the calculations of Mr. Bailey show the Wellington vehicle immediately moving off the northbound portion of Highway 97 at a 20 degree angle into the snow bank to the right of the northbound lane. This assumption cannot be supported by the photographs in evidence or by the physics explained by Mr. Bailey.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After a review of all of the evidence, I find that the vehicle of Mr. Wellington was not moving to the left, that the vehicle of Mr. Wellington had not already moved to the left, and that Mr. Wellington's vehicle was in the right hand side of the northbound travelled portion of the highway at the time of the accident. On the basis of the evidence before me but, in particular, the testimony of Mr. Wellington, I am satisfied and I find that Mr. Wellington drew upon his extensive experience to take all proper steps once within the white-out created by the Doe vehicle to maintain a straight line to the right hand side of the northbound travelled portion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have concluded that Mr. Hopkins had allowed his vehicle to move to the left of the southbound lane travelled portion of the road so that Mr. Hopkins was driving partially in the northbound portion of the driveable portion of the highway that day when the accident occurred. Either Mr. Hopkins became disoriented in the white-out caused by the Doe vehicle and this disorientation resulted in his vehicle moving into the travelled portion of the road that was reserved for northbound traffic or Mr. Hopkins was attempting to pass the Doe vehicle and had moved into the northbound lane without ascertaining that this movement of his vehicle could be made with safety and in a way which in no way affected the travel of another vehicle, specifically the Wellington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Hopkins has not shown on a balance of probabilities that Mr. Wellington was negligent that day as I find specifically that the speed of the Wellington vehicle, its location on Highway 97 and the steps taken by Mr. Wellington as he approached and then entered the white-out caused by the Doe vehicle were all appropriate and reasonable in the circumstances. Accordingly, the claim of Mr. Hopkins in Action No. B975393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In Action No. B971255, Mr. Wellington has shown on balance of probabilities that Mr. Hopkins was negligent that day as I find that his vehicle was in the northbound portion of the driveable portion of the highway when the accident occurred.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Hopkins was the sole cause of the accident. Accordingly, the claim of Mr. Wellington in Action No. B971255 is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 OF JOHN DOE AND INSURANCE CORPORATION OF BRITISH COLUMBIA (ACTION NO. B975393)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After all of the evidence was heard, counsel for John Doe and Insurance Corporation of British Columbia applied for an order dismissing the claims of Mr. Hopkins against those defendants. Counsel for John Doe described the "theory of liability" of Mr. Hopkins against Doe and I.C.B.C. as being that Doe was "travelling too fast for the conditions, that his speed resulted in the creation behind him of a tail of snow that was unreasonably large or opaque."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On February 14, 2000, I dismissed the action of Mr. Hopkins against John Doe and I.C.B.C.. Snow tails behind transport trucks are a normal part of the winter driving experience for any motorist in the area where the collision occurred. I find that the speed of the Doe vehicle was not excessive in the circumstances. I am also satisfied that the evidence does not support a finding that, if the Doe vehicle had been travelling at a very low speed, there would have been so much less snow in the area behind the Doe vehicle that Mr. Hopkins would have had greater visibility within the snow tail as he followed the Doe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am able to find that the Doe vehicle had moved to the right of the southbound driveable portion of the highway when Mr. Doe had the opportunity of an unobstructed view of the oncoming Wellington vehicle. As there was no or insufficient evidence to support the proposition that John Doe failed to exercise a reasonable degree of care so as to in any way cause or contribute to the cause of the collision between the Hopkins and Wellington vehicles, the action against John Doe and Insurance Corporation of British Columbia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view of my finding regarding the liability of Mr. Hopkins for this accident, I am satisfied that it is appropriate that the defendants, John Doe and Insurance Corporation of British Columbia be entitled to their costs throughout on a Party and Party (Scale 3) basis payable by Kenneth David Hopkins by his Committee, David Richard Hopkins.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Wellington will have judgment against Kenneth David Hopkins, by his Guardian ad Litem and Committee, David Richard Hopkins, in Action No. B971255. The action of Kenneth David Hopkins, by his Guardian ad Litem and Committee, David Richard Hopkins in Action No. B975393 is dismissed. As the question of the quantum of the damages available to Mr. Wellington has not been determined, Action No. B971255 will proceed and the question of the costs of Mr. Wellington in that action will await a determination of those damages. At the same time, the question of whether Mr. Wellington should be entitled to costs in Action No. B975393 will await a determination of the entitlement to damages in Action No. B971255.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1" style="position:absolute;z-index:2518210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48" w:history="1">
        <w:r>
          <w:rPr>
            <w:rFonts w:ascii="arial" w:eastAsia="arial" w:hAnsi="arial" w:cs="arial"/>
            <w:b/>
            <w:bCs/>
            <w:i/>
            <w:color w:val="0077CC"/>
            <w:kern w:val="32"/>
            <w:sz w:val="28"/>
            <w:szCs w:val="32"/>
            <w:u w:val="single"/>
            <w:shd w:val="clear" w:color="auto" w:fill="FFFFFF"/>
            <w:lang w:val="en-US" w:eastAsia="en-US" w:bidi="ar-SA"/>
          </w:rPr>
          <w:t>Ibrahim v. Ansari, [2016] B.C.J. No. 1316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G.K. Macintosh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29-30,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April 6,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M145197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1316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1150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Lul Ahmed Ibrahim, Plaintiff, and Mohammad Ansari,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2"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7" w:name="Keywords_9"/>
      <w:bookmarkEnd w:id="67"/>
      <w:r>
        <w:rPr>
          <w:rFonts w:ascii="arial" w:eastAsia="arial" w:hAnsi="arial" w:cs="arial"/>
          <w:b/>
          <w:color w:val="000000"/>
          <w:sz w:val="20"/>
          <w:lang w:val="en-US" w:eastAsia="en-US" w:bidi="ar-SA"/>
        </w:rPr>
        <w:t xml:space="preserve">Transportation law — Motor vehicles and highway traffic — Liability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Ibrahim damages for personal injuries sustained in motor vehicle accident dismissed — As she was driving northbound through intersection with intention of turning left, Ibrahim's vehicle was struck on driver's side by vehicle owed and driven by Ansari that was travelling south — Liability of accident rested entirely with Ibrahim — Vehicle obstructed Ibrahim's view of Ansari's vehicle when she proceeded blindly with her turn — Ansari was not travelling at unsafe speed, and he was paying reasonable attention — Ansari's Jeep was so close to the intersection as to constitute an immediate hazard, of which Ibrahim was unaware — Motor Vehicle Act, ss. 158(1)(b), 158(2) (a), 174.</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8" w:name="Case Summary_9"/>
            <w:bookmarkEnd w:id="6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Ibrahim damages for personal injuries sustained in a motor vehicle accident. As she was driving northbound through an intersection with the intention of turning left, Ibrahim's vehicle was struck on the driver's side by a vehicle owed and driven by Ansari that was travelling south. Ibrahim testified that she was driving approximately 15 kilometers per hour at the time of impact. Ansari testified that he did not see Ibrahim's vehicle until the moment of impact.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9" w:name="Holdings of Court_9"/>
            <w:bookmarkEnd w:id="69"/>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liability of the accident rested entirely with Ibrahim. A vehicle obstructed Ibrahim's view of Ansari's vehicle when she proceeded blindly with her turn. Ansari was not travelling at an unsafe speed, and he was paying reasonable attention. Ansari's Jeep was so close to the intersection as to constitute an immediate hazard, of which Ibrahim was unaware.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0" w:name="Legislation Cited_6"/>
      <w:bookmarkEnd w:id="7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3"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Motor Vehicle Act, R.S.B.C., c. 318, s. 158(1)(b), s. 158(2) (a), s. 174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1" w:name="Counsel_9"/>
      <w:bookmarkEnd w:id="7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4" style="position:absolute;z-index:2517708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Cedric H.L. Hughes, Michael S.M. Liu.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Oliver L. Wilson.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2" w:name="Judgment_9"/>
      <w:bookmarkEnd w:id="72"/>
      <w:r>
        <w:pict>
          <v:line id="_x0000_s1075" style="position:absolute;z-index:2518220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2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3" w:name="G.K. MACINTOSH J. (orally)"/>
            <w:bookmarkEnd w:id="73"/>
            <w:r>
              <w:rPr>
                <w:rFonts w:ascii="arial" w:eastAsia="arial" w:hAnsi="arial" w:cs="arial"/>
                <w:b/>
                <w:color w:val="000000"/>
                <w:sz w:val="30"/>
                <w:lang w:val="en-US" w:eastAsia="en-US" w:bidi="ar-SA"/>
              </w:rPr>
              <w:t>G.K. MACINTOSH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Ms. Ibrahim seeks damages arising from a motor vehicle accident in Vancouver on Wednesday, June 25,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Just before the accident, she was driving her white Dodge Caravan north on Knight Street. She wanted to turn left, or west, onto East 45th Avenue. In the intersection, the front of her vehicle struck the driver's side, toward the front, of a black Jeep Cherokee owned and driven by Mr. Ansari. The accident happened at about 8:30 a.m. Mr. Ansari was heading to work, travelling south on Knight Street in the curb lane. Knight Street has three southbound lanes and three northbound lanes at that location. There are no traffic lights at the intersection. There are stop signs for vehicles entering Knight Street from East 45th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Ibrahim in her testimony said she was travelling about 15 kilometres per hour in the course of turning at the moment of impact. She said she had just checked her speedometer. She had told her doctor about five days after the accident that she had been travelling at about 20 kilometres per hour at the time of impact. She testified that before the accident, she had been stopped for almost a minute in the intersection to wait for southbound traffic to pass. She said that the driver of a southbound vehicle on Knight, stopped in the most easterly of the southbound lanes, motioned to her that it was safe for her to proceed with her turn. That driver did not testify. Ms. Ibrahim said in her evidence in chief that she first saw the defendant's vehicle at the moment of impact. However, in cross-examination, Ms. Ibrahim said that she saw the defendant's vehicle from "far behind", by which I conclude she meant when it was further north on Knight Street, as it was heading south. She said in cross-examination that nothing was blocking her view, and that the accident was caused by Mr. Ansari increasing his speed. She had thought she could make it through the intersection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Ansari was consistent in his evidence that he did not see Ms. Ibrahim's vehicle until the moment of impact. He testified that at the moment of impact, he was travelling south at about 30 kilometres per hour. 35 kilometres per hour was his estimate for the speed of the southbound traffic on Knight Street generally. The speed limit was 50 kilometres per hour. There was a vehicle in front of Mr. Ansari in the curb lane on the south side of the intersection. He recalls that he had removed his foot from the accelerator before entering the intersection, which serves to explain his speed being approximately 5 kilometres per hour slower than the speed of the southbound traffic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collision happened in the southbound curb lane. That was Mr. Ansari's evidence. Ms. Ibrahim, in her examination for discovery, said it happened in the middle southbound lane, but she accepted the suggestion in cross-examination that the vehicles collided in the curb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Ibrahim testified that during her turn onto East 45th Avenue, she had an unobstructed view of the southbound middle and curb lanes, and she denied that there was a truck either stopped or going very slowly in the middle southbound lane so as to block her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However, an independent witness, a Mr. Lyth, contradicted that evidence when he testified for the defence. He was proceeding south in the middle lane on Knight in his Toyota car. Traffic in his lane was at a standstill or close to it. Immediately in front of him in the middle lane, but still on the north side of the intersection, Mr. Lyth testified that there was a truck. He recalled that it was a small van of some sort. The van obstructed Mr. Lyth's view of the collision, but he heard the collision. Immediately before it happened, Mr. Lyth could see the back two-thirds of the passenger side of Ms. Ibrahim's vehicle and the tail end of Mr. Ansari's black Jeep. Mr. Lyth was not cross-examined.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Ansari also testified that a vehicle was stopped in the middle southbound lane where Mr. Lyth had said he saw the small van. Mr. Ansari, however, recalled that the vehicle was an 18-wheeler, that is, a large cab and trailer. Mr. Ansari's cross-examination consisted of him being asked to adopt as being correct answers which he had given in examination for discovery. He confirmed from the discovery evidence that there were vehicles in the middle southbound lane, including the semi-tractor and trailer, obstructing his view to the left. That contradicts Ms. Ibrahim's testimony, that her view of the middle and curb southbound lanes was unobstructed, but Mr. Ansari was not challenged on the point. Ms. Ibrahim had denied the presence of any such vehicle in the middle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My conclusion is that there was a truck of some sort stopped or moving very slowly in the middle southbound lane which blocked Ms. Ibrahim's view of Mr. Ansari's Jeep and blocked Mr. Ansari's view of Ms. Ibrahim's Dodge Caravan.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determining liability, s. 158(1)(b) and (2)(a), and s. 174,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R.S.B.C., c. 318, are relevant. They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Passing on right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158(1) The driver of a vehicle must not cause or permit the vehicle to overtake and pass on the right of another vehicle, except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on a laned roadway there is one or more than one unobstructed lane on the side of the roadway on which the driver is permitted to drive.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 driver of a vehicle must not cause the vehicle to overtake and pass another vehicle on the right</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movement cannot be made safely.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Yielding right of way on left turn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174 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Our Court of Appeal's decision in </w:t>
      </w:r>
      <w:r>
        <w:rPr>
          <w:rFonts w:ascii="arial" w:eastAsia="arial" w:hAnsi="arial" w:cs="arial"/>
          <w:i/>
          <w:color w:val="000000"/>
          <w:sz w:val="20"/>
          <w:lang w:val="en-US" w:eastAsia="en-US" w:bidi="ar-SA"/>
        </w:rPr>
        <w:t>Nerval v. Khehra</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2012 BCCA 436</w:t>
        </w:r>
      </w:hyperlink>
      <w:r>
        <w:rPr>
          <w:rFonts w:ascii="arial" w:eastAsia="arial" w:hAnsi="arial" w:cs="arial"/>
          <w:color w:val="000000"/>
          <w:sz w:val="20"/>
          <w:lang w:val="en-US" w:eastAsia="en-US" w:bidi="ar-SA"/>
        </w:rPr>
        <w:t xml:space="preserve">, provides guidance for the determination of liability where one of the parties was turning left when the accident happened. I quote here from paras. 29, 30, 33 and 35 in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 In my opinion, the trial judge correctly concluded that the obligation created by s. 174 has priority over the obligation created by s. 158. This result follows from the reasoning of this Court in </w:t>
      </w:r>
      <w:r>
        <w:rPr>
          <w:rFonts w:ascii="arial" w:eastAsia="arial" w:hAnsi="arial" w:cs="arial"/>
          <w:i/>
          <w:color w:val="000000"/>
          <w:sz w:val="20"/>
          <w:lang w:val="en-US" w:eastAsia="en-US" w:bidi="ar-SA"/>
        </w:rPr>
        <w:t>Pacheco (Guardian ad litem of) v. Robinson</w:t>
      </w:r>
      <w:r>
        <w:rPr>
          <w:rFonts w:ascii="arial" w:eastAsia="arial" w:hAnsi="arial" w:cs="arial"/>
          <w:color w:val="000000"/>
          <w:sz w:val="20"/>
          <w:lang w:val="en-US" w:eastAsia="en-US" w:bidi="ar-SA"/>
        </w:rPr>
        <w:t xml:space="preserve"> (1993), </w:t>
      </w:r>
      <w:hyperlink r:id="rId150" w:history="1">
        <w:r>
          <w:rPr>
            <w:rFonts w:ascii="arial" w:eastAsia="arial" w:hAnsi="arial" w:cs="arial"/>
            <w:i/>
            <w:color w:val="0077CC"/>
            <w:sz w:val="20"/>
            <w:u w:val="single"/>
            <w:shd w:val="clear" w:color="auto" w:fill="FFFFFF"/>
            <w:lang w:val="en-US" w:eastAsia="en-US" w:bidi="ar-SA"/>
          </w:rPr>
          <w:t>1993 CanLII 383</w:t>
        </w:r>
      </w:hyperlink>
      <w:r>
        <w:rPr>
          <w:rFonts w:ascii="arial" w:eastAsia="arial" w:hAnsi="arial" w:cs="arial"/>
          <w:color w:val="000000"/>
          <w:sz w:val="20"/>
          <w:lang w:val="en-US" w:eastAsia="en-US" w:bidi="ar-SA"/>
        </w:rPr>
        <w:t xml:space="preserve"> (BC CA), </w:t>
      </w:r>
      <w:hyperlink r:id="rId150" w:history="1">
        <w:r>
          <w:rPr>
            <w:rFonts w:ascii="arial" w:eastAsia="arial" w:hAnsi="arial" w:cs="arial"/>
            <w:i/>
            <w:color w:val="0077CC"/>
            <w:sz w:val="20"/>
            <w:u w:val="single"/>
            <w:shd w:val="clear" w:color="auto" w:fill="FFFFFF"/>
            <w:lang w:val="en-US" w:eastAsia="en-US" w:bidi="ar-SA"/>
          </w:rPr>
          <w:t>75 B.C.L.R. (2d) 273</w:t>
        </w:r>
      </w:hyperlink>
      <w:r>
        <w:rPr>
          <w:rFonts w:ascii="arial" w:eastAsia="arial" w:hAnsi="arial" w:cs="arial"/>
          <w:color w:val="000000"/>
          <w:sz w:val="20"/>
          <w:lang w:val="en-US" w:eastAsia="en-US" w:bidi="ar-SA"/>
        </w:rPr>
        <w:t xml:space="preserve"> (B.C.C.A.) at para. 15, in which Legg J.A. stated: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a driver who wishes to make a left hand turn at an intersection has an obligation not to proceed unless it can be done safely. Where each party's vision of the other is blocked by traffic, the dominant driver who is proceeding through the intersection is generally entitled to continue and the servient left-turning driver must yield the right of way. The existence of a left-turning vehicle does not raise a presumption that something unexpected might happen and cast a duty on the dominant driver to take extra care.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I acknowledge that </w:t>
      </w:r>
      <w:r>
        <w:rPr>
          <w:rFonts w:ascii="arial" w:eastAsia="arial" w:hAnsi="arial" w:cs="arial"/>
          <w:i/>
          <w:color w:val="000000"/>
          <w:sz w:val="20"/>
          <w:lang w:val="en-US" w:eastAsia="en-US" w:bidi="ar-SA"/>
        </w:rPr>
        <w:t>Pacheco</w:t>
      </w:r>
      <w:r>
        <w:rPr>
          <w:rFonts w:ascii="arial" w:eastAsia="arial" w:hAnsi="arial" w:cs="arial"/>
          <w:color w:val="000000"/>
          <w:sz w:val="20"/>
          <w:lang w:val="en-US" w:eastAsia="en-US" w:bidi="ar-SA"/>
        </w:rPr>
        <w:t xml:space="preserve"> did not involve a direct conflict between the obligations imposed by the equivalents of ss. 174 and 158, but in the course of explaining the obligation imposed on a driver about to turn left across oncoming traffic, and immediately after the passage just quoted, Legg J.A. endorsed the following principle: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 find support for that conclusion in the unreported decision of Mr. Justice McKenzie in </w:t>
            </w:r>
            <w:r>
              <w:rPr>
                <w:rFonts w:ascii="arial" w:eastAsia="arial" w:hAnsi="arial" w:cs="arial"/>
                <w:i/>
                <w:color w:val="000000"/>
                <w:sz w:val="18"/>
                <w:lang w:val="en-US" w:eastAsia="en-US" w:bidi="ar-SA"/>
              </w:rPr>
              <w:t>Bond v. Chernoff</w:t>
            </w:r>
            <w:r>
              <w:rPr>
                <w:rFonts w:ascii="arial" w:eastAsia="arial" w:hAnsi="arial" w:cs="arial"/>
                <w:color w:val="000000"/>
                <w:sz w:val="18"/>
                <w:lang w:val="en-US" w:eastAsia="en-US" w:bidi="ar-SA"/>
              </w:rPr>
              <w:t xml:space="preserve"> (14 October 1985), Vancouver 27420/73 (B.C.S.C.). The accident in that case occurred at the intersection of Broadway and Victoria Drive. The plaintiff was proceeding east on Broadway. When the plaintiff's vehicle had entered the intersection he was confronted by the defendant's vehicle which was heading westbound making a left hand turn in front of his vehicle.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627"/>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Justice McKenzie said: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think the accident is readily explainable in that neither of the parties could see the other party because the view to [sic] one another was denied to each of them by the presence of the line of eastbound vehicles that were waiting in the eastbound lane for the foremost of those vehicles to make a left hand turn. It was not until the Plaintiff's vehicle and the Defendant's vehicle got to a point of inevitable collision that they became visible to one another and at that point each driver was helpless to prevent an accident.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I think the law is clear under the circumstances that the obligation of the Defendant doing the left turn was an absolute obligation</w:t>
      </w:r>
      <w:r>
        <w:rPr>
          <w:rFonts w:ascii="arial" w:eastAsia="arial" w:hAnsi="arial" w:cs="arial"/>
          <w:color w:val="000000"/>
          <w:sz w:val="20"/>
          <w:lang w:val="en-US" w:eastAsia="en-US" w:bidi="ar-SA"/>
        </w:rPr>
        <w:t xml:space="preserve"> and I am unable to discern, on the facts of this case, that the Plaintiff was negligent. [Emphasis in original.]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 principles laid down in </w:t>
      </w:r>
      <w:r>
        <w:rPr>
          <w:rFonts w:ascii="arial" w:eastAsia="arial" w:hAnsi="arial" w:cs="arial"/>
          <w:i/>
          <w:color w:val="000000"/>
          <w:sz w:val="20"/>
          <w:lang w:val="en-US" w:eastAsia="en-US" w:bidi="ar-SA"/>
        </w:rPr>
        <w:t>Pacheco</w:t>
      </w:r>
      <w:r>
        <w:rPr>
          <w:rFonts w:ascii="arial" w:eastAsia="arial" w:hAnsi="arial" w:cs="arial"/>
          <w:color w:val="000000"/>
          <w:sz w:val="20"/>
          <w:lang w:val="en-US" w:eastAsia="en-US" w:bidi="ar-SA"/>
        </w:rPr>
        <w:t xml:space="preserve"> lead to the conclusion that the starting point of the analysis is that when a left turning driver is assessing making a left turn in an intersection he or she must yield the right of way to oncoming traffic unless it is not an immediate hazard. Describing a driver as dominant means no more than that driver has the right of way, whereas the servient driver has the obligation to yield the right of way. The obligation imposed by s. 174 on the left turning vehicle is that it "must yield the right of way to traffic approaching from the opposite direction that is in the intersection or so close as to constitute an immediate hazard". A left turn must not be commenced unless it is clearly safe to do so. If there are no vehicles in the intersection or sufficiently close to be an imminent hazard, the driver may turn left and approaching traffic must yield the right of way. In other words, if a left turning driver complies with his or her obligation only to start the left turn when no other vehicles are in the intersection or constitute an immediate hazard, then the left turning driver assumes the relationship of being the dominant vehicle and approaching vehicles become servient and must yield the right of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The effect of s. 174 is to cast the burden of proving the absence of an immediate hazard at the moment the left turn begins onto the left turning driver. This result flows inevitably from the wording of the section itself, given the nature of the absolute obligation the section creates. If a left turning driver, in the face of this statutory obligation, asserts that he or she started to turn left when it was safe to do so, then the burden of proving that fact rests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That reasoning in my view is more supportive of Mr. Ansari's position than Ms. Ibrahim's. Having regard to s. 174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quoted above, in my view Mr. Ansari's Jeep was so close to the intersection as to constitute an immediate hazard. Ms. Ibrahim was unaware of that because, as I have found, her view of the Ansari vehicle was obstructed. Although she testified that she saw Mr. Ansari's Jeep at some distance before the accident, and that her view of it was unobstructed, the evidence, as a whole, does not support either of those statements. Mr. Lyth, at or just before the moment of impact, could see the back of the Jeep and part of the passenger side of Ms. Ibrahim's vehicle. Given Mr. Lyth's perspective, and accepting, as I do, that Mr. Ansari was travelling south, in the curb lane, at a reasonable speed, Mr. Ansari's vehicle posed an immediate hazard to Ms. Ibrahim within the meaning of s. 174. Mr. Ansari was not speeding and, as he testified, he checked the intersection visually as he was approaching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What is meant by "immediate hazard" was addressed by Charles Tysoe J.A. in </w:t>
      </w:r>
      <w:r>
        <w:rPr>
          <w:rFonts w:ascii="arial" w:eastAsia="arial" w:hAnsi="arial" w:cs="arial"/>
          <w:i/>
          <w:color w:val="000000"/>
          <w:sz w:val="20"/>
          <w:lang w:val="en-US" w:eastAsia="en-US" w:bidi="ar-SA"/>
        </w:rPr>
        <w:t>Raie v. Thorpe</w:t>
      </w:r>
      <w:r>
        <w:rPr>
          <w:rFonts w:ascii="arial" w:eastAsia="arial" w:hAnsi="arial" w:cs="arial"/>
          <w:color w:val="000000"/>
          <w:sz w:val="20"/>
          <w:lang w:val="en-US" w:eastAsia="en-US" w:bidi="ar-SA"/>
        </w:rPr>
        <w:t>, (1963) 43 W.W.R. 405 (B.C.C.A.)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propose to attempt an exhaustive definition of "immediate hazard". For the purposes of this appeal it is sufficient for me to say that, in my opinion, if an approaching car is so close to the intersection when a driver attempts to make a left turn that a collision threatens unless there be some violent or sudden avoiding action on the part of the driver of the approaching car, the approaching car is an "immediate hazard" within the meaning of sec. 164 [174].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That passage has application here to support the conclusion that the Ansari vehicle constituted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 xml:space="preserve">, referred to above, liability was apportioned by the trial judge 60% against the plaintiff, who was the left-turning driver, when the defendant drove through the intersection at an excessive speed and unsafely pulled out to the right of a stationary left-turning vehicle in her lane of travel. The through driver, that is, the defendant, was found at trial to be 40% at fault. The appeal was dismissed. Those facts are different from the facts at bar. Mr. Ansari was not speeding. He had checked the intersection as he approached it and unlike the defendant in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 xml:space="preserve">, he did not swerve out to the right from behind the vehicle in front of him to speed through the intersection. Having regard to s. 158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quoted above, I find that Mr. Ansari comes within the protection of s. 158(1)(b) and that he did not violate the prohibition found in s. 158(2)(a).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final case authority I consider is </w:t>
      </w:r>
      <w:r>
        <w:rPr>
          <w:rFonts w:ascii="arial" w:eastAsia="arial" w:hAnsi="arial" w:cs="arial"/>
          <w:i/>
          <w:color w:val="000000"/>
          <w:sz w:val="20"/>
          <w:lang w:val="en-US" w:eastAsia="en-US" w:bidi="ar-SA"/>
        </w:rPr>
        <w:t>Nijjer v. Hildebrandt</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2000 BCCA 246</w:t>
        </w:r>
      </w:hyperlink>
      <w:r>
        <w:rPr>
          <w:rFonts w:ascii="arial" w:eastAsia="arial" w:hAnsi="arial" w:cs="arial"/>
          <w:color w:val="000000"/>
          <w:sz w:val="20"/>
          <w:lang w:val="en-US" w:eastAsia="en-US" w:bidi="ar-SA"/>
        </w:rPr>
        <w:t xml:space="preserve">, where Donald J.A. wrote for the Court in setting aside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person in Mr. Ansari's position in this case. Donald J.A. wrote: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[21] On the day in question the plaintiff was heading south on the King George Highway. The defendant was stopped in the northbound land waiting for traffic to clear so she could turn left into Art Knapp's Nursery at the west side of the highway. At the same time a vehicle was waiting at the driveway entrance of the nursery to make a left turn onto the highway and then proceed north. The latter vehicle made its turn and a moment later the defendant commenced her turn. The plaintiff's vehicle struck the right rear corner of the defendant's vehicle. He did not see the first turning vehicle. The trial judge found that his attention "... for whatever reason, was momentarily diverted from the traffic ahead". She split liability equally on this reasoning: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these circumstances, I am satisfied that both parties failed to meet their respective duties of care to the other and that both were negligent. As the servient driver, Hildebrandt ought to have seen Nijjer's approaching vehicle and recognized that it constituted an immediate hazard, such that she ought to have yielded Nijjer the right of way. For his part, Nijjer was not keeping a proper lookout. I am satisfied that had he done so, he would have seen the first vehicle exit from the Art Knapp's nursery, he would have seen Hildebrandt initiate her turn and he would have had an opportunity to yield the right of way. In the end result, I find that both drivers'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equally to this accident occurring. I find both Nijjer and Hildebrandt 50% at fault.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[22] This is not a sustainable result. The plaintiff had the clear right of way. The defendant made an unsafe turn in front of him. The plaintiff's momentary inattention could not have affected liability having regard to two decisions of this Court.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first is </w:t>
      </w:r>
      <w:r>
        <w:rPr>
          <w:rFonts w:ascii="arial" w:eastAsia="arial" w:hAnsi="arial" w:cs="arial"/>
          <w:i/>
          <w:color w:val="000000"/>
          <w:sz w:val="20"/>
          <w:lang w:val="en-US" w:eastAsia="en-US" w:bidi="ar-SA"/>
        </w:rPr>
        <w:t>Etter v. Trent</w:t>
      </w:r>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[1991] B.C.J. No. 237</w:t>
        </w:r>
      </w:hyperlink>
      <w:r>
        <w:rPr>
          <w:rFonts w:ascii="arial" w:eastAsia="arial" w:hAnsi="arial" w:cs="arial"/>
          <w:color w:val="000000"/>
          <w:sz w:val="20"/>
          <w:lang w:val="en-US" w:eastAsia="en-US" w:bidi="ar-SA"/>
        </w:rPr>
        <w:t xml:space="preserve"> (29 January, 1991), Vancouver Registry, No. CA009742 (B.C.C.A.), where Locke J.A. for the majority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situation is, in principle, almost exactly the same as in </w:t>
      </w:r>
      <w:r>
        <w:rPr>
          <w:rFonts w:ascii="arial" w:eastAsia="arial" w:hAnsi="arial" w:cs="arial"/>
          <w:i/>
          <w:color w:val="000000"/>
          <w:sz w:val="20"/>
          <w:lang w:val="en-US" w:eastAsia="en-US" w:bidi="ar-SA"/>
        </w:rPr>
        <w:t>Bissky v. Trottier et al</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(1984), 54 B.C.L.R. 288</w:t>
        </w:r>
      </w:hyperlink>
      <w:r>
        <w:rPr>
          <w:rFonts w:ascii="arial" w:eastAsia="arial" w:hAnsi="arial" w:cs="arial"/>
          <w:color w:val="000000"/>
          <w:sz w:val="20"/>
          <w:lang w:val="en-US" w:eastAsia="en-US" w:bidi="ar-SA"/>
        </w:rPr>
        <w:t>, where Macdonald J. had to resolve liability where a driver turning left across the line of traffic when it was plainly unsafe to do so sought to fix a portion of the liability on the oncoming car which struck him when the driver of the oncoming car had momentarily glanced away. ...</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To fulfil his duty of care, the user of the road is not bound to guard against every conceivable eventuality but only against such eventualities as a reasonable man ought to foresee as being within the ordinary range of human experience. W. was not negligent in taking his eyes off the approaching car as he had no reason to anticipate that T. would turn into his lane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integral part of this decision is the well-known statement from </w:t>
      </w:r>
      <w:r>
        <w:rPr>
          <w:rFonts w:ascii="arial" w:eastAsia="arial" w:hAnsi="arial" w:cs="arial"/>
          <w:i/>
          <w:color w:val="000000"/>
          <w:sz w:val="20"/>
          <w:lang w:val="en-US" w:eastAsia="en-US" w:bidi="ar-SA"/>
        </w:rPr>
        <w:t>Toronto Railway v. King</w:t>
      </w:r>
      <w:r>
        <w:rPr>
          <w:rFonts w:ascii="arial" w:eastAsia="arial" w:hAnsi="arial" w:cs="arial"/>
          <w:color w:val="000000"/>
          <w:sz w:val="20"/>
          <w:lang w:val="en-US" w:eastAsia="en-US" w:bidi="ar-SA"/>
        </w:rPr>
        <w:t>, approved over and over again,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Traffic in the streets would be impossible if the driver of each vehicle did not proceed more or less upon the assumption that the drivers of all the other vehicles will do what it is their duty to do, namely, observe the rules regulating the traffic of the streets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I note that the </w:t>
      </w:r>
      <w:r>
        <w:rPr>
          <w:rFonts w:ascii="arial" w:eastAsia="arial" w:hAnsi="arial" w:cs="arial"/>
          <w:i/>
          <w:color w:val="000000"/>
          <w:sz w:val="20"/>
          <w:lang w:val="en-US" w:eastAsia="en-US" w:bidi="ar-SA"/>
        </w:rPr>
        <w:t>Pacheco</w:t>
      </w:r>
      <w:r>
        <w:rPr>
          <w:rFonts w:ascii="arial" w:eastAsia="arial" w:hAnsi="arial" w:cs="arial"/>
          <w:color w:val="000000"/>
          <w:sz w:val="20"/>
          <w:lang w:val="en-US" w:eastAsia="en-US" w:bidi="ar-SA"/>
        </w:rPr>
        <w:t xml:space="preserve"> case [see para. 11 above in these reasons] was concerned with a left-hand turn at an intersection. In the present case, the site of the accident was not at a conventional intersection, a circumstance which, in my view, heightens the duty of care on the servient driver and tends to reduce the expectation of an unsafe turn on the part of the dominant driver.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Legg J.A. [in </w:t>
      </w:r>
      <w:r>
        <w:rPr>
          <w:rFonts w:ascii="arial" w:eastAsia="arial" w:hAnsi="arial" w:cs="arial"/>
          <w:i/>
          <w:color w:val="000000"/>
          <w:sz w:val="20"/>
          <w:lang w:val="en-US" w:eastAsia="en-US" w:bidi="ar-SA"/>
        </w:rPr>
        <w:t>Pacheco</w:t>
      </w:r>
      <w:r>
        <w:rPr>
          <w:rFonts w:ascii="arial" w:eastAsia="arial" w:hAnsi="arial" w:cs="arial"/>
          <w:color w:val="000000"/>
          <w:sz w:val="20"/>
          <w:lang w:val="en-US" w:eastAsia="en-US" w:bidi="ar-SA"/>
        </w:rPr>
        <w:t>] later went on to say at 278: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opinion, when a driver in a servient position disregards his statutory duty to yield the right of way and a collision results, then to fix any blame on the dominant driver, the servient driver must establish that after the dominant driver became aware, or by the exercise of reasonable care should have become aware, of the servient driver's own disregard of the law, the dominant driver had a sufficient opportunity to avoid the accident of which a reasonably careful and skilful driver would have availed himself. In such circumstance any doubt should be resolved in favour of the dominant driver.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For the foregoing reasons I would set aside the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assign 100% liability to the defendant in the second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Taking into account the provisions of s. 158 and 174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and the reasoning in the decisions of our Court of Appeal as quoted above, I find I must conclude that the liability for the accident rests entirely with the Plaintiff. A vehicle obstructed her view of Mr. Ansari's Jeep when she proceeded blindly with her turn. Mr. Ansari was not travelling at an unsafe speed, and he was paying reasonable attention. The Plaintiff's claim therefore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trial focused on the issue of liability. Ms. Ibrahim advanced a claim for non-pecuniary damages in the region of $40,000, plus a $900 claim for the cost of physiotherapy. The defence conceded the claim for the cost of physiotherapy and submitted that $25,000 would be the proper award for non-pecuniary damages. Ms. Ibrahim's complaints are soft tissue injuries resulting in ongoing pain in her lower back, neck, right shoulder, hips, left knee and chest, and in anxiety associated with driving. She was six months pregnant at the time of the accident. Thankfully, her child was not injured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was impressed by the candour of Ms. Ibrahim in not appearing to overstate her pain and in reporting that some of her pain complaints have now gone. Nonetheless, she is burdened by some ongoing pain. I quote here the final three paragraphs from Dr. Nee's report summarizing Ms. Ibrahim's condition. Dr. Nee is Ms. Ibrahim's family doctor: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October 9th, 2015, she was seen for follow-up regarding history of gastrointestinal diabetes, as well as controlled type 2 diabetes. At this visit, a complete MVA-related examination was not done, but she reported that she still had ongoing right hip pain with sitting, and that she felt better with using a pillow for support. She also reported ongoing knee pain from prolonged standing, and that physiotherapy was previously helpful (although she stopped going for physiotherapy over the past summer of 2015, busy looking after her 7 children). She reported that she would like to resume physiotherapy, and she was given a referral note for physiotherapy again.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was most recently seen in the office on November 25th, 2015. She reported during this visit that since her MVA, she continued to have daily low back and right hip pain. She reported that she still had right hip pain with prolonged standing (such as when she would stand for over 40 minutes in the kitchen while cooking). She was able to do all her daily chores of cooking and cleaning (looking after her 7 children and her husband) but she said she did all of her daily activities with discomfort in her lower back and right hip. She reported that she felt her left knee become "swollen" with prolonged standing. At this time, she was still doing physiotherapy once a week (sometimes twice a week) and she was being treated with TENS (transcutaneous electrical nerve stimulation) and ultrasound therapy. She was doing exercise both of physiotherapy and at home (mostly using the exercise bike). During the day, she had to look after the 2 youngest of her children (ages 1 and 4 years-old) while the rest of her children were in school. Her current medications included Advil or Aleve as needed (both anti-inflammatory analgesic medications) as well as Tylenol No. 3 (when pain was more severe; but she has run out of this). In total, she has had approximately 30 to 40 sessions of physiotherapy altogether. On examination, cervical spine range of motion was full in all directions, with no midline spine tenderness on palpation. She did feel tenderness on palpation over the right cervical paraspinal and trapezius muscles. Thoracic-lumbar spine examination revealed tenderness on palpation over T3-T12 and L1-L5 in the midline, with no thoracic or lumbar paraspinal muscle tenderness on palpation. She continued to feel tenderness on palpation over both sacroiliac joints, as well as the right gluteal muscles. Right hip examination revealed full range of motion with pain over the right sacroiliac joint with movements. Left knee examination revealed no swelling or effusions of the knee, and no increased warmth on palpation over the knee joint, but she felt tenderness on palpation over the medial knee joint line, patellar tendon, and over the tibial tuberosity. There was no patellofemoral crepitus noted. There was also no ligamentous laxity of the left knee. She was unable to fully squat due to discomfort in her left knee (but passive range of motion movement of the left knee was normal). She was diagnosed with persisting cervical-thoracic-lumbar and sacroiliac soft tissue strain injury secondary to the MVA on June 25, 2014. She also continued to have left knee soft tissue strain, now with some patellar tendinitis. She was advised to continue with physiotherapy once or twice a week, and she was felt to be a good candidate for active rehabilitation program. However, because of child care needs, it is difficult for her to have enough time to attend an active rehabilitation program (her 2 youngest children would have to be cared for during the daytime). She was encouraged to keep active with daily stretching and strengthening exercises for her neck and back as well as for her lower limbs. She was given a prescription refill for some more Tylenol No. 3, and she was also advised to continue taking Advil as needed.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has now been 1-1/2 years since her MVA, and she still continues to experience daily discomfort from her soft tissue stain injuries to her lower back, right sacroiliac region, and also her left medial knee. Her initial injuries from the MVA were further exacerbated by the fact that she was pregnant at the time of the accident, and the increasing weight gain during her pregnancy in the months immediately following her car accident (leading up to her delivery in October 2014) also added further strain to her lower back and her knee. Even though she participated in physiotherapy, she did not have adequate time or childcare support to allow her to attend active rehabilitation in a timely fashion, which may have further attributed to a delay in recovery of her MVA-related soft tissue strain injuries to her lower back, sacroiliac region, and left knee. Going forward, she would benefit from further physiotherapy with an active rehabilitation component that would help her further strengthen her lower back, as well as improve the strength of her core muscles in order to minimize further strain to her sacroiliac region. In the future, she may continue to experience acute exacerbations of lower back pain and sacroiliac ligamentous strain with activities that involve excessive forward bending or stooped postures. Although she is able to perform her activities of daily living, she does so with some degree of daily discomfort in her lower back, right hip, and left knee. Her prognosis for further improvement of the symptoms remains good provided that she is able to maintain a regular active exercise program, following an adequate active rehabilitation program. In order to facilitate her recovery, she would need childcare support for her 2 youngest children that would allow her to attend an active rehabilitation program. In order to minimize future exacerbations of lower back and sacroiliac strain, it is important for her to participate in an ongoing active exercise program through a gym or swimming pool. In the future when she does experience exacerbations of the soft tissue strain in her lower back and sacroiliac regions, she would benefit from short courses of physiotherapy or 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If liability had not been in issue, and the Defendant had been 100% at fault, I would have awarded Ms. Ibrahim damages of $900 for physiotherapy costs and $35,000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To repeat my conclusion, however, the action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G.K. MACINTOSH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6"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Knowles v. Hett, [2002] B.C.J. No. 1465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Melvin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5,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7,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99 2617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1465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876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115 A.C.W.S. (3d) 904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Trevor Scott Knowles, plaintiff, and Jordan Hett,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7"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4" w:name="Keywords_10"/>
      <w:bookmarkEnd w:id="74"/>
      <w:r>
        <w:rPr>
          <w:rFonts w:ascii="arial" w:eastAsia="arial" w:hAnsi="arial" w:cs="arial"/>
          <w:b/>
          <w:color w:val="000000"/>
          <w:sz w:val="20"/>
          <w:lang w:val="en-US" w:eastAsia="en-US" w:bidi="ar-SA"/>
        </w:rPr>
        <w:t xml:space="preserve">Torts — Defences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fault (incl. breach of contract cases).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5" w:name="Case Summary_10"/>
            <w:bookmarkEnd w:id="7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 motion for summary judgment by both parties regarding liability for injuries suffered by Knowles. Despite conflicting evidence, the parties agreed that the matter was to be determined by summary judgment. Hett wanted a tree on his property removed and he set up a pulley system to do so. Hett sought Knowles' assistance in removing the tree due to his experience in the logging industry. During the removal of the tree, Knowles was injured. Knowles argued that Hett was 90 per cent responsible for the injuries and he was 10 per cent responsible as Hett set up the system that caused the injury. Hett argued that he was 80 percent responsible and Knowles was 20 percent responsible as he relied on Knowles's expertise regarding how to remove the tree.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6" w:name="Holdings of Court_10"/>
            <w:bookmarkEnd w:id="76"/>
            <w:r>
              <w:rPr>
                <w:rFonts w:ascii="arial" w:eastAsia="arial" w:hAnsi="arial" w:cs="arial"/>
                <w:color w:val="000000"/>
                <w:sz w:val="20"/>
                <w:lang w:val="en-US" w:eastAsia="en-US" w:bidi="ar-SA"/>
              </w:rPr>
              <w:t>HELD: Motion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Liability was divided equally between Knowles and Hett. There was evidence that Knowles participated in the process and the incident leading to his injuries. Neither party was at greater fault than the other.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7" w:name="Legislation Cited_7"/>
      <w:bookmarkEnd w:id="7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8"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8" w:name="Counsel_10"/>
      <w:bookmarkEnd w:id="7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9" style="position:absolute;z-index:2517719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 Kitzke, for the plaintiff. J. Hett appeared in person.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9" w:name="Judgment_10"/>
      <w:bookmarkEnd w:id="79"/>
      <w:r>
        <w:pict>
          <v:line id="_x0000_s1080" style="position:absolute;z-index:25182310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0" w:name="MELVIN J."/>
            <w:bookmarkEnd w:id="80"/>
            <w:r>
              <w:rPr>
                <w:rFonts w:ascii="arial" w:eastAsia="arial" w:hAnsi="arial" w:cs="arial"/>
                <w:b/>
                <w:color w:val="000000"/>
                <w:sz w:val="30"/>
                <w:lang w:val="en-US" w:eastAsia="en-US" w:bidi="ar-SA"/>
              </w:rPr>
              <w:t>MELVIN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Pursuant to Rule 18A both the plaintiff and the defendant seek a ruling concerning the liability of the defendant with reference to injuries sustained by the plaintiff. A perusal of the affidavit material filed by the plaintiff and the defendant demonstrates a considerable difference in the evidence relating to the circumstances of the incident. However, as the parties are in agreement due to the "amount involved" that the matter proceed by way of Rule 18A rather than a trial, summary judgment will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circumstances surrounding the injuries to the plaintiff are somewhat unusual in the sense that the defendant/owner of the property wished to fall a tree on his property which was leaning toward his house. As a result, a rope was attached to the tree and led back to another tree which was used as an anchor for a chain and block arrangement, and a line was led through this arrangement to a truck owned by the defendant. Tension was placed on the rope by using the truck to pull forward and hopefully, cause the tree, which was leaning towards the defendant's home, to be pulled away once it was cut.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Before matters proceeded to that extent the chain used to secure to the anchor tree parted and as a result, the plaintiff was injured. The substantial difference in the evidence of the plaintiff and the defendant is identified in their respective affidavits. In the plaintiff's affidavit filed June 4, 2002, he deposes as follows:</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Hett wanted to use a block and tackle and rope when cutting down the tree. Mr. Hett got a rope, climbed up the tree approximately ten feet and tied the rope around one of the branches.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Hett had already placed a block and tackle at another tree in the yard and he ran the rope from the tree we were going to fall to the tree where the block and tackle was already hooked up. There was already a chain wrapped around the tree to where the block and tackle was located. The block and tackle was already hooked up to the chain that was wrapped around the tree.</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didn't have any part in that set up and it was already there when I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According to the plaintiff, there was an attempt to impose tension on this apparatus; however, as a result of the initial attempt, the nut and bolt on the block and tackle pulley popped out and came apart, and according to the plaintiff, the defendant tightened the nut and bolt and then proceeded with his truck to place tension on the line with the resultant break and injury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affidavit is substantially different in the sense that he deposes he had been advised by the plaintiff that the plaintiff had worked in the logging industry and that the plaintiff was prepared to fall the tree in question in exchange for the defendant helping with a renovation at the plaintiff's home. The defendant deposes that the plaintiff, on several occasions, advised him that he was an experienced logger.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Donald Robertson in his affidavit filed March 5, 2002, a neighbour of the plaintiff, deposes that in a conversation with the plaintiff before the accident, the plaintiff advised that he would be falling trees for a friend. In response, Mr. Robertson asked the plaintiff whether he was qualified to do this and he said that he was. Mr. Robertson, in his affidavit, deposes that the plaintiff had told him that he had worked in helicopter logging among other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states that the plaintiff had equipment out in the back yard and had a plan on how to fall the tree. He and the plaintiff discussed the procedure and how the plaintiff was going to drop the tree. The defendant deposes they discussed the plaintiff's plan and he tried to find the equipment to keep the plan proceeding. He states that he listened to the plaintiff's advice on how the job would be done and that the plaintiff helped run the rope and the pulley to pull the plan into action. He states it required two people to assemble the chain around the tree and that the plaintiff requested the various parts for the setup and examined the equipment and gave direction as to how the tree was to be fallen. In addition, according to the defendant, he and the plaintiff discussed keeping away from the bight or loop created by the line coming from the tree to be fallen to the anchor tree and then back to the truck in order to avoid injury in case there was a failure. The defendant deposes that the initial attempt failed and required some adjustment involving removal of the pulley to free a jammed rope, and that he and the plaintiff reinstalled the setup after these events. The defendant deposes that the plaintiff was the "biggest part of the setup and lay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With this substantial difference between the evidence of the plaintiff and the defendant, in the normal course, a trial would be the only logical way to determine the outcome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Counsel for the plaintiff submits that there should be a division of liability and that under the circumstances, the defendant should be 90% responsible for the circumstances leading up to the accident and the injury to the plaintiff, and the plaintiff 10%. The unrepresented defendant takes the position that the division should be 80% liability on the part of the defendant and 20% on the part of the plaintiff. Consequently, the submissions focussed on the participation of the plaintiff in the context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 am not bound by the submissions of the plaintiff or the defendant. I am driven by the evidence and the law. In this instance, the plaintiff relies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the Occupiers Liability Act as a basis for the finding of liability in the manner which is above-mentioned.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There is a burden on the plaintiff to satisfy me that the defendant was negligent and it is clear from both the point of view from both the plaintiff and the defendant that there is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reference to the actions of the plaintiff which led to the injuries which he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Despite the submissions of the litigants, in my opinion, there is clear evidence that the plaintiff was actively participating in this particular process and had made a significant contribution to the plan and the layout which resulted in the incident occurring. The mere fact that the defendant provided the materials which were used in the setup as described by the parties does not necessarily cause one to conclude that his property was unsafe within the meaning of the Occupiers Liability Act or that he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my opinion, it was the combination of both the plaintiff and the defendant embarking upon this course, utilizing the equipment in the fashion that they did. It appears that the defendant relied on the plaintiff's skill and experience in relation to utilization of the equipment and the manner in which it was laid out for the purposes that the parties wished to achieve. In my view, there is no one person that is greater at fault than the other and the liability for the injuries sustained to the plaintiff should be divided equally between the plaintiff and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MELVIN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1"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L.A.F. v. G.M.F.C. Ltd., [2019] B.C.J. No. 2522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P.K. Shergill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17-21, 24-28,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27,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M167125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2522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2252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L.A.F., Plaintiff, and G.M.F.C. Ltd./F.G.M.C. Ltd., A.M.&amp;I. Co. Ltd., T.J.Y. and H.W.,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(223 paras.)</w:t>
      </w:r>
    </w:p>
    <w:p>
      <w:pPr>
        <w:jc w:val="both"/>
        <w:rPr>
          <w:rFonts w:ascii="arial" w:eastAsia="arial" w:hAnsi="arial" w:cs="arial"/>
          <w:sz w:val="20"/>
          <w:lang w:val="en-US" w:eastAsia="en-US" w:bidi="ar-SA"/>
        </w:rPr>
      </w:pPr>
      <w:bookmarkStart w:id="81" w:name="Counsel_11"/>
      <w:bookmarkEnd w:id="8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2"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B. McIntosh.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M. Kumor, J.G. Zilkowsky.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2" w:name="Judgment_11"/>
      <w:bookmarkEnd w:id="82"/>
      <w:r>
        <w:pict>
          <v:line id="_x0000_s1083" style="position:absolute;z-index:2517217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ANONYMIZATION AND SEALING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Physical Injuries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Injuries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Hand and Arm Injuries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Tinnitus and Dizziness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Aggravation of Low Back and Knee Pain</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Aggravation of Headaches and Migraines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Pre-Existing Ankle Injury</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Intervening Events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Psychological Injuries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Pre-Collision Condition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 Collision Condition and Treatment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 Evidence</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Diagnosis</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numPr>
          <w:numId w:val="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Continuity of Symptoms</w:t>
      </w:r>
    </w:p>
    <w:p>
      <w:pPr>
        <w:numPr>
          <w:numId w:val="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Stressors</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Mitigation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Special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Impairment of Future Earning Capacity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Predicting the Future - Absent Collision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 Predicting the Future - Post Collision</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Calculating the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Costs of Future Care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Occupational Therapy</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Massage Therapy</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Counselling</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Gym membership</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Vocational Assistance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Medication Costs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of Costs of Future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 Housekeeping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SUMMARY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3" w:name="P.K. SHERGILL J."/>
            <w:bookmarkEnd w:id="83"/>
            <w:r>
              <w:rPr>
                <w:rFonts w:ascii="arial" w:eastAsia="arial" w:hAnsi="arial" w:cs="arial"/>
                <w:b/>
                <w:color w:val="000000"/>
                <w:sz w:val="30"/>
                <w:lang w:val="en-US" w:eastAsia="en-US" w:bidi="ar-SA"/>
              </w:rPr>
              <w:t>P.K. SHERGILL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L.A.F., is 44 years old. She claims damages for injuries and loss sustained as a result of a motor vehicle collision which occurred on January 27, 2013 (the "MVC" or the "collision"). At the time of the MVC, the plaintiff was a stay-at-home mother to her young son. She alleges that the collision caused her permanent injury, including destabilizing her pre-existing bipolar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have admitted liability for the collision, and do not deny that the plaintiff sustained some injuries as a result of the collision. However, they argue that the injuries were modest and that the plaintiff has returned to her pre-collision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ANONYMIZATION AND SEALING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seeks a court order to initialize the reasons for judgment and to seal the court file to protect the privacy and mental health of the plaintiff and her family. The defendants take no position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C.W. v. L.G.M.</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2004 BCSC 1499</w:t>
        </w:r>
      </w:hyperlink>
      <w:r>
        <w:rPr>
          <w:rFonts w:ascii="arial" w:eastAsia="arial" w:hAnsi="arial" w:cs="arial"/>
          <w:color w:val="000000"/>
          <w:sz w:val="20"/>
          <w:lang w:val="en-US" w:eastAsia="en-US" w:bidi="ar-SA"/>
        </w:rPr>
        <w:t>, Justice Joyce reviewed the principles applicable when considering anonymity orders, noting that the onus is on the applicant to lead evidence demonstrating "that the order is necessary in order to achieve justice": at para. 25. The open court principle should only be displaced to the extent necessary to preserve a social value or public interest of superordinate importance.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An example of a public interest of superordinate importance is where disclosure of the identity of the plaintiff would cause the plaintiff to suffer damages in addition to those already suffered as a result of the wrong for which the plaintiff is seeking compensation: </w:t>
      </w:r>
      <w:r>
        <w:rPr>
          <w:rFonts w:ascii="arial" w:eastAsia="arial" w:hAnsi="arial" w:cs="arial"/>
          <w:i/>
          <w:color w:val="000000"/>
          <w:sz w:val="20"/>
          <w:lang w:val="en-US" w:eastAsia="en-US" w:bidi="ar-SA"/>
        </w:rPr>
        <w:t>C.W</w:t>
      </w:r>
      <w:r>
        <w:rPr>
          <w:rFonts w:ascii="arial" w:eastAsia="arial" w:hAnsi="arial" w:cs="arial"/>
          <w:color w:val="000000"/>
          <w:sz w:val="20"/>
          <w:lang w:val="en-US" w:eastAsia="en-US" w:bidi="ar-SA"/>
        </w:rPr>
        <w:t>. at para. 25. A desire to avoid embarrassment is not sufficient to displace the public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G.P. v. W.B.</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2017 BCSC 297</w:t>
        </w:r>
      </w:hyperlink>
      <w:r>
        <w:rPr>
          <w:rFonts w:ascii="arial" w:eastAsia="arial" w:hAnsi="arial" w:cs="arial"/>
          <w:color w:val="000000"/>
          <w:sz w:val="20"/>
          <w:lang w:val="en-US" w:eastAsia="en-US" w:bidi="ar-SA"/>
        </w:rPr>
        <w:t>, Justice Funt granted a sealing order and anonymization of the reasons for judgment, on the basis that there was evidence from a mental health expert that publication of the plaintiff's name and mental health diagnoses could affect the plaintiff's mental well-being.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Similarly, here there is evidence from the plaintiff's treating psychiatrist, Dr. Sternthal, that the plaintiff may suffer serious harm to her mental health should her diagnosis of bipolar disorder be publically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Consequently, I am of the view that the reasons for judgment should be initialized. In addition, L.A.F.'s counsel may coordinate the sealing of this file in accordance with B.C. Supreme Court Practice Direction No. 35 - </w:t>
      </w:r>
      <w:r>
        <w:rPr>
          <w:rFonts w:ascii="arial" w:eastAsia="arial" w:hAnsi="arial" w:cs="arial"/>
          <w:i/>
          <w:color w:val="000000"/>
          <w:sz w:val="20"/>
          <w:lang w:val="en-US" w:eastAsia="en-US" w:bidi="ar-SA"/>
        </w:rPr>
        <w:t>Sealing Orders in Civil and Family Proceedings</w:t>
      </w:r>
      <w:r>
        <w:rPr>
          <w:rFonts w:ascii="arial" w:eastAsia="arial" w:hAnsi="arial" w:cs="arial"/>
          <w:color w:val="000000"/>
          <w:sz w:val="20"/>
          <w:lang w:val="en-US" w:eastAsia="en-US" w:bidi="ar-SA"/>
        </w:rPr>
        <w:t>. The sealing order allows members of the public or the press to apply upon reasonable notice to counsel to have parts of the file unsealed.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January 27, 2013, the plaintiff was heading westbound on Grange Street in Burnaby, B.C. She was driving a Honda sedan (the "plaintiff's vehicle"). As the plaintiff entered the intersection with Willingdon Avenue on a green light, her vehicle was t-boned by a Range Rover SUV driven by the defendant H.W. (the "defendant's vehicle"). The defendant's vehicle had been heading eastbound on Grange Street and was making a left turn to proceed northbound on Willingdon Avenue when it collided with the plaintiff's vehicle. The impact of the collision caused the plaintiff's body to come into contact with the inside of her vehicle, resulting in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Range Rover was leased by the defendant G.M.F. Ltd. to the defendants A.M.I. Ltd. and T.J.Y. (collectively referred to as the "vicarious defendants"). The vicarious defendants admit that H.W. operated the vehicle with their consent, and that the collision was caused solely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H.W. for which they are all vicariously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in many actions of this type, the plaintiff's credibility featured strongly in this trial. All of the experts who provided opinions in this case relied, to some extent, on subjective complaints and assertions made by Ms. F. about her injuries, health, and recovery. Consequently, the defence challenges the reliability of the medical opinions, arguing that the plaintiff is not a credible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defence points to inconsistencies between Ms. F.'s trial evidence and statements she purportedly made to her healthcare providers and experts. For example, Ms. F.'s trial evidence was that she could garden for only 30 minutes before onset of pain; Dr. Stewart reports that she provided an estimate of 90 minutes. Ms. F. also testified at trial that she had tried to commit suicide three times prior to the collision, whilst Dr. O'Shaugnessy reports 10-15 suicide attempts. There are other contradictions between Ms. F.'s trial evidence and statements attributed to her in Dr. Santerre's and Dr. Sternthal's clinical notes. When these contradictions were put to her, Ms. F. could not recall what she told the doctors, but maintained that her evidence at trial was truthful.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As noted by Justice Smith in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at para. 34, aff'd </w:t>
      </w:r>
      <w:hyperlink r:id="rId171"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The difficulty with statements in clinical records is that, because they are only a brief summary or paraphrase, there is no record of anything else that may have been said and which might in some way explain, expand upon or qualify a particular doctor's note. The plaintiff will usually have no specific recollection of what was said and, when shown the record on cross- examination, can rarely do more than agree that he or she must have said what the doctor wrote.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Cunningham v. Greer</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2019 BCSC 1208</w:t>
        </w:r>
      </w:hyperlink>
      <w:r>
        <w:rPr>
          <w:rFonts w:ascii="arial" w:eastAsia="arial" w:hAnsi="arial" w:cs="arial"/>
          <w:color w:val="000000"/>
          <w:sz w:val="20"/>
          <w:lang w:val="en-US" w:eastAsia="en-US" w:bidi="ar-SA"/>
        </w:rPr>
        <w:t xml:space="preserve"> at paras. 9-12.)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Justice Smith's observations in </w:t>
      </w:r>
      <w:r>
        <w:rPr>
          <w:rFonts w:ascii="arial" w:eastAsia="arial" w:hAnsi="arial" w:cs="arial"/>
          <w:i/>
          <w:color w:val="000000"/>
          <w:sz w:val="20"/>
          <w:lang w:val="en-US" w:eastAsia="en-US" w:bidi="ar-SA"/>
        </w:rPr>
        <w:t>Edmondson</w:t>
      </w:r>
      <w:r>
        <w:rPr>
          <w:rFonts w:ascii="arial" w:eastAsia="arial" w:hAnsi="arial" w:cs="arial"/>
          <w:color w:val="000000"/>
          <w:sz w:val="20"/>
          <w:lang w:val="en-US" w:eastAsia="en-US" w:bidi="ar-SA"/>
        </w:rPr>
        <w:t xml:space="preserve"> apply in this case. For example, Dr. Sternthal, Ms. F.'s treating psychiatrist, testified that he does not record in his notes everything that is said in a session with a patient. Instead, he records brief summaries intended to reflect what is generally discussed in a session. The notes are kept to meet his minimal legal requirements, and not to provide a detailed recording of what has transpired.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more than six years since the collision, Ms. F. has seen numerous healthcare professionals for a myriad of health issues. Given the "human tendency to reconsider, review and summarize history in light of new information" (</w:t>
      </w:r>
      <w:r>
        <w:rPr>
          <w:rFonts w:ascii="arial" w:eastAsia="arial" w:hAnsi="arial" w:cs="arial"/>
          <w:i/>
          <w:color w:val="000000"/>
          <w:sz w:val="20"/>
          <w:lang w:val="en-US" w:eastAsia="en-US" w:bidi="ar-SA"/>
        </w:rPr>
        <w:t>Burke-Pietramala v. Samad</w:t>
      </w:r>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2004 BCSC 470</w:t>
        </w:r>
      </w:hyperlink>
      <w:r>
        <w:rPr>
          <w:rFonts w:ascii="arial" w:eastAsia="arial" w:hAnsi="arial" w:cs="arial"/>
          <w:color w:val="000000"/>
          <w:sz w:val="20"/>
          <w:lang w:val="en-US" w:eastAsia="en-US" w:bidi="ar-SA"/>
        </w:rPr>
        <w:t xml:space="preserve"> at para. 104), it is not surprising that there is some variation between her testimony and the entries in the medical records or histories recorded in the expert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addition, the nature of Ms. F.'s condition is such that any statements attributed to her while she was in the throes of her condition must be considered with caution. Dr. O'Shaughnessy explained that when it comes to bipolar disorder, one is dealing with three different people: the euthymic person who sees their life as it is, and responds appropriately to the normal ups and downs in life; the depressed person who views themselves, their relationships, and the world in an extremely negative light; and the manic or hypomanic individual who is euphoric, sees the world in an extremely positive light. Thus, depending on her mental state at the time, Ms. F. may be overly negative or overly positive in her view of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For these reasons, the contradictions between the plaintiff's trial evidence and entries in the medical records do not affect my view of her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Neither am I swayed by evidence from a surveillance video taken in December 2013. The video shows Ms. F. shovelling snow for about 20 minutes without any apparent restriction. I do not find the surveillance video evidence to be contradictory to Ms. F.'s position at trial. Ms. F. explained that the movements caused her pain, and she was required to rest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the whole, I found Ms. F. to be a credible and reliable witness. Her evidence was largely consistent with the medical, documentary, and collateral evidence. Ms. F.'s appearance and demeanour at trial reflected her volatile mood disorder. At times she had good composure while on the witness stand, and at other times she was overcome by emotion and unable to continue with her testimony. Her struggle with memory appeared genuine, she was forthcoming in her answers, and she readily made admissions against self-interest. Ms. F. presented as a stoic individual who tended to minimize rather than embellish her symptoms. This is exemplified by her early attempts to return to work, in what I view as a genuine effort to mitigate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found the plaintiff's husband, P.F., to be a credible and reliable witness. His evidence was consistent with the other evidence in the trial. He provided evidence in an objective and forthright manner, and did not shy away from making statements that might place him in a negative light. He presented as sincere and candid.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Physical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claims for soft tissue injuries to her neck and shoulders, as well as permanent aggravation of her pre-existing headaches, knee pain, and back pain. She submits that the constellation of these injuries has left her with chronic pain which is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defendants concede that the plaintiff suffered injuries but submit that the injuries are mild in nature and do not impede her function. They also contend the aggravation of Ms. F.'s prior health condition was temporary, and that she has returned to her baseline condition. They deny that the plaintiff is suffering from chronic pain attributable to the collision.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collision was significant and caused substantial damage to both the plaintiff's and the defendant's vehicles. The airbags in the plaintiff's vehicle deployed on impact and struck the plaintiff's face. Ms. F. does not know if she lost consciousness. When firefighters arrived, Ms. F. was in shock and feeling pain in her face and her left hand. Mr. F. arrived at the scene of the collision and drove Ms. F. and their son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next day, Ms. F. felt sore all over her body. She had bruising on her chest and left hand. She attended at a walk-in clinic and was sent for x-rays, which were negative. The plaintiff subsequently saw her family physician, Dr. Santerre, and was referred for physiotherapy and advised to stay 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Although the bruising healed within a few weeks, the plaintiff continued to experience pain due to the collision. She had difficulty moving and sleeping due to headaches, and pain in her neck, shoulders, knees,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F. commenced physiotherapy in February 2013. On the advice of her doctor, she also attended massage therapy, chiropractic treatment, acupuncture, and vestibular physiotherapy. The plaintiff also attended two rounds of active rehabilitation in 2013. The first was commenced in the early summer of 2013. It was suspended due to increased pain. The second round was commenced in late 2013 and completed in early 2014. Thereafter, and continuing up to the time of trial, Ms. F. performed regular home exercises with weights and an elliptical trainer. These were supplemented with pain medication and some physiotherapy treatments in 2014 and 2015 and occasional massage therapy leading up to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By the time of trial, the plaintiff estimated her neck and shoulder pain had improved by about 40 to 50%, and that she had plateaued in terms of her recovery. She found that housekeeping and gardening aggravated this pain. She was managing her residual symptoms with medication, home exercise, stretches, and the occasional massage therapy treatment.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Hand and Arm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At some point following the collision, the plaintiff began to experience tremors in her right hand. Ms. F. thought she might have multiple sclerosis and saw a specialist. The tests were negative. The symptoms have substantially improved and do not interfere in her day-to-day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addition, she experienced tingling in her left hand, resembling a sensation of her hand "falling asleep". The symptoms continued to the date of trial but are infrequent and do not interfere in her activities.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Tinnitus and Dizziness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F. also complains of dizziness attributable to the MVC. She testified that she became aware of the dizziness a few weeks after the collision. The dizziness was accompanied with ringing in her ears. Between May and June 2013, Ms. F. sought treatment from a vestibular therapist. Her dizziness symptoms subsided substantially following treatment, though some dizziness remains. The tinnitus has not shown improvement and no treatment is postulated.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 Aggravation of Low Back and Knee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F. had chronic intermittent low back pain and bilateral knee pain prior to the collision, which was managed with over-the-counter pain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Following the collision, the plaintiff experienced increased pain in both knees, as well as increased pain in her low back. The pain was more frequent, longer in duration, and greater in intensity than the previous back and knee pain. Ms. F. testified that her knees returned to their pre-MVC pain levels about six to seven months after the collision. Her back pain has seen significant improvement. The pain is now intermittent, and aggravated by heavy lifting.</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5. Aggravation of Headaches and Migraines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F. also had a history of severe headaches and migraines prior to the collision. She treated these with naproxen and Tylenol. These occurred at varying frequencies, ranging from a few times per month to a few times per week. Stressful activities would increase the headaches, though the headaches were also frequently associated with her menstrual cycle. During the time when her home was being renovated in 2011, Ms. F. experienced these headaches daily.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F. testified that her headaches increased in severity and frequency following the collision. They would occur daily, and appeared to be associated with neck pain as well as stress. She managed them with pain medication. The headaches have gradually improved, to the point where she is now left with slightly worse headaches than what she experienced pre-collision. She currently experiences migraines about six to seven times per month.</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6. Pre-Existing Ankle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2003, Ms. F. fell off some steps and fractured her left ankle. Though she recovered from the left ankle injury, she was left with some ongoing swelling after exercise and activity. She testified that the left ankle was not affected by the collision. In addition, a few weeks prior to the collision, Ms. F. was prescribed orthotics to address pain associated with plantar fasciitis, mostly in her right foot.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7. Intervening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has also had a number of intervening events:</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Around the same time as she was receiving vestibular treatment, Ms. F. was found to have hearing loss for which she requires hearing aids. Ms. F. was told the hearing loss was not related to the collision, and does not claim for any hearing loss associated with the MVC.</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summer of 2014, Ms. F. broke her left ankle while stepping off a ramp. The injury was aggravated a few weeks later. As a result of the left ankle injury, the plaintiff was restricted in her physical activities for several months. In addition, her use of crutches aggravated her neck and shoulder symptoms from the MVC.</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2016, the plaintiff started having unusually heavy menstrual bleeding. She underwent a partial hysterectomy in February 2017. She was prescribed pain-relieving medication and placed on bed rest. She was restricted from exercise for two months.</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F. had a colonoscopy in 2019 to investigate bowel problems related to medication she was taking. The colonoscopy was negative for any serious medical issues.</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Around January 2019, Ms. F. presented with complaints of right ankle pain which had been ongoing for three months. Dr. Santerre diagnosed her with tendonitis, and advised her to resume wearing her orthotics.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These have all impacted her health and recovery from her collision-related injuries.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8.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Santerre has been Ms. F.'s family physician since 2009 and continued to treat her to the date of trial. She was qualified as an expert in family medicine. She prepared a medical legal report dated April 1, 2015 which incorporated Ms. F.'s clinic visits up to January 2015 and information provided by telephone in March 2015. Her opinion remained unchanged at the time of her video deposition held in May 2019. I found Dr. Santerre's opinion to be reliable and medically sound, and place considerable weight on her observations and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According to Dr. Santerre, following the collision Ms. F. initially presented with a diffuse myofascial strain and sprain injury of her diffuse back, neck, shoulders and chest. The pain in her neck, upper back and shoulders continued to be symptomatic at the time of the January 2015 clinic visit. In March 2015, the plaintiff reported that she was able to do most of her regular activities, albeit at a slower pace than before the MVC. While her low back pain had returned to its pre-MVC levels, she continued to experience upper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It was Dr. Santerre's opinion that Ms. F. was suffering from chronic vertigo, intermittent dizziness, and tinnitus, which were ongoing in March 2013. She posited that these could be related to post-concussion syndrome, and referred Ms. F. to a neurologist for assessment. No evidence was adduced about the results of any neurological assessment, and I infer that the results were negative.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Santerre also opined that Ms. F. was at high risk of developing chronic myofascial pain syndrome, due to her previous history of chronic mechanical back pain and headaches; prior mental health history of anxiety and depression; and her history of poor tolerance for prescription medications. She provided a grim prognosis, and stated that it will take several years for the plaintiff to achieve full resolution of her collision injuries, which may never resolve.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Stewart is a physiatrist retained by the plaintiff. She was qualified as an expert in physical medicine and rehabilitation, and in the diagnosis, treatment and prognosis of chronic pain and musculoskeletal disabilities following motor vehicle accident trauma. She examined the plaintiff on June 7, 2017, and prepared a report dated December 10, 2018. At page 12 of her report, Dr. Stewart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[F.] was both physically and psychologically vulnerable prior to the January 2013 motor vehicle accident. She had a long history of anxiety and depression with psychotic episodes and suicide attempts. She also suffered from migraine headaches, low back pain and pain in her knees and the left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Stewart opined that due to the MVC, the plaintiff had sustained soft tissue injuries to her neck, chest and back. Despite treatment, these injuries were still symptomatic in June 2017, such that Ms. F. was experiencing "pain in her neck and shoulders, headaches (including daily muscle tension headaches and an increase in the frequency of pre-existing migraines) and an increase in pre-existing low back pain" (page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Stewart noted a positive test for thoracic outlet syndrome ("TOS") on the left side and tenderness around the base of the skull, opining that this was "secondary to her neck injury in the accident and is likely due to increased muscle tension in the scalene muscle" (page 12). TOS is associated with symptoms of numbness and tingling in the arm and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Stewart gave a poor prognosis for Ms. F.'s recovery, noting at page 13 that it was "likely that Ms. [F.] will continue to experience all of her current symptoms and limitations resulting from the accident in the future". She based this opinion on the fact that she assessed the plaintiff four years after the MVC, at which time Ms. F. was still symptomatic and limited in some of the more physical aspects of her housework. Dr. Stewart states at page 13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her ongoing physical symptoms and limitations and the exacerbation of her psychological problems resulting from the accident, as well as the almost six additional years that she has been out of the workforce because of her injuries, in my opinion it is unlikely that Ms. [F.] will be able to return to the workforce in any capacity in the future because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While I found Dr. Stewart's opinion to be helpful in some respects, I place little weight on her conclusions about the plaintiff's future prognosis and employability. This is because the report was rendered 18 months after Ms. F. had been assessed by Dr. Stewart, without the benefit of the plaintiff's complete medical records, and is grounded on the erroneous assumption that Ms. F. had worked following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William Yu is an orthopaedic surgeon who testified on behalf of the defence. Dr. Yu was qualified as an expert in orthopaedic surgery and the diagnosis, assessment, treatment and prognosis of musculoskeletal disorders. He examined the plaintiff on November 20, 2013, and provided his first report dated December 4, 2013. At pages 5-6, Dr. Yu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38-year old lady was involved in a motor vehicle accident on January 27, 2013. From her description of the accident it appears to have been of significant magnitude. I believe she sustained soft tissue injury involving her neck, upper back, chest and left hand. She complained of dizziness and headaches. She also had some pain in her knees. I believe she sustained trauma to the anterior aspect of both knees but there was no significant damage to the knee joints.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Yu gave Ms. F. a favourable prognosis and opined that Ms. F. should see gradual improvement in her collision-related injuries. However, this opinion of her prognosis is unreliable as it was rendered only 10 months following the collision. In cross examination, Dr. Yu admitted that at the time of his assessment, she was still symptomatic and in the recovery phase. He agreed that recovery from soft tissue injury can take up to two years from an accident and that a certain percentage of people never recover from it. He also confirmed that a prior history of depression aggravated by the collision is a negative indicator for recovery from soft tissue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his supplemental medical legal opinion report dated March 7, 2019, Dr. Yu was asked to address the positive findings of TOS by Dr. Stewart. He noted that Ms. F. did not show any signs of TOS when he examined her in November 2013. In cross-examination Dr. Yu agreed that the absence of a positive finding of TOS did not preclude the existence of TOS as test results are variable. He stated there was no reason to doubt Dr. Stewart's finding of a positive TOS.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Psychological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claims that the collision has caused an aggravation of her pre-existing depression, anxiety, and bipolar condition. It is submitted that the severity of the collision, and the ensuing injuries, caused her otherwise stable bipolar condition to become destabilized and permanently aggravated, such that even with treatment, she will never be able to return to her baseline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defendants argue that the bipolar condition was destabilized prior to the MVC and that the plaintiff's baseline functioning was low. Alternatively, they submit that if the destabilization occurred after the MVC, it was due to non-collision related factors. They point to the plaintiff's extensive mental health history pre-dating the collision, and numerous events following the collision which they say were of causative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Alternatively, the defendants argue that even if the MVC was a contributing factor in the destabilization of the plaintiff's bipolar disorder, she was a "crumbling skull" plaintiff, and as such, their culpability is limited to putting her back in her pre-collision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begin first with the plaintiff's complex personal and medical history.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Pre-Collision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was born and raised in Mexico. She graduated high school in 1993, and obtained a degree in Public Accounting in 1998. Shortly thereafter, she started working as an auditor for an accounting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F.'s job ended in 2000, due to a suicide attempt that lead to her being committed to a mental hospital. This was the first time the plaintiff was treated for any mental health issues, although it was her third suicide attempt. The plaintiff first tried committing suicide around the age of nine, after experiencing sexual abuse. She made a second suicide attempt while in her teens.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F.'s third suicide attempt was preceded by a miscarriage. At the time, she was involved in an abusive relationship. Ms. F. was interned in the mental hospital for about one month. During this time, she was treated for depression and placed on anti-depressants. Following release, she remained on anti-depressants for a period of time. Over the ensuing years, she went off and on anti-depressants, depending on the advice of her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F. resumed working later in 2000, when she opened a retail store with her father. The business was closed down after a year, and Ms. F. returned to work as an accountant.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 met her husband in 2001, while he was vacationing in Mexico. At the time, Ms. F. was employed as an accountant for a metallurgical company. Ms. F. left her job and moved to Canada in 2002 to join Mr. F. They were married about two months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found it difficult to secure work in Canada in her chosen field. She eventually decided to broaden her job search in order to gain Canadian experience. In November 2004, the plaintiff started employment as a casual warehouse worker with Bloomstar, a company that supplied fresh cut flowers to Costco. This was her first job in Canada. The job was physically demanding and required her to lift heavy buckets of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Not long after starting her job with Bloomstar, Ms. F. was promoted to Logistics Manager. She performed this job until around November 2006, when she was promoted to Warehouse Manager. Around 2005 and 2006, during her employment with Bloomstar, the plaintiff completed a bookkeeping and payroll course at Burnaby Continuing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Around the same time that she was promoted to Warehouse Manager, Ms. F. became pregnant with A.F. She stopped working for Bloomstar a few months before giving birth due to complications in her pregnancy. Thereafter, the plaintiff was a stay-at-home mother from June 2007 until the collision in January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Before the birth of A.F., the plaintiff had eight miscarriages. These were upsetting to her, and sometimes resulted in her having auditory hallucinations where she would hear a baby crying 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was advised to discontinue anti-depressants when she was pregnant. She was placed back on them following the birth of A.F. due to concerns of post-partum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Prior to the collision, the plaintiff reported low libido, some tension with her husband, problems with her sleep, anxiety, stress, and occasional suicidal ideation. She also had depressed mood related to pre-menstrual symptoms. In February 2012, Dr. Santerre adjusted Ms. F.'s anti-depressant medication, and recommended that the plaintiff see a psychologist for "talk therapy". The plaintiff did not attend for any psychotherapy. The adjustment to her medication improved her mood.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Post Collision Condition and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 was on Paxil at the time of the collision. However, Dr. Santerre noted a worsening of the plaintiff's mood very shortly after the collision. On February 28, 2013, she "strongly encouraged [Ms. F.] to focus on relaxation and to find an outlet for her frustrations and anxieties" (page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 the physical after-effects of the motor vehicle collision continued, Ms. F. found it increasingly difficult to cope. She was in a significant amount of pain, and having difficulty sleeping. She was struggling with increased headaches, fatigue, dizziness, tinnitus, and hearing loss. Ms. F. reported experiencing an overall worsening of her memory, as well as decreased concentration and increased fatigue. Her regular routine at home was interrupted due to the numerous medical appointments and treatments. She was frustrated by her inability to keep her home clean to the standard that she was used to, and found external housekeeping help stressful. She felt that her collision-related injuries were negatively affecting her relationship with her five-and-a-half year old son, who she believed was getting frustrated with her because she could not interact with him the way he was used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Ms. F. reported her concerns to Dr. Santerre, who advised her in May 2013 to "find strategies to emotionally disconnect from the pain experiences she was having" (page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On July 2, 2013, Ms. F. reported to Dr. Santerre that she was feeling "emotionally wrecked", with feelings of being overwhelmed and frustrated at not being able to meet the needs and demands of her husband and son. To address her worsening mood and anxiety, Ms. F. was started on Wellbutrin and encouraged to use relaxation strategies.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Ms. F.'s mood continued to worsen over the ensuing weeks. She was starting to hear voices and having increasing suicidal thoughts. She began to suspect her husband of infidelity. On medical advice, Ms. F. attended at the psychiatric unit of Vancouver General Hospital ("VGH") on July 24, 2013. She was discharged after a brief evaluation, and referred to the Burnaby Mental Health &amp; Substance Use Centre (BMHSU).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F. started counseling through BMHSU on September 3, 2013. The counselling was beneficial. In October 2013, she told Dr. Santerre that her headaches were improving and she was feeling more relaxed and less anxious. Dr. Santerre reports that, "[w]ith her pains improving and with more flexibility in her schedule with her son back at school, I advised that Mrs. [F.] return to the active rehabilitation program" (page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October 2013, Ms. F. found a part-time job preparing and delivering school lunches for Lunch Lady. Ms. F. performed this job from October 2013 until June 2014 and from October 2014 until March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On March 11, 2014, Ms. F. had her last counselling treatment at BMHSU. She was discharged from the BMHSU in June 2014. She remained under the care of Dr. Santerre, who continued to make adjustments to Ms. F.'s medication to deal with her mental health and pain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Ms. F. stopped working for Lunch Lady on March 6, 2015, when the owner of the business ceased operations. Ms. F.'s mood swings continued, and became more dramatic over time. Tension with her husband and son increased. Mr. F. testified that Ms. F.'s mood swings were at their worst around 2016 and 2017. During periods of low mood, she would stay in bed for days. During periods of high mood, she would be "super mad" and yell and scream at seemingly inconsequential events. He described this time period as a "roller coaster" and a "terrible time" for their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saw Dr. Neelakant for a psychiatric assessment on February 2, 2016. In his March 28, 2016 medical legal report, Dr. Neelakant opined that Ms. F. was suffering from "bipolar affective disorder, type 2, current episode depression" which was now in partial remission, aided by medication and a previous course of counseling. He noted that Ms. F. reported having increased suicidal thoughts following the collision, and reported experiencing "rages" starting about two years prior to his assessment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This was the first time anyone had diagnosed the plaintiff with bipolar disorder. After learning of Dr. Neelakant's diagnosis of bipolar disorder, Dr. Santerre referred Ms. F. to Dr. Sternthal for psychiatric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the meantime, starting in July 2017, Ms. F. started seeing Dr. Horowitz, a psychologist, for counseling. Dr. Horowitz saw her approximately once per month. She found Dr. Horowitz's treatment helpful, but stopped attending in January of 2018 when her funding ran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F. first saw Dr. Sternthal in August 2017. She saw him regularly and was still under his care at the date of trial. Dr. Sternthal prescribed medications to treat her bipolar disorder and also did some "talk" therapy. She found some of the medications hard to tolerate.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July 2017, the plaintiff reported to Dr. Santerre that she was experiencing diarrhea episodes if she missed taking her iron tablets. Her gastrointestinal problems increased after she commenced treatment with Dr. Sternthal. Dr. O'Shaugnessy and Dr. Sternthal acknowledged that the medications prescribed by Dr. Sternthal can cause gastrointestinal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After some trial and error, various combinations of prescription medications started to improve her mood disorder. Ms. F. continues to see Dr. Sternthal for treatment. She started feeling a noticeable improvement in her mood from about three months prior to the trial.</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This court heard from two experts qualified to give opinion evidence on the diagnosis, assessment, treatment and prognosis of mood disorders. Dr. Neelakant testified on behalf of the defendants and has provided two opinion reports. The first report is dated March 28, 2016, and is based on a February 2, 2016 assessment of the plaintiff. The addendum report is based on a review of additional documents, and is dated March 21,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O'Shaugnessy testified for the plaintiff. His two opinion reports are dated December 21, 2017 and December 17, 2018. They are based on assessments conducted on December 19, 2017, and December 12, 2018,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evidence of Dr. Neelakant and Dr. O'Shaugnessy is largely consistent, with the exception of their opinions regarding Ms. F.'s baseline position and future prognosis. Where there is conflict between their opinions, I prefer Dr. O'Shaughnessy's opinion over that of Dr. Neelakant. Dr. O'Shaughnessy saw the plaintiff on two occasions and had the benefit of seeing her respond to treatment. In addition, the facts and assumptions upon which Dr. O'Shaugnessy relies were supported by the evidence at trial, whereas parts of Dr. Neelakant's opinion were based on assumptions not found in evidence. Consequently, I found Dr. O'Shaughnessy's opinion to be more medically sound and have placed greater weight on it.</w:t>
      </w:r>
      <w:r>
        <w:rPr>
          <w:rFonts w:ascii="arial" w:eastAsia="arial" w:hAnsi="arial" w:cs="arial"/>
          <w:sz w:val="20"/>
          <w:lang w:val="en-US" w:eastAsia="en-US" w:bidi="ar-SA"/>
        </w:rPr>
        <w:cr/>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Both Dr. O'Shaugnessy and Dr. Neelakant (in his March 2016 report) agree that the plaintiff suffers from bipolar type 2 disorder. In his addendum report, Dr. Neelakant stated that about 5-15% of individuals with bipolar type 2 disorder will go on to develop bipolar type 1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Both experts agree that bipolar disorder is a mental disorder which is characterized by extreme fluctuations of mood - from depression on the one hand, to mania/hypomania on the other. Common symptoms during depressive episodes are extremely low mood, suicidal ideation, low mood, and low libido. During hypomanic or manic episodes the patient has racing thoughts, greatly impaired judgment, and is quick to anger. In bipolar type 2 disorder, the plaintiff maintains touch with reality. In bipolar type 1 disorder, the patient is delusional, has a hard time figuring out what is real or false, and experiences auditory or visual hallucinations. While there is evidence that Ms. F. did suffer from some auditory hallucinations (such as hearing babies crying following her miscarriages) both experts agree that these were likely due to a normal bereavement process rather than indicative of bipolar type 1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Neelakant explained that bipolar type 1 disorder is generally considered more severe in terms of the hypomanic states, although because the depressive episodes occur more frequently in bipolar type 2 disorder, those can be more disabling.</w:t>
      </w:r>
      <w:r>
        <w:rPr>
          <w:rFonts w:ascii="arial" w:eastAsia="arial" w:hAnsi="arial" w:cs="arial"/>
          <w:sz w:val="20"/>
          <w:lang w:val="en-US" w:eastAsia="en-US" w:bidi="ar-SA"/>
        </w:rPr>
        <w:cr/>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Neelakant and Dr. O'Shaugnessy agree that Ms. F. was suffering from undiagnosed bipolar type 2 disorder at the time of the collision. The illness often begins with depressive episodes, and is not recognized as bipolar type 2 disorder until a hypomanic episode occurs. Once it is recognized as bipolar type 2 disorder, the diagnosis goes back to the first mood abnormality, which in this case is Ms. F.'s early years in Mexico when she first had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defendants point to the following to support their contention that the bipolar disorder was not destabilized by the collision: the six month delay between the collision and the first recognized hypomanic episode; the plaintiff's return to work in October 2013, evidencing her mood stability; the plaintiff's unhappy and dysfunctional marriage; changes in her medication; and her numerous pre and post-collision health concerns and family-related stressors.</w:t>
      </w:r>
      <w:r>
        <w:rPr>
          <w:rFonts w:ascii="arial" w:eastAsia="arial" w:hAnsi="arial" w:cs="arial"/>
          <w:sz w:val="20"/>
          <w:lang w:val="en-US" w:eastAsia="en-US" w:bidi="ar-SA"/>
        </w:rPr>
        <w:cr/>
      </w:r>
    </w:p>
    <w:p>
      <w:pPr>
        <w:spacing w:line="260" w:lineRule="atLeast"/>
        <w:ind w:left="1800"/>
        <w:rPr>
          <w:rFonts w:ascii="arial" w:eastAsia="arial" w:hAnsi="arial" w:cs="arial"/>
          <w:sz w:val="20"/>
          <w:lang w:val="en-US" w:eastAsia="en-US" w:bidi="ar-SA"/>
        </w:rPr>
      </w:pPr>
      <w:r>
        <w:rPr>
          <w:rFonts w:ascii="arial" w:eastAsia="arial" w:hAnsi="arial" w:cs="arial"/>
          <w:b/>
          <w:color w:val="000000"/>
          <w:sz w:val="20"/>
          <w:lang w:val="en-US" w:eastAsia="en-US" w:bidi="ar-SA"/>
        </w:rPr>
        <w:t>i. Continuity of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According to Dr. O'Shaughnessy, the bipolar disorder went into relapse following the collision, and became particularly pronounced in the summer of 2013. The first sign of destabilization occurred on July 24, 2013, when Ms. F. was advised to attend at VGH. It was his opinion that the collision was a materially contributing cause of the relapse. Dr. O'Shaugnessy identified the following factors flowing from the collision which could have destabilized the bipolar disorder: pain, impaired sleep, and disruption of function or alteration of day-to-day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Neelakant agreed in cross-examination that pain from injury, sleep disruption and interference with activities of regular living were all risk factors in destabilizing bipolar disorder. He also noted at page 4 of his first report, that "depressive cognitions can increase the perception of pain including the intensity, duration and its impact on activities of daily living".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At page 4 of his March 2016 report, Dr. Neelakant explains his diagnosis of bipolar disorder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appears to have experienced worsening of her mood symptoms and anxiety since the subject motor vehicle accident. A person with a long history of recurrent depressive episodes if they develop even a single hypomanic episode or a manic episode at any point their life, their diagnosis is reviewed to bipolar affective disorder. Both depressive and hypomanic episodes tend to be triggered by any kind of stress such as physical pain or illness and or psychological distress. Since she never had a manic episode and only meets the criteria for hypomanic episodes by history she is suffering from bipolar affective disorder, type 2. My impression is that her more recent worsening of her bipolar affective disorder is due to the stress of being in pain and the consequent impact on her activities of daily living and recreation.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Neelakant concludes that Ms. F. "had a pre-existing recurrent depressive disorder which seems to have got aggravated following the motor vehicle accident" (page 7, March 2016 report). Dr. Neelakant further opines that Ms. F.'s mood episodes were aggravated by the physical pain from her injuries, and that her memory problems and tension headaches were likely related to her mood episodes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documentary evidence, as well as the evidence of the plaintiff, Mr. F., and Dr. Santerre, support a finding that in the months leading up to her first hypomanic episode, Ms. F. was suffering from the following: pain from her collision-related injuries; sleep disruption related to her pain and injuries; and change in her normal routine necessitated by her injuries. I find that these all flowed from the collision and escalated over the ensuing months. I also find that the combination of pain, lack of sleep, and disruption in her normal routine led to a destabilization of the plaintiff's bipolar disorder. The destabilization was first observed on July 24, 2013, and was caused by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defendants argue that even if the collision caused a destabilization of the plaintiff's condition, she returned to her baseline in October 2013, when she began employment with Lunch Lady. It is submitted that any subsequent period of disability that occurred after she left that employment is attributable to non-MVC related factors. This contention is not supported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To support their position, the defendants refer to notations in Dr. Santerre's clinical records where Ms. F. reports feeling "stable". As noted earlier, Ms. F.'s self-reports must be considered in the context of her mood disorder. Indeed, Dr. Santerre's clinical records and report reveal that during the period from October 2013 to March 2015, Ms. F.'s mood was far from stable. While it is true that at times she would report she was feeling better, these reports are interspersed with numerous references to having recently experienced "another breakdown". At trial Ms. F. testified that it had only been the last several months prior to the trial that she was feeling more stable. Mr. F. aptly remarked that Ms. F. has not had "a steady path to stability", describing her current condition as "less bad days but they still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O'Shaugnessy noted that a feature of Ms. F.'s condition is mood anomalies, which can result in her mood cycling between periods of euthymia (normal mood), hypomania, and depression. While the frequency with which her moods cycle may vary over time, every time there is a relapse, the risk of further relapse increases.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Other Stressors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To support their contention that the destabilization occurred solely as a result of non-MVC factors, the defendants rely on Dr. Neelakant's statement that depressive and hypomanic episodes can be triggered by physical pain or illness or psychological distress. The defendants assert that the plaintiff has been in psychological distress due to her unhappy marriage. They allege that she is the victim of an abusive and controlling relationship and point to her medical records, which they say evidence verbal abuse, infidelity, financial control, and isolation.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O'Shaughnessy rejected the proposition that Ms. F.'s bipolar disorder was destabilized by an unhappy marriage. Dr. O'Shaugnessy opined that while long-standing marital conflicts could destabilize bipolar disorder, in the plaintiff's timeline there were no significant marriage problems until the collision. Consequently, he would put little weight on any reported marital conflict in July of 2013 because by that time she was already destabilized. Further, he opined that the depression could affect her perception of her 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Ms. F. says that the statements attributed to her in the medical records have been taken out of context, and reflect her altered sense of reality caused by her mood disorder. She admits that she commenced family law proceedings two years prior to the trial, but has not pursued the litigation, nor was Mr. F. ever served with the pleadings. Indeed he only learned of the litigation a few weeks before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 and her husband also categorically deny that Mr. F. was verbally or physically abusive. They say that any financial control exhibited by Mr. F. was only to put constraints on the plaintiff's compulsive shopping. Similarly, his frequent phone calls to the plaintiff were because he was worried about her mental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found both Mr. F. and Ms. F. credible in their denial of any infidelity, or any abusive or controlling behaviour. Their denials had an air of reality. I accept that the statements made by Ms. F. to her healthcare providers were made when she was in the throes of her bipolar disorder, and feeling a heightened sense of paranoia. In my view, the evidence does not support a finding that the bipolar disorder was destabilized due to the plaintiff's marriage. To the contrary, I find that her marriage was negatively impacted by the bipolar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defendants point to other stressors in the plaintiff's life which they say are also of causative significance. For example, prior to the collision, the plaintiff had a strained relationship with her parents; was worried about weight gain; was being screened for cancer; was experiencing emotional fluctuations due to her menses; and had mood fluctuations from some of the medications she was consuming. Post-collision, the plaintiff was worried she might have multiple sclerosis; was finding it difficult to manage her son; had hormone fluctuations related to her partial hysterectomy; was experiencing pain from her fractured ankle; and was suffering from grief following the death of a close cousin in September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O'Shaughnessy remarked that these issues are "normal things of living and don't tend to cause [destabilization]". Similarly, he was of the view that grief can lead to aggravation of depression but is not likely to cause destabilization of a bipolar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Despite all of these pre and post-collision stressors, both Dr. Neelakant and Dr. O'Shaughnessy maintain that the collision was of causative significance in destabilization of the bipolar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defendants also point to Dr. Neelakant's opinion that "[a]ntidepressant therapy without a good mood stabilizer or antipsychotic cover can trigger hypomania, mania or rapid cycling mood disorder in persons with bipolar affective disorder" (page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They refer to the plaintiff's apparent discontinuance of anti-depressants around the time of a November 2012 trip to Mexico; then what appears to be a sudden increase of dosage between April 2013 and July 2013; and the change in medication made by Dr. Santerre in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his addendum report, Dr. Neelakant acknowledges that there may have been other contributing factors such as "noncompliance with her medication, her pre-accident health worries and anxiety around family history of cancers and her husband's infidelity" which contributed to the worsening of her symptoms. However, he maintains that her injuries from the collision were causally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O'Shaughnessy opines that an increase in antidepressants by Dr. Santerre "may have contributed inadvertently to the increase in episodes of hypomanic behaviour" (December 2017 report, para. 17). However, he maintains that it was "more likely than not the effects of the accident served to destabilize her mood" noting at trial that Ms. F. was already destabilized by the time the medication was changed in 2016.</w:t>
      </w:r>
      <w:r>
        <w:rPr>
          <w:rFonts w:ascii="arial" w:eastAsia="arial" w:hAnsi="arial" w:cs="arial"/>
          <w:sz w:val="20"/>
          <w:lang w:val="en-US" w:eastAsia="en-US" w:bidi="ar-SA"/>
        </w:rPr>
        <w:cr/>
      </w:r>
    </w:p>
    <w:p>
      <w:pPr>
        <w:numPr>
          <w:numId w:val="1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Neelakant and Dr. O'Shaugnessy differ on the prognosis for the plaintiff's recovery from her bipolar disorder. Part of this is related to their opposing views of her baseline functioning prior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Neelakant believes that Ms. F.'s baseline functioning was low prior to the collision on account of her "significant health anxiety and mood related problems from before the subject accident". Dr. O'Shaugnessy believes the plaintiff had a good baseline level of functionality. He points to the fact that the plaintiff's mood in the years leading up to the collision was relatively stable, and that her depression seemed to be in remission in the period leading up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give considerable weight to Dr. O'Shaughnessy's opinion on this point as it is more consistent with the evidence. Despite her various health conditions and stressors, the plaintiff lived a full and active life. She had had a successful career prior to the birth of her child, had a stable marriage, and was regarded as a good and attentive mother. She was socially and physically active, engaged in all aspects of child rearing, took care of all the cooking and most of the cleaning and maintenance of her home. While she was not working at the time of the collision, this was a conscious decision based on the needs of her child and family, rather than one necessitated by any health concerns. In my view her baseline functioning was 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also place little weight on Dr. Neelakant's opinion that the plaintiff will not suffer a permanent disability from the destabilized bipolar disorder. He opined that she would likely recover from her mood episodes within six months of being free from physical symptoms and receiving treatment for her psychiatric condition. However, as Dr. O'Shaugnessy notes, Dr. Neelakant's prognosis was premature. Ms. F. only started treatment with mood stabilizing medications around the time of Dr. O'Shaughnessy's December 2017 assessment, in which he gave the following prognosis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this point, it is not clear the prognosis and/or whether she will ever be able to get back to the way she was before the accident, i.e. having stable moods. Unfortunately, Mood Disorders may change over time in any event and in particular they may become worse following stressful events to the point where they never return to baseline. At this point it is premature to make this determination given that she is just starting to take treatment with mood stabilizing medications. If indeed her moods cannot be stabilized, she will experience significant disruption socially, interpersonally, and vocationally as well as psychologically. </w:t>
      </w:r>
      <w:r>
        <w:rPr>
          <w:rFonts w:ascii="arial" w:eastAsia="arial" w:hAnsi="arial" w:cs="arial"/>
          <w:color w:val="000000"/>
          <w:sz w:val="20"/>
          <w:u w:val="single"/>
          <w:lang w:val="en-US" w:eastAsia="en-US" w:bidi="ar-SA"/>
        </w:rPr>
        <w:t>Unfortunately, there is a significant risk of deterioration or worsening of her Mood Disorder, especially if stability cannot be attained. Individuals who have destabilized Bipolar Disorder often exhibit significant periods of disability. Hopefully, she will respond to mood stabilizing medications, but if she fails to do so I would be very concerned regarding her capacity to function in virtually all domains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his follow-up assessment report of December 2018, Dr. O'Shaugnessy notes that Ms. F.'s medications had been adjusted a few times over the ensuing year. Ms. F. was responding well to the medications and finding a general improvement in her mood disorder, with intermittent symptoms. However, by December 2018 she had not yet stabilized and was still experiencing mood swings. Though her periods of depressed mood were less severe and less prolonged, she still had suicidal thoughts. The episodes of hypomania now occurred approximately every six months, lasting only a few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At trial, both Dr. O'Shaugnessy and Dr. Neelakant testified that they believed that Ms. F.'s condition was permanent, and that she has achieved maximum improvement of her psychological condition. They opined that she will continue to function at the current level, with periodic episodes of depression and/or hypomania. They also agreed that she is at risk for getting worse and could develop bipolar type1 disorder. Dr. Neelakant puts that risk at 5 to 15%. While there is a chance that she may improve back to "baseline" with appropriate treatment, Dr. Neelakant believes that she will remain vulnerable for future episodes of depression and hypomania.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O'Shaugnessy opines that once a person has had the first episode of hypomania leading to the diagnosis of bipolar disorder, there is a 50% chance of a further episode occurring. If the person has had three clear episodes, the risk increases to 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accept the opinion of both doctors that Ms. F. will not see any further improvement in her condition. She will continue to experience ongoing mood anomalies and require mood stabilizers, likely for her lifetime. I also accept that Ms. F. has a measurable risk that her psychological condition will worsen. I place this risk at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addition to seeking general damages for pain and suffering, Ms. F. claims for loss of opportunity, impairment of future earning capacity, cost of future care, and out-of-pocket expenses for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defendants dispute entitlement to any future earning capacity or cost of future care awards. They argue that any award for damages should be modest, on the grounds that the collision represented only a modest contributing factor to the plaintiff's overall condition, and that the plaintiff's loss is largely due to pre-existing conditions and post-collision intervening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As held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19, the defendants are not excused from liability simply because there may have been other factors that contributed to the harm suffered by the plaintiff: "It is sufficient if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w:t>
      </w:r>
      <w:r>
        <w:rPr>
          <w:rFonts w:ascii="arial" w:eastAsia="arial" w:hAnsi="arial" w:cs="arial"/>
          <w:color w:val="000000"/>
          <w:sz w:val="20"/>
          <w:u w:val="single"/>
          <w:lang w:val="en-US" w:eastAsia="en-US" w:bidi="ar-SA"/>
        </w:rPr>
        <w:t>a</w:t>
      </w:r>
      <w:r>
        <w:rPr>
          <w:rFonts w:ascii="arial" w:eastAsia="arial" w:hAnsi="arial" w:cs="arial"/>
          <w:color w:val="000000"/>
          <w:sz w:val="20"/>
          <w:lang w:val="en-US" w:eastAsia="en-US" w:bidi="ar-SA"/>
        </w:rPr>
        <w:t xml:space="preserve"> cause of the harm". This applies equally to physical and psychological injuries and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 plaintiff has established that the collision was a contributing cause to the destabilization and permanent aggravation of the plaintiff's pre-existing bipolar disorder. Consequently, the defendants' are fully liable for the resulting injury and loss, subject to any reduction in liability for the debilitating effects of pre-existing conditions and post-collision intervening events: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paras. 78 and 80;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32-36.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essential purpose of tort law is to put the plaintiff in the position that she or he would have been in had the tort not been committed: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Damages for non-pecuniary losses "are intended to compensate a plaintiff for pain, suffering, loss of enjoyment of life, and loss of amenities": </w:t>
      </w:r>
      <w:r>
        <w:rPr>
          <w:rFonts w:ascii="arial" w:eastAsia="arial" w:hAnsi="arial" w:cs="arial"/>
          <w:i/>
          <w:color w:val="000000"/>
          <w:sz w:val="20"/>
          <w:lang w:val="en-US" w:eastAsia="en-US" w:bidi="ar-SA"/>
        </w:rPr>
        <w:t>Pololos v. Cinnamon-Lopez</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2016 BCSC 81</w:t>
        </w:r>
      </w:hyperlink>
      <w:r>
        <w:rPr>
          <w:rFonts w:ascii="arial" w:eastAsia="arial" w:hAnsi="arial" w:cs="arial"/>
          <w:color w:val="000000"/>
          <w:sz w:val="20"/>
          <w:lang w:val="en-US" w:eastAsia="en-US" w:bidi="ar-SA"/>
        </w:rPr>
        <w:t xml:space="preserve"> at para. 105.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The assessment of damages is a global exercise and must be based on the effect the injuries as a whole have had or will continue to have on the plaintiff's life: </w:t>
      </w:r>
      <w:r>
        <w:rPr>
          <w:rFonts w:ascii="arial" w:eastAsia="arial" w:hAnsi="arial" w:cs="arial"/>
          <w:i/>
          <w:color w:val="000000"/>
          <w:sz w:val="20"/>
          <w:lang w:val="en-US" w:eastAsia="en-US" w:bidi="ar-SA"/>
        </w:rPr>
        <w:t>Engqvist v. Doyle</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2011 BCSC 1585</w:t>
        </w:r>
      </w:hyperlink>
      <w:r>
        <w:rPr>
          <w:rFonts w:ascii="arial" w:eastAsia="arial" w:hAnsi="arial" w:cs="arial"/>
          <w:color w:val="000000"/>
          <w:sz w:val="20"/>
          <w:lang w:val="en-US" w:eastAsia="en-US" w:bidi="ar-SA"/>
        </w:rPr>
        <w:t xml:space="preserve"> at paras. 28-29.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To ensure that the plaintiff is not left in a better position than she would otherwise have been in, the court needs to determine the plaintiff's original position and the effects of pre-existing conditions and intervening events: </w:t>
      </w:r>
      <w:r>
        <w:rPr>
          <w:rFonts w:ascii="arial" w:eastAsia="arial" w:hAnsi="arial" w:cs="arial"/>
          <w:i/>
          <w:color w:val="000000"/>
          <w:sz w:val="20"/>
          <w:lang w:val="en-US" w:eastAsia="en-US" w:bidi="ar-SA"/>
        </w:rPr>
        <w:t>Khudabux v. McClary</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2018 BCCA 234</w:t>
        </w:r>
      </w:hyperlink>
      <w:r>
        <w:rPr>
          <w:rFonts w:ascii="arial" w:eastAsia="arial" w:hAnsi="arial" w:cs="arial"/>
          <w:color w:val="000000"/>
          <w:sz w:val="20"/>
          <w:lang w:val="en-US" w:eastAsia="en-US" w:bidi="ar-SA"/>
        </w:rPr>
        <w:t xml:space="preserve"> at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The test to be applied to past and future hypothetical events is "whether there is a real and substantial possibility that the events in question would occur": </w:t>
      </w:r>
      <w:r>
        <w:rPr>
          <w:rFonts w:ascii="arial" w:eastAsia="arial" w:hAnsi="arial" w:cs="arial"/>
          <w:i/>
          <w:color w:val="000000"/>
          <w:sz w:val="20"/>
          <w:lang w:val="en-US" w:eastAsia="en-US" w:bidi="ar-SA"/>
        </w:rPr>
        <w:t>Rousta v. MacKay</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2018 BCCA 29</w:t>
        </w:r>
      </w:hyperlink>
      <w:r>
        <w:rPr>
          <w:rFonts w:ascii="arial" w:eastAsia="arial" w:hAnsi="arial" w:cs="arial"/>
          <w:color w:val="000000"/>
          <w:sz w:val="20"/>
          <w:lang w:val="en-US" w:eastAsia="en-US" w:bidi="ar-SA"/>
        </w:rPr>
        <w:t xml:space="preserve"> at paras. 14 and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One approach to assessing damages in cases where there are intervening events is for the court to do a global assessment of general damages for the plaintiff's injuries, and then reduce that amount to account for the intervening events: </w:t>
      </w:r>
      <w:r>
        <w:rPr>
          <w:rFonts w:ascii="arial" w:eastAsia="arial" w:hAnsi="arial" w:cs="arial"/>
          <w:i/>
          <w:color w:val="000000"/>
          <w:sz w:val="20"/>
          <w:lang w:val="en-US" w:eastAsia="en-US" w:bidi="ar-SA"/>
        </w:rPr>
        <w:t>Khudabux</w:t>
      </w:r>
      <w:r>
        <w:rPr>
          <w:rFonts w:ascii="arial" w:eastAsia="arial" w:hAnsi="arial" w:cs="arial"/>
          <w:color w:val="000000"/>
          <w:sz w:val="20"/>
          <w:lang w:val="en-US" w:eastAsia="en-US" w:bidi="ar-SA"/>
        </w:rPr>
        <w:t xml:space="preserve"> at para.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The award is to be fair to both parties, and fairness is measured against awards in comparable cases: </w:t>
      </w:r>
      <w:r>
        <w:rPr>
          <w:rFonts w:ascii="arial" w:eastAsia="arial" w:hAnsi="arial" w:cs="arial"/>
          <w:i/>
          <w:color w:val="000000"/>
          <w:sz w:val="20"/>
          <w:lang w:val="en-US" w:eastAsia="en-US" w:bidi="ar-SA"/>
        </w:rPr>
        <w:t>Olson v. Farran</w:t>
      </w:r>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2016 BCSC 1255</w:t>
        </w:r>
      </w:hyperlink>
      <w:r>
        <w:rPr>
          <w:rFonts w:ascii="arial" w:eastAsia="arial" w:hAnsi="arial" w:cs="arial"/>
          <w:color w:val="000000"/>
          <w:sz w:val="20"/>
          <w:lang w:val="en-US" w:eastAsia="en-US" w:bidi="ar-SA"/>
        </w:rPr>
        <w:t xml:space="preserve"> at para. 156.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However, having regard to awards in comparable cases cannot replace the court's duty to undertake an individualized assessment. Each case is to be decided on its own unique set of facts, bearing in mind that no two plaintiffs' experiences are identical: </w:t>
      </w:r>
      <w:r>
        <w:rPr>
          <w:rFonts w:ascii="arial" w:eastAsia="arial" w:hAnsi="arial" w:cs="arial"/>
          <w:i/>
          <w:color w:val="000000"/>
          <w:sz w:val="20"/>
          <w:lang w:val="en-US" w:eastAsia="en-US" w:bidi="ar-SA"/>
        </w:rPr>
        <w:t>Midgley v. Nguyen</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2013 BCSC 693</w:t>
        </w:r>
      </w:hyperlink>
      <w:r>
        <w:rPr>
          <w:rFonts w:ascii="arial" w:eastAsia="arial" w:hAnsi="arial" w:cs="arial"/>
          <w:color w:val="000000"/>
          <w:sz w:val="20"/>
          <w:lang w:val="en-US" w:eastAsia="en-US" w:bidi="ar-SA"/>
        </w:rPr>
        <w:t xml:space="preserve"> at para. 221; </w:t>
      </w:r>
      <w:r>
        <w:rPr>
          <w:rFonts w:ascii="arial" w:eastAsia="arial" w:hAnsi="arial" w:cs="arial"/>
          <w:i/>
          <w:color w:val="000000"/>
          <w:sz w:val="20"/>
          <w:lang w:val="en-US" w:eastAsia="en-US" w:bidi="ar-SA"/>
        </w:rPr>
        <w:t>Kapelus v. Hu</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2013 BCCA 86</w:t>
        </w:r>
      </w:hyperlink>
      <w:r>
        <w:rPr>
          <w:rFonts w:ascii="arial" w:eastAsia="arial" w:hAnsi="arial" w:cs="arial"/>
          <w:color w:val="000000"/>
          <w:sz w:val="20"/>
          <w:lang w:val="en-US" w:eastAsia="en-US" w:bidi="ar-SA"/>
        </w:rPr>
        <w:t xml:space="preserve">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following non-exhaustive list of factors is to be considered in assessing non-pecuniary damages: the plaintiff's age; nature of the injury; severity and duration of pain; disability; emotional suffering; loss or impairment of life; impairment of family, marital and social relationships; impairment of physical and mental abilities; loss of lifestyle; and the plaintiff's stoicism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At the time of the collision, Ms. F. was a 37-year-old married stay at home mother. She enjoyed taking care of her home and family but had plans to return to the workforce when her son reached school age. She did all the house cleaning, cooking meals, and most of the gardening. Her hobbies included cross-stitching and reading. Ms. F. enjoyed playing with her son, walking, exercising in her home gym, and hiking.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collision had a devastating impact on Ms. F.'s life, causing her to suffer: moderate to severe soft tissue injuries to her neck, shoulders, and upper back which are still symptomatic; injuries to both hands which are largely resolved; temporary aggravation of previous injury to her knees which resolved within seven months of the collision; and a permanent aggravation of her pre-existing headaches and low back pain. These physical injuries caused her to experience significant pain which was chronic. The pain affected her sleep and mobility, and impacted her day-to-day routine. As a result, Ms. F. suffered a destabilization of her pre-existing bipolar disorder, and permanent aggravation of her depression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Six-and-a-half years later, Ms. F. is still symptomatic. She continues to experience tinnitus, dizziness, tremors in her right hand, and numbness in her left hand, though these are largely resolved and do not impact her overall function. While her headaches and migraines have largely returned to their pre-collision state, Ms. F. continues to experience daily pain in her neck, shoulders and low back. This is aggravated by activities such as gardening and housecleaning. Ms. F. has a compulsion to clean which pre-dated the collision. Her inability to clean with the same frequency or to the same standard has caused her significant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addition, the various medications used to treat her bipolar disorder have caused her to suffer severe stomach upset and gastrointestinal problems. She suffers from frequent episodes of diarrhea, sometimes lasting for days. On occasion, she had to miss work due to the severity of the diarrhea. The symptoms were concerning enough to cause her to undergo a colonoscopy in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Most significantly, Ms. F. has had and continues to experience, volatile moods which range from depression leading to suicidal thoughts, to manic states where she is highly irritable and emotionally volatile. These have had a profound impact on her relationship with her husband and child. When she is depressed, she sleeps up to 16 hours a day, and has no interest in doing anything. In her hypomanic state, her daily sleep is reduced to six hours. Though she has lots of energy, her productivity is low as she has difficulty finishing her tasks. She is also less patient, and prone to bursts of anger. It is only when she is in between the cycling moods that her productivity returns to normal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Several months prior to trial, Ms. F. started noticing an improvement in her mental health. Her psychological condition seems to have started to stabilize, and her mood seems less erratic. However, even if her bipolar disorder stabilizes and goes into remission, she remains vulnerable to major episodes of depression and hypomania, and risks progressing to bipolar type 1 disorder, which is generally regarded as being more serious.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The plaintiff submits that her non-pecuniary damages should be assessed at $250,000. In support, the plaintiff relies on the following authorities: </w:t>
      </w:r>
      <w:r>
        <w:rPr>
          <w:rFonts w:ascii="arial" w:eastAsia="arial" w:hAnsi="arial" w:cs="arial"/>
          <w:i/>
          <w:color w:val="000000"/>
          <w:sz w:val="20"/>
          <w:lang w:val="en-US" w:eastAsia="en-US" w:bidi="ar-SA"/>
        </w:rPr>
        <w:t>Anssari v. Alborzpour</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2019 BCSC 512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G.P</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J.J. v. Barton</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2017 BCSC 1196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Shongu v. Jing</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2016 BCSC 901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Senner v. GE Canada Leasing Services Co.</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2017 BCSC 1939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The defendants submit that an award in the range of $50,000 to $70,000 is appropriate. They rely on the following case authorities: </w:t>
      </w:r>
      <w:r>
        <w:rPr>
          <w:rFonts w:ascii="arial" w:eastAsia="arial" w:hAnsi="arial" w:cs="arial"/>
          <w:i/>
          <w:color w:val="000000"/>
          <w:sz w:val="20"/>
          <w:lang w:val="en-US" w:eastAsia="en-US" w:bidi="ar-SA"/>
        </w:rPr>
        <w:t>Wainwright v. Llewellyn</w:t>
      </w: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2014 BCSC 177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Bhandal v. Charlebois</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2015 BCSC 2315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Siddall v. Bencherif</w:t>
      </w:r>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2016 BCSC 1662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Loft v. Nat</w:t>
      </w:r>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2013 BCSC 1568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Bearing in mind that each case has its unique set of facts, I find the case authorities relied on by the plaintiff to more closely resemble the circumstances of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Having regard to the factors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the various case authorities presented by the parties, and the evidence in this case, I find that a fair and reasonable assessment of Ms. F.'s non-pecuniary loss is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 turn now to considering whether the amount of the plaintiff's damages should be reduced to reflect whether the plaintiff's pre-existing condition or intervening events would have detrimentally affected the plaintiff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Counsel agree that the principle to be applied is set out in the case of </w:t>
      </w:r>
      <w:r>
        <w:rPr>
          <w:rFonts w:ascii="arial" w:eastAsia="arial" w:hAnsi="arial" w:cs="arial"/>
          <w:i/>
          <w:color w:val="000000"/>
          <w:sz w:val="20"/>
          <w:lang w:val="en-US" w:eastAsia="en-US" w:bidi="ar-SA"/>
        </w:rPr>
        <w:t>Zacharias v. Leys</w:t>
      </w:r>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2005 BCCA 560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The crumbling skull rule is difficult to apply when there is a chance, but not a certainty, that the plaintiff would have suffered the harm but for the defendants' conduct. Major J. addressed this issue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when he wrote, at paragraph 35, that damages should be adjusted only when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Such a risk of harm need not be proved on a balance of probabilities, which is the appropriate standard for determining </w:t>
      </w:r>
      <w:r>
        <w:rPr>
          <w:rFonts w:ascii="arial" w:eastAsia="arial" w:hAnsi="arial" w:cs="arial"/>
          <w:i/>
          <w:color w:val="000000"/>
          <w:sz w:val="20"/>
          <w:lang w:val="en-US" w:eastAsia="en-US" w:bidi="ar-SA"/>
        </w:rPr>
        <w:t>past</w:t>
      </w:r>
      <w:r>
        <w:rPr>
          <w:rFonts w:ascii="arial" w:eastAsia="arial" w:hAnsi="arial" w:cs="arial"/>
          <w:color w:val="000000"/>
          <w:sz w:val="20"/>
          <w:lang w:val="en-US" w:eastAsia="en-US" w:bidi="ar-SA"/>
        </w:rPr>
        <w:t xml:space="preserve"> events but not </w:t>
      </w:r>
      <w:r>
        <w:rPr>
          <w:rFonts w:ascii="arial" w:eastAsia="arial" w:hAnsi="arial" w:cs="arial"/>
          <w:i/>
          <w:color w:val="000000"/>
          <w:sz w:val="20"/>
          <w:lang w:val="en-US" w:eastAsia="en-US" w:bidi="ar-SA"/>
        </w:rPr>
        <w:t>future</w:t>
      </w:r>
      <w:r>
        <w:rPr>
          <w:rFonts w:ascii="arial" w:eastAsia="arial" w:hAnsi="arial" w:cs="arial"/>
          <w:color w:val="000000"/>
          <w:sz w:val="20"/>
          <w:lang w:val="en-US" w:eastAsia="en-US" w:bidi="ar-SA"/>
        </w:rPr>
        <w:t xml:space="preserve"> ones. Future or hypothetical events should simply be given weight according to the probability of their occurrence. At paragraph 27, Major J. wrote that "if there is a 30 percent chance that the plaintiff's injuries will worsen, then the damage award may be increased by 30 percent of the anticipated extra damages to reflect that risk." In the same paragraph, he went on to say that a future event should be taken into account as long as it is a "real and substantial possibility and not mere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I find that there is a real and substantial possibility that the plaintiff's pre-existing conditions and subsequent intervening events would have detrimentally affected her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evidence establishes that prior to the collision, Ms. F. was in a physically vulnerable state. She had a history of severe headaches and migraines at varying frequencies ranging from few times per month to a few times per week. In addition, she suffered from chronic intermittent low back pain and bilateral knee pain; intermittent left ankle pain; and pain from plantar fasciitis in the right foot. Subsequent to the collision, a number of intervening events occurred which negatively impacted her physical and psychological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From a psychological perspective, the plaintiff was also vulnerable. She had a long-term history of intermittent symptoms of excessive fatigue, anxiety, depression and significant suicidal ideation, and had been diagnosed with major depressive disorder with recurrent episodes. She was taking Paxil to treat her anxiety and depression. Dr. Neelakant notes that 12% of all individuals with the initial diagnosis of major depressive disorder go on to develop bipolar disorder. In addition, I note Dr. O'Shaughnessy's opinion that the risk of recurrent episodes of hypomania increases to 50% if the person has had one previous episode, and to 90% if they have had three previous episodes of major depressive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Having regard to the evidence, I find that it is appropriate to reduce the non-pecuniary damages award of $200,000 by 40% to account for the real and substantial possibility that the plaintiff's pre-existing physical and psychological conditions and subsequent intervening events would have had a detrimental impact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This yields a figure of $120,000. In light of my finding that there is a 10% risk that Ms. F.'s condition will worsen in the future, I have increased her damage award by 10%. I find the resulting figure of $132,000 to be fair and reasonable compensation for the plaintiff's non-pecuniary loss attributable to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defendants seek a reduction of the award for non-pecuniary damages by 10-20% for failure to mitigate. They submit that the plaintiff has failed to mitigate her damages by failing to:</w:t>
      </w:r>
      <w:r>
        <w:rPr>
          <w:rFonts w:ascii="arial" w:eastAsia="arial" w:hAnsi="arial" w:cs="arial"/>
          <w:sz w:val="20"/>
          <w:lang w:val="en-US" w:eastAsia="en-US" w:bidi="ar-SA"/>
        </w:rPr>
        <w:cr/>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tell Dr. Sternthal that she had been involved in a motor vehicle collision;</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take her bipolar medication on a regular basis;</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take further active rehabilitation treatment after February 2014; and</w:t>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upgrade her education or training to make herself more employable.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To establish a failure to mitigate, the defendants have the onus of proving, on a balance of probability, that (1) the plaintiff acted unreasonably in not taking the step advocated by the defendant; and (2) the plaintiff's damages would have been reduced had she taken the recommended step: </w:t>
      </w:r>
      <w:r>
        <w:rPr>
          <w:rFonts w:ascii="arial" w:eastAsia="arial" w:hAnsi="arial" w:cs="arial"/>
          <w:i/>
          <w:color w:val="000000"/>
          <w:sz w:val="20"/>
          <w:lang w:val="en-US" w:eastAsia="en-US" w:bidi="ar-SA"/>
        </w:rPr>
        <w:t>Chiu (Guardian ad litem of) v. Chiu</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 57; see also </w:t>
      </w:r>
      <w:r>
        <w:rPr>
          <w:rFonts w:ascii="arial" w:eastAsia="arial" w:hAnsi="arial" w:cs="arial"/>
          <w:i/>
          <w:color w:val="000000"/>
          <w:sz w:val="20"/>
          <w:lang w:val="en-US" w:eastAsia="en-US" w:bidi="ar-SA"/>
        </w:rPr>
        <w:t>Hawkins v. Espiloy</w:t>
      </w:r>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2014 BCSC 1804</w:t>
        </w:r>
      </w:hyperlink>
      <w:r>
        <w:rPr>
          <w:rFonts w:ascii="arial" w:eastAsia="arial" w:hAnsi="arial" w:cs="arial"/>
          <w:color w:val="000000"/>
          <w:sz w:val="20"/>
          <w:lang w:val="en-US" w:eastAsia="en-US" w:bidi="ar-SA"/>
        </w:rPr>
        <w:t xml:space="preserve"> at para. 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The test is a subjective/objective one. The court must take into account the knowledge possessed by the plaintiff when considering the advocated step: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find that the defendants have failed to establish a failure to mitigate for the following reasons:</w:t>
      </w:r>
      <w:r>
        <w:rPr>
          <w:rFonts w:ascii="arial" w:eastAsia="arial" w:hAnsi="arial" w:cs="arial"/>
          <w:sz w:val="20"/>
          <w:lang w:val="en-US" w:eastAsia="en-US" w:bidi="ar-SA"/>
        </w:rPr>
        <w:cr/>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the plaintiff did not mention her collision to Dr. Sternthal serves only to enhance her credibility, in that it is clear that her focus was to get better rather than to create a record to strengthen her case.</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I have already factored in Ms. F.'s non-compliance with medication as an intervening event when assessing the reduction to be applied to her general damages award, it would be unfair and unreasonable to account for it again under this heading.</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that Dr. Yu recommended active rehabilitation, Ms. F. was already attending her second round of active rehabilitation treatment. There is no evidence to suggest that she would have benefitted from a third round, or the extent to which her damages would have been reduced had she commenced a third round of active rehabilitation.</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have not adduced any evidence as to what educational upgrading the plaintiff requires, and to what extent such upgrading would have reduced her damages. In addition, I find that it is unreasonable to have expected her to participate in an upgrading program given the plaintiff's significant health concerns since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According to Dr. O'Shaugnessy, Ms. F. had good insight into her condition and was "taking appropriate treatment with medications as well as seeing a psychologist and psychiatrist for ongoing counselling and management" (December 17, 2017 Report, para. 20). Having regard to all of the evidence, I can find no basis upon which to reduce the plaintiff's damages award for failure to mitigate.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plaintiff seeks reimbursement for out of pocket expenses related to treatment in the amount of $7,743.66. These include the cost of therapy treatments, medication, and travel. The defendant agrees to all but $425.66 of this amount. The disputed expenses relate to travel costs for treatment with Dr. Sternthal and at BMHSU. I find that the full amount of the special damages claim is compensable. The disputed treatment was necessitated by the destabilization of the plaintiff's bipolar disorder, and its cost is properly the responsibility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 award the plaintiff special damages in the amount of $7,743.66.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Impairment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plaintiff asserts that but for the collision, she would have returned to the workforce once her son was in school full-time. However, she acknowledges that a number of variables make it difficult to quantify a past wage loss claim, and as such, does not claim for any past income loss or past loss of earning capacity. Instead, the plaintiff seeks an award for loss of future earning capacity commencing May 9, 2020 (her 45th birthday) until May 9, 2040 (her 65th birthday). The defendants say an award under this head of damages is not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In a claim for future loss of earning capacity, the plaintiff bears the onus of proving that there is a real and substantial possibility of a future event leading to an income loss: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paras. 30-32.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Pololos</w:t>
      </w:r>
      <w:r>
        <w:rPr>
          <w:rFonts w:ascii="arial" w:eastAsia="arial" w:hAnsi="arial" w:cs="arial"/>
          <w:color w:val="000000"/>
          <w:sz w:val="20"/>
          <w:lang w:val="en-US" w:eastAsia="en-US" w:bidi="ar-SA"/>
        </w:rPr>
        <w:t xml:space="preserve"> at para. 133, the court summarized the applicable principles for assessment of loss of capacity:</w:t>
      </w:r>
      <w:r>
        <w:rPr>
          <w:rFonts w:ascii="arial" w:eastAsia="arial" w:hAnsi="arial" w:cs="arial"/>
          <w:sz w:val="20"/>
          <w:lang w:val="en-US" w:eastAsia="en-US" w:bidi="ar-SA"/>
        </w:rPr>
        <w:cr/>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the extent possible, a plaintiff should be put in the position he/she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leave to appeal ref'd </w:t>
      </w:r>
      <w:hyperlink r:id="rId197" w:history="1">
        <w:r>
          <w:rPr>
            <w:rFonts w:ascii="arial" w:eastAsia="arial" w:hAnsi="arial" w:cs="arial"/>
            <w:i/>
            <w:color w:val="0077CC"/>
            <w:sz w:val="20"/>
            <w:u w:val="single"/>
            <w:shd w:val="clear" w:color="auto" w:fill="FFFFFF"/>
            <w:lang w:val="en-US" w:eastAsia="en-US" w:bidi="ar-SA"/>
          </w:rPr>
          <w:t>[2009] S.C.C.A. No. 197</w:t>
        </w:r>
      </w:hyperlink>
      <w:r>
        <w:rPr>
          <w:rFonts w:ascii="arial" w:eastAsia="arial" w:hAnsi="arial" w:cs="arial"/>
          <w:color w:val="000000"/>
          <w:sz w:val="20"/>
          <w:lang w:val="en-US" w:eastAsia="en-US" w:bidi="ar-SA"/>
        </w:rPr>
        <w:t>;</w:t>
      </w:r>
    </w:p>
    <w:p>
      <w:pPr>
        <w:numPr>
          <w:numId w:val="2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central task of the Court is to compare the likely future of the plaintiff's working life if the Accident had not occurred with the plaintiff's likely future working life after the Accident;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assessment of loss must be based on the evidence, but requires an exercise of judgment and is not a mathematical calculation;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18;</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two possible approaches to assessment of loss of future earning capacity are the "earnings approach" and the "capital asset approach";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at para. 7; and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paras. 11-12;</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either approach, the plaintiff must prove that there is a "real and substantial possibility" of various future events leading to an income loss;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33;</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earnings approach will be more appropriate when the loss is more easily measurable; </w:t>
      </w:r>
      <w:r>
        <w:rPr>
          <w:rFonts w:ascii="arial" w:eastAsia="arial" w:hAnsi="arial" w:cs="arial"/>
          <w:i/>
          <w:color w:val="000000"/>
          <w:sz w:val="20"/>
          <w:lang w:val="en-US" w:eastAsia="en-US" w:bidi="ar-SA"/>
        </w:rPr>
        <w:t>Westbroek v. Brizuela</w:t>
      </w:r>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2014 BCCA 48</w:t>
        </w:r>
      </w:hyperlink>
      <w:r>
        <w:rPr>
          <w:rFonts w:ascii="arial" w:eastAsia="arial" w:hAnsi="arial" w:cs="arial"/>
          <w:color w:val="000000"/>
          <w:sz w:val="20"/>
          <w:lang w:val="en-US" w:eastAsia="en-US" w:bidi="ar-SA"/>
        </w:rPr>
        <w:t xml:space="preserve"> at para. 64. Furthermore, while assessing an award for future loss of income is not a purely mathematical exercise, the Court should endeavour to use factual mathematical anchors as a starting foundation to quantify such loss; </w:t>
      </w:r>
      <w:r>
        <w:rPr>
          <w:rFonts w:ascii="arial" w:eastAsia="arial" w:hAnsi="arial" w:cs="arial"/>
          <w:i/>
          <w:color w:val="000000"/>
          <w:sz w:val="20"/>
          <w:lang w:val="en-US" w:eastAsia="en-US" w:bidi="ar-SA"/>
        </w:rPr>
        <w:t>Jurczak v. Mauro</w:t>
      </w:r>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2013 BCCA 507</w:t>
        </w:r>
      </w:hyperlink>
      <w:r>
        <w:rPr>
          <w:rFonts w:ascii="arial" w:eastAsia="arial" w:hAnsi="arial" w:cs="arial"/>
          <w:color w:val="000000"/>
          <w:sz w:val="20"/>
          <w:lang w:val="en-US" w:eastAsia="en-US" w:bidi="ar-SA"/>
        </w:rPr>
        <w:t xml:space="preserve"> at paras. 36-37.</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relying on an "earnings approach", the Court must nevertheless always consider the overall fairness and reasonableness of the award, taking into account all of the evidence;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As noted elsewhere, Ms. F. is an accountant by training. However, she last performed this job in 2001, some 12 years before the collision. Though she enjoyed her work as an accountant, she did not pursue it after arriving in Canada. Ms. F. did not work for the first two years of her arrival in Canada. When she did commence employment, she was very successful. She rapidly worked her way up from a casual warehouse worker job, to Logistics Manager, and then to Warehouse Manager. Her income increased accordingly, and towards the end she was earning around $45,000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C.A. was the Warehouse Manager at Bloomstar when Ms. F. first started her employment. She spoke highly of Ms. F., stating that the plaintiff was very passionate about her work, had a good work ethic, and was able to meet the physical and mental demands of the job. She trained Ms. F. to be Warehouse Manager. C.A. described Logistics Manager as being a "very high stress level job", and said that being Warehouse Manager was even more stressful. Added to that, the owner was moody and challenging to work for. Despite these challenges, Ms. F. performed her various jobs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Ms. F. worked at Bloomstar for approximately two-and-a-half years prior to the birth of her son, and left her job due to complications in her pregnancy. Following A.'s birth, the plaintiff and her husband decided that she would be a stay-at-home mom. She planned to return to work when her son entered full-time school. At the time of the collision, Ms. F. had not yet returned to work as A. was five-and-a-half years old and in kindergarten.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Subsequent to the collision, Ms. F. was in a significant amount of pain, and facing increasing challenges due to destabilization of her bipolar condition. However, she was highly motivated to return to work. Despite the fact that she was still suffering from her collision-related physical and psychological injuries, she obtained work with Lunch Lady in the fall of 2013. The part-time nature of the Lunch Lady work accommodated Ms. F.'s family responsibilities while also putting minimal stress on her body and mind. The job ended when the owner closed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Ms. F. did not work for the rest of 2015 and 2016. In May 2017, Ms. F. returned to the workforce on a part-time casual basis, this time with Real Hip Clothing. Her job included general office assistance, counting clothing, and delivering items to embroiderers or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M.C. worked with Ms. F. at Real Hip Clothing. She described Ms. F.'s job performance as "fine", saying that she had a good work attitude and seemed to be happy to be there. Part of Ms. F.'s duties required her to lift boxes weighing 5-40 pounds. M.C. noted that Ms. F. seemed to have difficulty with lifting the heavier boxes. Ms. F. would occasionally complain of back pain but did not mention to M.C. that she had been involved in a motor vehicle collision. Near the end of her job, M.C. noted that Ms. F.'s personality seemed to change. She was less communicative. Ms. F. kept turning down shifts, and eventually her job ended. There were no performance-related issues leading to the termination of 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Ms. F. testified that she enjoyed the job at Real Hip, but had to turn down a number of shifts due to her increasing gastrointestinal issues. She ultimately decided to quit in 2018 so she could focus on her health. Since that time, Ms. F. has not felt ready to return to work, nor have any of her doctors recommended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Simone Szarkiewicz is an occupational therapist retained by the plaintiff to provide a Cost of Future Care Report. The report is dated March 20, 2019. Prior to completing the report, Ms. Szarkiewicz did a home visit on February 6, 2019. She observed Ms. F. performing various activities around her home. She also interviewed Ms. F. and Mr. F. She noted that Ms. F.'s house was in immaculate condition. In her observation Ms. F. was able to perform all of the household tasks largely without restriction, though Ms. F. appeared to make limited use of her left shoulder, and reported difficulty with some tasks such as cleaning the tub and shower.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As Ms. Szarkiewicz did not perform a functional capacity evaluation, it is difficult to extrapolate her observations to any reliable findings about Ms. F.'s functional limitations. However, Ms. Szarkiewicz's observations of Ms. F.'s function were consistent with Ms. F.'s own evidence that she was able to perform most of her household duties, albeit at a slower 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defendants rely on the evidence of Sheila Branscombe, an occupational therapist, to challenge Ms. Szarkiewicz's opinion. Ms. Branscombe authored a Cost of Future Care Analysis - Response Report, dated April 19, 2019. This is essentially a critique report of Ms. Szarkiewicz's methodology. I found Ms. Branscombe's evidence unhelpful and unreliable, and have placed no weight on it. Ms. Branscombe has never met Ms. F. and did not review any of the source documents in preparing her report, which is essentially argument in the guise of opinion. In addition, her testimony lacked objectivity, and exhibited an obvious bias in favour of the defendants.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Predicting the Future - Absent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evidence supports a finding that there is a real and substantial possibility that Ms. F. will suffer future income loss due to her destabilized bipolar condition. Determining the amount of impairment to Ms. F.'s future earning capacity requires me to consider the likely future of Ms. F.'s working life if the collision had not occurred with the plaintiff's likely future working life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It is Ms. F.'s submission that but for the collision, she would have returned to the workforce shortly after the collision. She contends that she would have commenced full-time work by May 2020 as an accountant, office manager, or book-keeper. It is argued that her starting full-time salary would have been $50,000 per year, with salary increases every five years of $10,000. Ms. F. submits that absent the collision, she would have continued working until age 65, by which time she would have been earning a salary of $80,000 per annum.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defendants submit that absent the collision, Ms. F. would have remained out of the workforce, or would have worked no more than what she actually did prior to the trial. They point to the following evidence to support this contention:</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failure to upgrade her education after 2006;</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decision not to take over the Lunch Lady franchise;</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inconsistent reasons for quitting her job at Real Hip Clothing;</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lack of access to daycare;</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F.'s lack of support of the plaintiff's employment goals; and</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lack of financial motivation for the plaintiff to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fact that Ms. F. did return to work following the collision is complete answer to the defendant's contention that she would not have returned to any work absent collision. In addition, I note the following:</w:t>
      </w:r>
      <w:r>
        <w:rPr>
          <w:rFonts w:ascii="arial" w:eastAsia="arial" w:hAnsi="arial" w:cs="arial"/>
          <w:sz w:val="20"/>
          <w:lang w:val="en-US" w:eastAsia="en-US" w:bidi="ar-SA"/>
        </w:rPr>
        <w:cr/>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Ms. F.'s failure to upgrade her education after 2006 may have some bearing on determining her absent-collision income stream, it has nothing to do with whether she would have returned to full-time work.</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F.'s decision to forego operating a Lunch Lady franchise was reasonable and does not suggest a tenuous connection to the workforce. There is a significant difference between being an employee and owning and operating one's own business. The latter comes with a greater work load, significant stress and financial risk which a reasonable person may decide to forego.</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Ms. F. may not have told anyone that she quit her job at Real Hip Clothing due to health issues does not raise credibility concerns. She is entitled to her privacy. Her explanation is corroborated by the medical evidence, which shows that her gastrointestinal problems were increasing around the time that she quit her job at Real Hip Clothing.</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lack of access to daycare is not relevant given that Ms. F. is not claiming economic loss until 2020. At that point A. will be 13 years old and will not require daycare.</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accept Mr. F.'s evidence that he was supportive of Ms. F.'s employment goals to return to work full-time when A. was older.</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does not support a finding that Ms. F. lacked a financial incentive to return to work. Even if it did, this does not mean that Ms. F. would not have returned to work. Many people, work for reasons other than financial need. Ms. F. testified that she found working outside the home rewarding and enjoyable, and Mr. F. noted that while they were financially well-off, he did not dissuade her from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 conclude that there is a real and substantial possibility that absent collision, Ms. F. would have returned to the workforce part-time by the fall of 2013, when her son was in full-time school. I also find that it is likely she would have been working full-time by May 2020.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With respect to Ms. F.'s absent-collision occupation, I reject the notion that she would have returned to work as an accountant. During the approximately 11 years that she was in Canada prior to the collision, she did not make any efforts to update her qualifications so that she could work as an accountant. In my view, Ms. F.'s bookkeeping and payroll courses indicate a desire to work as a bookkeeper. She also had transferable skills as a manager. Thus, I find it likely that Ms. F. would have secured a full-time job as a bookkeeper or office manager by May 2020. These jobs are in keeping with her qualifications, work experience, and transferable skills.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In arriving at this conclusion, I am mindful of the evidence of Diana Cameron, a vocational consultant retained by the defendants. In her vocational assessment report dated March 8, 2019, Ms. Cameron states at para. 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that vocational options she could have considered include retail clerk, cashier, barista, kitchen helper, and receptionist. With refresher training, I expect she would have been a candidate for employment as a bookkeeper or payroll clerk. ... Based on Ms. [F.'s] numerous employment barriers, it is my opinion that she would have more likely secured work with earnings at the lower end of the wage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 have placed little weight on Ms. Cameron's opinion about Ms. F.'s absent-collision employment and earnings prospects for the following reasons: her assumptions about the plaintiff's job duties as Warehouse Manager and Logistics Manager are not borne by the evidence; she ignores the fact that Ms. F. worked as a Warehouse Manager and thus had skills in keeping with that role; she fails to factor in Ms. F.'s degree in accounting and work as an accountant prior to coming to Canada; and she ignores Ms. F.'s fluency in Spanish as enhancing her employment prospects.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In cross-examination, Ms. Cameron agreed that someone like the plaintiff, with a university degree in accounting who had worked as an auditor in Mexico and a manager in Canada, might have aspired to a more remunerative career than that of kitchen helper, retail clerk or barista.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employment barriers referred to by Ms. Cameron include the prolonged gap in employment prior to the collision; Ms. F.'s desire to work part-time from home; her pre-existing bipolar disorder; her other pre-collision health concerns; and her childcare responsibilities. I have addressed concerns about Ms. F.'s pre-existing bipolar disorder and her other pre-collision health concerns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Given that the plaintiff is not seeking income loss until after May 9, 2020, concerns about the gap in employment, childcare responsibilities, and the desire to work part-time until A. was older are negated. As at May 2020, the plaintiff would have had seven years to build experience, get her upgrading, and secure full-time work as a bookkeeper or office manager. I note also that by June 2020, her son would be 13 years of age and almost finished grade seven. As he would be entering high school in September 2020, the need for daycare would no longer exist. Ms. Cameron admitted in cross-examination that five years was more than a reasonable amount of time for Ms. F. to finish her upgrading and secure full-time work in bookkeeping or office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Having regard to the evidence, it is reasonable to assume that Ms. F. would have been earning $50,000 per year by May 2020. This figure is only slightly higher than what Ms. F. was making in 2006 working full time at Bloomstar as Warehouse Manager, and is within the range of median annualized income for bookkeepers ($43,680) and payroll clerks ($52,166) identified by Ms. Cameron. Ms. Cameron admitted in cross-examination that these hourly wages do not take into account overtime, performance bonuses, inflation, or promotions.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 also accept that Ms. F. would have seen an increase in her income by about $10,000 every five years. This reflects an annual increase of about four percent. Having regard to the fact that with the passage of time Ms. F. would have gained more experience and seniority at her job, and factoring in overtime, performance bonuses, promotions, and inflation, the possibility of such an increase is real and substantial.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Therefore, I find that absent the collision, and commencing on May 9, 2020, the plaintiff could have earned $50,000 per year from age 45 to 50 (2020 to 2025), $60,000 per year from age 50 to 55 (2025 to 2030), $70,000 per year from age 55 to 60 (2030 to 2035) and $80,000 per year form age 60 to 65 (2035 to 2050). These numbers form the basis for calculating the plaintiff's absent-collision income stream.</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Predicting the Future - Post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 now turn to the plaintiff's likely future working life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 accept Ms. F.'s evidence that she is yet incapable of employment. Her focus is to try to stabilize her bipolar disorder and deal with her residual pain. Once stabilized, and commencing May 9, 2020, the plaintiff believes she can handle simple, part-time work, earning perhaps $15,600 per year (calculated at 20 hours per week at $15 per hour). This rate is more than $2/hour higher than the median rate for most of the low-skill occupations identified by Ms. Cameron, and higher than the low end of the more skilled occupations of receptionist and bookkeeper. It is also higher than Ms. F.'s hourly rates at Lunch Lady ($10.60/hour) and Real Hip Clothing ($14/hour).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Ms. F.'s limited ability to work due to her bipolar disorder is supported by Dr. O'Shaugnessy, who notes that she will experience significant vocational disruption if her moods cannot be stabilized. Ms. Cameron's report also lends credence to this notion. She states at para. 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Bipolar disorder can have significant vocational implications. According to Davidson and colleagues (2015), only 24.2% of people with bipolar disorder with one hospital admission are employed. Tse and Walsh (2001) advise that amongst those with bipolar disorder, "</w:t>
      </w:r>
      <w:r>
        <w:rPr>
          <w:rFonts w:ascii="arial" w:eastAsia="arial" w:hAnsi="arial" w:cs="arial"/>
          <w:i/>
          <w:color w:val="000000"/>
          <w:sz w:val="20"/>
          <w:lang w:val="en-US" w:eastAsia="en-US" w:bidi="ar-SA"/>
        </w:rPr>
        <w:t>employment prospects do not match the high scholastic achievements seen amongst this group of people before the onset of their illness</w:t>
      </w:r>
      <w:r>
        <w:rPr>
          <w:rFonts w:ascii="arial" w:eastAsia="arial" w:hAnsi="arial" w:cs="arial"/>
          <w:color w:val="000000"/>
          <w:sz w:val="20"/>
          <w:lang w:val="en-US" w:eastAsia="en-US" w:bidi="ar-SA"/>
        </w:rPr>
        <w:t>". These authors add, "</w:t>
      </w:r>
      <w:r>
        <w:rPr>
          <w:rFonts w:ascii="arial" w:eastAsia="arial" w:hAnsi="arial" w:cs="arial"/>
          <w:i/>
          <w:color w:val="000000"/>
          <w:sz w:val="20"/>
          <w:lang w:val="en-US" w:eastAsia="en-US" w:bidi="ar-SA"/>
        </w:rPr>
        <w:t>for those with bipolar disorder, clinical recovery does not necessarily mean functional recovery</w:t>
      </w:r>
      <w:r>
        <w:rPr>
          <w:rFonts w:ascii="arial" w:eastAsia="arial" w:hAnsi="arial" w:cs="arial"/>
          <w:color w:val="000000"/>
          <w:sz w:val="20"/>
          <w:lang w:val="en-US" w:eastAsia="en-US" w:bidi="ar-SA"/>
        </w:rPr>
        <w:t>" (Tse &amp; Walsh, 2001).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In my view, given Ms. F.'s current health, the future likelihood is that commencing May 9, 2020, she will only be able to work 20 hours per week, earning $15/hour. These numbers form the basis for determining Ms. F.'s residual earning capacity.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Calculating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plaintiff submits, and I agree, that the earnings approach is the most appropriate way to measure Ms. F.'s earnings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When conducting a loss of earning capacity analysis, the court must consider both positive and negative contingencies: </w:t>
      </w:r>
      <w:r>
        <w:rPr>
          <w:rFonts w:ascii="arial" w:eastAsia="arial" w:hAnsi="arial" w:cs="arial"/>
          <w:i/>
          <w:color w:val="000000"/>
          <w:sz w:val="20"/>
          <w:lang w:val="en-US" w:eastAsia="en-US" w:bidi="ar-SA"/>
        </w:rPr>
        <w:t>Kellett v. Stam</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2018 BCSC 1127</w:t>
        </w:r>
      </w:hyperlink>
      <w:r>
        <w:rPr>
          <w:rFonts w:ascii="arial" w:eastAsia="arial" w:hAnsi="arial" w:cs="arial"/>
          <w:color w:val="000000"/>
          <w:sz w:val="20"/>
          <w:lang w:val="en-US" w:eastAsia="en-US" w:bidi="ar-SA"/>
        </w:rPr>
        <w:t xml:space="preserve"> at para. 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Douglas Hildebrand is an economist who prepared a report dated April 18, 2019. The report provides multipliers to assist the court in calculating the net present value of the plaintiff's future income loss. The actuarial multipliers provided by Mr. Hildebrand have been appropriately discounted by 1.5% per annum and are based on the normal survival risks for British Columbia females. They have not been adjusted for labour market contingencies, such as unemployment, part-time work, greater or lower-than-anticipated-earnings, possible promotions, and labour force participation. I have determined that these negative and positive contingencies will cancel each other out, and thus make no adjustment to her future income loss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Using the actuarial multipliers provided by Mr. Hildebrand, the present value of Ms. F.'s income stream, but for the collision, is $1,067,540. From this I deduct the present value of the plaintiff's projected with-collision earnings of $260,629. This results in a net income loss of $806,911.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However, for reasons outlined in the Non-Pecuniary Damages section of these reasons, I find that it is appropriate to apply a discount to the future income loss figure, to reflect the plaintiff's significant pre-existing health concerns and intervening events which place her at real risk of income loss regardless of the collision. I have also factored in the likelihood that Ms. F.'s injuries will worsen.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Using the methodology approved by the Court of Appeal in </w:t>
      </w:r>
      <w:r>
        <w:rPr>
          <w:rFonts w:ascii="arial" w:eastAsia="arial" w:hAnsi="arial" w:cs="arial"/>
          <w:i/>
          <w:color w:val="000000"/>
          <w:sz w:val="20"/>
          <w:lang w:val="en-US" w:eastAsia="en-US" w:bidi="ar-SA"/>
        </w:rPr>
        <w:t>Zacharias</w:t>
      </w:r>
      <w:r>
        <w:rPr>
          <w:rFonts w:ascii="arial" w:eastAsia="arial" w:hAnsi="arial" w:cs="arial"/>
          <w:color w:val="000000"/>
          <w:sz w:val="20"/>
          <w:lang w:val="en-US" w:eastAsia="en-US" w:bidi="ar-SA"/>
        </w:rPr>
        <w:t>, and bearing in mind that this is an assessment and not a precise mathematical calculation, I assess Ms. F.'s future loss of earning capacity at $500,000. I find that this award is fair and reasonably accounts for the loss occasioned by Ms. F. due to the defendants' tortious conduct.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A future care cost award is based on what is reasonably necessary on the medical evidence to preserve and promote the plaintiff's mental and physical health. A claim for future care is established if there is medical justification for the claim, the claim is reasonable, and the expense is likely to be incurred by the plaintiff: </w:t>
      </w:r>
      <w:r>
        <w:rPr>
          <w:rFonts w:ascii="arial" w:eastAsia="arial" w:hAnsi="arial" w:cs="arial"/>
          <w:i/>
          <w:color w:val="000000"/>
          <w:sz w:val="20"/>
          <w:lang w:val="en-US" w:eastAsia="en-US" w:bidi="ar-SA"/>
        </w:rPr>
        <w:t>Audet v. Chan</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2018 BCSC 1123</w:t>
        </w:r>
      </w:hyperlink>
      <w:r>
        <w:rPr>
          <w:rFonts w:ascii="arial" w:eastAsia="arial" w:hAnsi="arial" w:cs="arial"/>
          <w:color w:val="000000"/>
          <w:sz w:val="20"/>
          <w:lang w:val="en-US" w:eastAsia="en-US" w:bidi="ar-SA"/>
        </w:rPr>
        <w:t xml:space="preserve"> at paras. 114-115.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The quantification of damages under this head is also an "assessment and not a precise accounting": </w:t>
      </w:r>
      <w:r>
        <w:rPr>
          <w:rFonts w:ascii="arial" w:eastAsia="arial" w:hAnsi="arial" w:cs="arial"/>
          <w:i/>
          <w:color w:val="000000"/>
          <w:sz w:val="20"/>
          <w:lang w:val="en-US" w:eastAsia="en-US" w:bidi="ar-SA"/>
        </w:rPr>
        <w:t>Midgley</w:t>
      </w:r>
      <w:r>
        <w:rPr>
          <w:rFonts w:ascii="arial" w:eastAsia="arial" w:hAnsi="arial" w:cs="arial"/>
          <w:color w:val="000000"/>
          <w:sz w:val="20"/>
          <w:lang w:val="en-US" w:eastAsia="en-US" w:bidi="ar-SA"/>
        </w:rPr>
        <w:t xml:space="preserve"> at para. 337.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plaintiff seeks future care costs of $287,466.70, and relies on Ms. Szarkiewicz's report, supplemented by Ms. Cameron's recommendations, to support her claim for future care costs. The defendants deny that any award for future care is warranted, on the grounds that none of the expenses are medically justified or likely to be incurred by the plaintiff.</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Occupational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Both Ms. Szarkiewicz and Ms. Cameron have recommended the plaintiff use the services of an occupational therapist to provide modifications and compensatory interventions to deal with problems in recreation, leisure and vocational or volunteer activities. These are estimated at $1,600 to $2,200. I find that this expense is medically justified, reasonable, and likely to be incurred by the plaintiff, and award the plaintiff $2,200.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plaintiff seeks $25,200 to $36,800 to attend massage therapy for symptom management. This figure is calculated over her lifetime, averaging six to eight sessions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treatment has been recommended by Dr. Santerre and the plaintiff has found it beneficial in the past. However, based on the plaintiff's attendance over the past six years, I find that it is unlikely that she will attend at the frequency suggested by counsel. In my view, an award of $10,000 for future massage therapy treatments is appropriate.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 Psychological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Ms. F. claims future care costs for at least 12 sessions with a registered psychologist at a total cost of $1,920 to $2,400. The defendants submit that the treatment is not necessary as Ms. F. is receiving equivalent therapy through Dr. Sternthal, and that she is unlikely to attend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In cross-examination, Ms. Szarkiewicz was asked whether the counseling provided by Dr. Sternthal dealt with her recommendation for psychological intervention. She said it did not. In her experience, psychiatrists have a medication focus whereas psychologists are solely focused on "talk" therapy. This was corroborated by Dr. Sternthal, who testified that his first focus in the medical appointments with Ms. F. is to review her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Ms. F. has previously used a psychologist and found the treatment beneficial. I find that treatment with a registered psychologist is medically justified, and likely to be incurred by the plaintiff. In my view a cost allowance of $2,400 is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Ms. F. also seeks the cost of couples/family counseling at a minimum cost of $1300 to $1400 based on 10 sessions. Ms. Szarkiewicz formed the opinion that the plaintiff and her husband do not, as a couple, have a good understanding of the plaintiff's destabilized bipolar disorder and their relationship was struggling as a result. Dr. Neelakant identified a stable relationship as a good prognosticating factor for the remission of bipolar disorder. The plaintiff submits that this would also benefit A., who is 12 and having a difficult time understanding his mother's mood swings.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At trial, Mr. F. indicated a willingness to attend counselling to have a better understanding of his wife's condition, but expressed a reluctance to attend couple's therapy. I find that an allowance for family therapy is warranted, but I do not believe that Mr. F. is likely to attend more than six sessions. As such, I allow this expense in the amount of $800.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 Gym membership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Ms. Szarkiewicz recommends access to a gym until age 75. The adjusted cost of a gym membership until age 75 is calculated at $12,521.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Based on Ms. F.'s historical pattern and her stated preference to work out at home, it is unlikely that Ms. F. will attend at a gym to address her collision related pain. The request for a future care cost allowance for gym membership is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As for counsel's contention that home exercise equipment can wear out with use, no evidence was provided on the replacement cost or frequency. The reasonableness of this expense has not been proven.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5. Vocational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plaintiff seeks reimbursement for costs of a vocational assessment recommended by Ms. Szarkiewicz at a cost of $3500 to $4500. The defendant says that such an assessment has already been done by Ms. Cameron and a further expenditure is unreasonable and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vocational assessment done by Ms. Cameron was for litigation purposes, and in my view, does not replace the vocational assessment recommended by Ms. Szarkiewicz. Given the need to avoid stressful work environments, which could potentially further destabilize the bipolar disorder, I find that a vocational assessment is reasonable and medically necessary to help the plaintiff determine suitable vocational options to assist her to return to the workforce. Consequently, I find that an award of $4,000 is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 also find that Ms. F. has established the need for vocational counseling in the amount of $1,500. This is recommended at a cost of $1200 to $1800 to help the plaintiff with vocational re-entry or volunteering options. I find that Ms. F. will likely benefit from vocational counseling to re-enter the workforce in a sustainable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Finally, I find that Ms. F. will benefit from attending a 10-week Progressive Goal Attainment Program recommended by Ms. Cameron. The cost of that program is approximately $2,200, which I find is reasonable and likely to be incurred. As noted by Ms. Cameron, Ms. F. has a number of psychosocial risk factors which present obstacles to the rehabilitation process. This program is focused on activity resumption rather than pain management.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6. Medication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Ms. F. seeks costs for medications at the rate of $1,000 per year, for a total lifetime award of $40,000. Ms. F.'s current medication cost of $1,000 per year is covered by Mr. F.'s extended health plan. The evidence of Dr. Sternthal and the medical legal report of Dr. O'Shaughnessy indicate the plaintiff requires long-term medication use to manage her bipolar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Ms. Szarkiewicz said it is impossible to predict what future medication needs might be in store for the plaintiff, but it is likely her current level of medication use will continue for the rest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plaintiff concedes that Ms. F. was on anti-depressants and other medication before the collision, which costs should be deducted from any future costs award. However, no evidence was provided as to the cost of Ms. F.'s medication consumption prior to the collision. Doing the best that I can with the evidence that I have, I find that $25,000, is a reasonable and fair amount to address the collision-related medication costs that are likely to be incurred by Ms. F. This figure accounts for the medication expenses related to Ms. F.'s pre-existing condition and intervening events, as well as the possibility that her bipolar condition may deteriorate.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7. Summary of 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xml:space="preserve">  While it is appropriate to apply a discount to a future care costs award to take into consideration the plaintiff's pre-existing condition and intervening events, the amount applied may be different than what is used to discount other awards such as loss of earning capacity: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(1990), 75 OR (2d) 622</w:t>
        </w:r>
      </w:hyperlink>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[1990] CarswellOnt 2676</w:t>
        </w:r>
      </w:hyperlink>
      <w:r>
        <w:rPr>
          <w:rFonts w:ascii="arial" w:eastAsia="arial" w:hAnsi="arial" w:cs="arial"/>
          <w:color w:val="000000"/>
          <w:sz w:val="20"/>
          <w:lang w:val="en-US" w:eastAsia="en-US" w:bidi="ar-SA"/>
        </w:rPr>
        <w:t xml:space="preserve"> (O.N.C.A.) at p. 28;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 am satisfied that the same factors which warrant a reduction in Ms. F.'s loss of future earning capacity should result in some reduction in her future care costs claim. I do not, however, regard the possibility of her needing these future care services had the accident not occurred, as being as great as the possibility that she would not have been able to earn income in her chosen profession.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In my view, a 20% deduction from the award for future care costs adequately reflects these contingencies and takes into account any increase to the award warranted for the risk that her condition will worsen. As these considerations have already been applied to the medication costs, I have not applied this 20% deduction to that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Ms. F.'s total future care costs award excluding the costs of medication, is $23,100. Applying a 20% discount yields a figure of $18,480. Adding in the cost of the medication, I assess the plaintiff's total future cost of care award, including medication, at $43,480.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Housekeeping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plaintiff seeks a pecuniary award of $160,950 to $182,410 for weekly and seasonal cleaning, calculated to age 80. The claim is based on Dr. Stewart's recommendations, and Ms. Szarkiewicz's estimate of $4,350 to $4,930 per year for housekeeping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Morena v. Dhillon</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2014 BCSC 141</w:t>
        </w:r>
      </w:hyperlink>
      <w:r>
        <w:rPr>
          <w:rFonts w:ascii="arial" w:eastAsia="arial" w:hAnsi="arial" w:cs="arial"/>
          <w:color w:val="000000"/>
          <w:sz w:val="20"/>
          <w:lang w:val="en-US" w:eastAsia="en-US" w:bidi="ar-SA"/>
        </w:rPr>
        <w:t xml:space="preserve"> at paras. 169-174, the court outlined the principles related to the distinction between an award for loss of housekeeping capacity and an award for housekeeping as a cost of future care. The former is "an asset that is lost" whereas the latter is "an additional expense one will incur in the future": </w:t>
      </w:r>
      <w:r>
        <w:rPr>
          <w:rFonts w:ascii="arial" w:eastAsia="arial" w:hAnsi="arial" w:cs="arial"/>
          <w:i/>
          <w:color w:val="000000"/>
          <w:sz w:val="20"/>
          <w:lang w:val="en-US" w:eastAsia="en-US" w:bidi="ar-SA"/>
        </w:rPr>
        <w:t>Morena</w:t>
      </w:r>
      <w:r>
        <w:rPr>
          <w:rFonts w:ascii="arial" w:eastAsia="arial" w:hAnsi="arial" w:cs="arial"/>
          <w:color w:val="000000"/>
          <w:sz w:val="20"/>
          <w:lang w:val="en-US" w:eastAsia="en-US" w:bidi="ar-SA"/>
        </w:rPr>
        <w:t xml:space="preserve"> at para. 170. An award for future care costs compensates for services provided to the plaintiff; loss of housekeeping capacity is a loss to the plaintiff's own ability to do household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Loss of housekeeping capacity may be compensated by a pecuniary or non-pecuniary award. The non-pecuniary approach may be preferred where the plaintiff is limited, but not unable, to do household tasks, whereas a pecuniary award may be more appropriate where replacement services are hired or family members provide gratuitous support: </w:t>
      </w:r>
      <w:r>
        <w:rPr>
          <w:rFonts w:ascii="arial" w:eastAsia="arial" w:hAnsi="arial" w:cs="arial"/>
          <w:i/>
          <w:color w:val="000000"/>
          <w:sz w:val="20"/>
          <w:lang w:val="en-US" w:eastAsia="en-US" w:bidi="ar-SA"/>
        </w:rPr>
        <w:t>Kim v. Lin</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2018 BCCA 77</w:t>
        </w:r>
      </w:hyperlink>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Whichever approach a court takes, the award must be reasonable, that is, "tied to the actual loss of capacity which justifies the award in the first place": </w:t>
      </w:r>
      <w:r>
        <w:rPr>
          <w:rFonts w:ascii="arial" w:eastAsia="arial" w:hAnsi="arial" w:cs="arial"/>
          <w:i/>
          <w:color w:val="000000"/>
          <w:sz w:val="20"/>
          <w:lang w:val="en-US" w:eastAsia="en-US" w:bidi="ar-SA"/>
        </w:rPr>
        <w:t>Kim</w:t>
      </w:r>
      <w:r>
        <w:rPr>
          <w:rFonts w:ascii="arial" w:eastAsia="arial" w:hAnsi="arial" w:cs="arial"/>
          <w:color w:val="000000"/>
          <w:sz w:val="20"/>
          <w:lang w:val="en-US" w:eastAsia="en-US" w:bidi="ar-SA"/>
        </w:rPr>
        <w:t xml:space="preserve">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There is insufficient evidence in this case to ground a claim for future care costs related to housekeeping services. In the six-and-a-half years since the MVC, the plaintiff used a housecleaning service for only a few months. Ms. F. was not amenable to using housecleaners as they did not clean to her liking, which caused her additional stress. The plaintiff and her husband testified that she is able to complete all her household cleaning tasks, but must pace herself due to pain and fatigue. During times when she is in a depressed mood, the house duties may be delayed by a few days but according to Mr. F., the plaintiff eventually gets them done. Ms. Szarkiewicz noted that when she attended at the plaintiff's home, it was immaculately clean.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For reasons outlined elsewhere, I do not place much weight on Dr. Stewart's recommendations for a housekeeping assistance budget of 58 hours per year. I find that this is unnecessary, given Ms. F.'s demonstrated ability to clean her house, and her reluctance to rely on others for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 find that Ms. F. is limited, but not unable to, perform her household duties for reasons related to the collision, and that these restrictions in her housekeeping capacity will continue to affect her into the future. This loss is best compensated through a non-pecuniary award. Bearing in mind Ms. F.'s pre-existing condition, intervening events, and likelihood of her condition deteriorating, I find that $30,000 is a fair and reasonable sum to compensate her for this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SUMMARY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The plaintiff's damages are assessed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705"/>
        <w:gridCol w:w="470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$132,000.00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Earning Capacity Loss:</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Costs of Future Care:</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$ 43,480.00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Housekeeping Capacity:</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$ 30,000.00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Special Damages:</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$ 7,743.66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$713,223.66</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xml:space="preserve">  The plaintiff is entitled to interest in accordance with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As costs ordinarily follow the event, the plaintiff is entitled to her costs at Scale B, subject to any offers or other matters that I have not been made aware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P.K. SHERGILL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4" style="position:absolute;z-index:2517729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12" w:history="1">
        <w:r>
          <w:rPr>
            <w:rFonts w:ascii="arial" w:eastAsia="arial" w:hAnsi="arial" w:cs="arial"/>
            <w:b/>
            <w:bCs/>
            <w:i/>
            <w:color w:val="0077CC"/>
            <w:kern w:val="32"/>
            <w:sz w:val="28"/>
            <w:szCs w:val="32"/>
            <w:u w:val="single"/>
            <w:shd w:val="clear" w:color="auto" w:fill="FFFFFF"/>
            <w:lang w:val="en-US" w:eastAsia="en-US" w:bidi="ar-SA"/>
          </w:rPr>
          <w:t>Lipinski v. Mein, [2004] B.C.J. No. 2270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MacKenzie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3 - 6, March 1 and September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13 - 14,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28,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S064970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2270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1389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135 A.C.W.S. (3d) 833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Zofia Lipinski, plaintiff, and Louis Edward Mein,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5"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4" w:name="Keywords_11"/>
      <w:bookmarkEnd w:id="84"/>
      <w:r>
        <w:rPr>
          <w:rFonts w:ascii="arial" w:eastAsia="arial" w:hAnsi="arial" w:cs="arial"/>
          <w:b/>
          <w:color w:val="000000"/>
          <w:sz w:val="20"/>
          <w:lang w:val="en-US" w:eastAsia="en-US" w:bidi="ar-SA"/>
        </w:rPr>
        <w:t>Damage awards — Injury and death — Disease or illness — Acceleration or aggravation of disease — Damages — General damages — General damages for personal injury — Calculation and method of assessment, contingencies, deduction for.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5" w:name="Case Summary_11"/>
            <w:bookmarkEnd w:id="8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63-year-old plaintiff Lipinski against the defendant Mein for damages for personal injuries arising when Lipinski, a pedestrian, was struck by Mein's vehicle. Liability was admitted. Lipinski was forced to take early retirement from her employment as a food services worker because the injury to her left knee had not resolved. The parties agreed that Lipinski's past loss of income was $6,000 for three months that she could not work and that her loss of severance allowance was $5,000. Lipinski had a degenerative condition in her knees before the accident but it was not symptomatic. After the accident, she developed painful symptoms of osteoarthritis in her left knee. In addition to her knee injury, Lipinski suffered back, neck and shoulder pain, left leg and ankle pain, multiple contusions, sleep disturbance, and depression. Most of the soft tissue injuries resolved within weeks. Lipinski received physiotherapy, rehabilitation treatment and chiropractic treatments for her injuries. She lost weight and exercised as recommended by her family physician. Her decision to retire was supported by her doctor. Lipinski had moved in with her daughter because she could not afford to live on her own.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6" w:name="Holdings of Court_11"/>
            <w:bookmarkEnd w:id="86"/>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Lipinski's injury to her left knee probably accelerated her age-related disposition to osteoarthritis, causing it to develop prematurely. Lipinski proved Mein's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her osteoarthritis. Mein did not prove Lipinski failed to mitigate as she followed the medical advice given to her. Lipinski was awarded $50,000 for general damages. She was awarded $62,437 for loss of future earnings that she would have earned until her retirement, but for the accident. It was not a real possibility that Lipinski would have suffered debilitating osteoarthritis as to require early retirement. For cost of future care, Lipinski was awarded $3,000. Deductions of 10 per cent to general damages and 25 per cent to cost of future care were made to reflect the material risk that her pre-existing degeneration would have become manifest in the future without the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7" w:name="Counsel_12"/>
      <w:bookmarkEnd w:id="8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6"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 McLeod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E. Burgess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8" w:name="Judgment_12"/>
      <w:bookmarkEnd w:id="88"/>
      <w:r>
        <w:pict>
          <v:line id="_x0000_s1087" style="position:absolute;z-index:2517739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9" w:name="MacKENZIE J."/>
            <w:bookmarkEnd w:id="89"/>
            <w:r>
              <w:rPr>
                <w:rFonts w:ascii="arial" w:eastAsia="arial" w:hAnsi="arial" w:cs="arial"/>
                <w:b/>
                <w:color w:val="000000"/>
                <w:sz w:val="30"/>
                <w:lang w:val="en-US" w:eastAsia="en-US" w:bidi="ar-SA"/>
              </w:rPr>
              <w:t>MacKENZIE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Zofia Lipinski, was a pedestrian in a cross-walk on 8 June 1999 when she was struck by the defendant's car. The defendant admits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is a 63 year old former food services worker at the Royal Columbian Hospital. She had to take early retirement because the injury to her left knee has not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parties agree that as a result of the accident, the plaintiff was unable to work for three months afterward. They agree that her past wage loss is $6,000 net, and, on a finding that her knee injury forced her to retire early, that her loss of severance allowance is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It is common ground the plaintiff had a degenerative condition in her knees before the accident, but there is no evidence that it was symptomatic. After the accident, she developed painful symptoms of osteoarthritis in her left knee. The central issue is whether the motor vehicle accident caused her osteoarthritis. Did it accelerate her pre-existing but not symptomatic osteoarthritis, or would that condition have developed before she reached retirement age absent the accident. Put another way, but for the accident, would she have developed the symptoms of osteoarthritis as soon as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Resolution of the issue depends upon application of the principles in Athey v. Leonati, </w:t>
      </w:r>
      <w:hyperlink r:id="rId52"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[paragraph] 16; </w:t>
      </w:r>
      <w:hyperlink r:id="rId213" w:history="1">
        <w:r>
          <w:rPr>
            <w:rFonts w:ascii="arial" w:eastAsia="arial" w:hAnsi="arial" w:cs="arial"/>
            <w:i/>
            <w:color w:val="0077CC"/>
            <w:sz w:val="20"/>
            <w:u w:val="single"/>
            <w:shd w:val="clear" w:color="auto" w:fill="FFFFFF"/>
            <w:lang w:val="en-US" w:eastAsia="en-US" w:bidi="ar-SA"/>
          </w:rPr>
          <w:t>[1996] S.C.J. No. 102</w:t>
        </w:r>
      </w:hyperlink>
      <w:r>
        <w:rPr>
          <w:rFonts w:ascii="arial" w:eastAsia="arial" w:hAnsi="arial" w:cs="arial"/>
          <w:color w:val="000000"/>
          <w:sz w:val="20"/>
          <w:lang w:val="en-US" w:eastAsia="en-US" w:bidi="ar-SA"/>
        </w:rPr>
        <w:t>. The plaintiff submits the case involves a straightforward application of the "Thin Skull" rule, whereas the defendant says the degenerative condition in the knee would have become symptomatic osteoarthritis without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written argument accurately sets out the following background. The plaintiff was born in Belarus, in the former Soviet Union, on April 5, 1941. She received a Grade 7 education in the Soviet Union. Her parents passed away during the Second World War and she moved to Poland where she received a Grade 10 education. The plaintiff moved to Canada in 1966.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addition to raising three children, the plaintiff's work included being a seamstress in a sewing factory and a cook and waitress in a Toronto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moved to Edmonton in 1981 and worked as a Dietary Aid at the Norwood Extended Care Hospital for approximately 5 1/2 years. She and her husband were divorced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1986, the plaintiff moved to Vancouver and obtained employment at Riverview Hospital as a Dietary Aid/Food Service Worker. She worked in that capacity for approximately 1 1/2 years, and obtained similar, part-time employment at the Royal Columbian Hospital. The plaintiff began to work full-time as a Food Service Worker with Royal Columbian Hospital in September, 1987. She had been continuously employed in that capacity until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was self sufficient and lived alone in a rented apartment near the Royal Columbian Hospital. She walked seven minutes to her job each day. As a Food Service Worker, she worked 7 1/2 hour days, five days per week. Due to her experience as a cook and subsequent training and seniority, the plaintiff occasionally worked as a Short Order Cook in the hospital and occasionally worked overtime earning slightly higher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sustained the following injuries in the accident: headaches; back pain, neck pain, left leg and knee pain, left ankle pain, left shoulder pain, left elbow pain, left hip and buttock pain, multiple contusions, sleep disturbance and depression. Most of the plaintiff's soft tissue injuries resolved with weeks. Her primary injuries were to her knees. She also suffered depression as a result of the long term pain and inability to maintain her prior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day after the accident, the plaintiff attended at the medical office of Dr. Cieslak, then her general practitioner. Next day, the plaintiff returned to Dr. Sommi, who had previously been her general practitioner. He has treated her for the injuries sustained in this accident ever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From June, 1999, Dr. Sommi referred the plaintiff to a number of specialists, including Drs. Patel, Bhachu, Chancey and Locht.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was referred by Dr. Sommi for physiotherapy. She attended approximately 27 times. The plaintiff stopped physiotherapy when Dr. Bhachu advised that he did not think it would help. The plaintiff was referred to Karp Rehabilitation for an extensive assessment. She had eighteen sessions of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went to a chiropractor with her doctor's knowledge. She attended approximately 63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embarked on a personal exercise and weight loss program at the suggestion of various doctors. She attended Fitness 2000 from November 28, 2000 to February 29, 2001 and from May, 2001 to June,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has been prescribed both over-the-counter and prescription medications. Some of the medication upset her stomach and was discontinued. She continues to be prescribed medication which Dr. Sommi said will be necessary for the rest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My findings are based on an acceptance of the evidence of the plaintiff and Dr. Sommi, her family physician. Both witnesses were credible and reliable. The plaintiff impressed me as a hardworking, stoic individual who made every effort to follow the rehabilitative advice given by her doctors. She was told to return to work, to lose weight and to exercise, so that her injuries would heal.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Dr. Sommi is a very experienced family physician. He has been the plaintiff's doctor since 1991 and is very familiar with her. Any conflicts between the plaintiff's evidence, including her history or subjective complaints, and Dr. Sommi's evidence were minor, or reflected communication difficulties. The plaintiff's mother tongue is Polish and an interpreter was required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plaintiff's strength of character allowed her to continue working full-time in a physically demanding job for over three years after the accident, even while pursuing an arduous course of physiotherapy and chiropractic treatment. However, when the plaintiff reached age 62, she could not tolerate the knee pain and had to retire early from 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produced three expert reports: report of Dr. Sommi dated 23 September 2000, report of Dr. Sommi dated September 2003, and report of Dr. Bhachu, an orthopaedic surgeon, dated 16 August 1999. Dr. Sommi also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Loomer, an orthopaedic surgeon who specializes in knees, was the defendant's independent medical examiner. However, he saw the plaintiff only once, in March 2000, and his report was prepared in April 2000. Because it was written over three and a half years before trial, it is not as helpful as Dr. Sommi's reports. Dr. Loomer had little recollection of the plaintiff. More importantly, cross-examination of him provided important support for Dr. Sommi's opinion, and, consequently, 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Sommi's report of 23 September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Sommi's report of 23 September 2000 can be summarized as follows:</w:t>
      </w:r>
      <w:r>
        <w:rPr>
          <w:rFonts w:ascii="arial" w:eastAsia="arial" w:hAnsi="arial" w:cs="arial"/>
          <w:sz w:val="20"/>
          <w:lang w:val="en-US" w:eastAsia="en-US" w:bidi="ar-SA"/>
        </w:rPr>
        <w:cr/>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of September 2000, he thought the plaintiff would be able to continue at her present job, but she might always have left knee pain. He advised that this pain could be improved by losing weight, becoming more physically active and sociable, and by returning to therapy.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Sommi noted the plaintiff had attended Karp Rehabilitation, but thought she did not get by the initial assessment. (The evidence of the Karp Kinesiologist and the plaintiff's own evidence show he was mistaken. The plaintiff had in fact attended rehabilitation for the full 18 sessions).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Sommi noted the plaintiff's weight gain since the accident and confirmed his advice to attempt to lose weight. He also noted that she had become depressed, but did not prescribe her any anti-depressant medication.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Sommi confirmed the plaintiff had regular pain in her left knee. She was not able to do all her housework and still had trouble bending and lifting. However, he noted the plaintiff had days when she was capable of more.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Sommi concluded that at 59 years old, the plaintiff would be subject to arthritis as a normal aging process. However, he said trauma to a joint can accelerate this process. Dr. Sommi opined there was a possibility the plaintiff could have a permanent disability in her left knee joint. He was hopeful at that point, however, that she could continue to work for the next six years, particularly if his recommendations were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Sommi's report of 1 September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Sommi's report of September 1, 2003 can be summarized as follows: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Sommi confirmed the plaintiff was now 62 years old, an age when arthritis develops physiologically and increases with aging. Dr. Sommi opined the plaintiff's accident accelerated her arthritis in her knee.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Sommi said the plaintiff would require therapy treatment including: regular prescription anti-inflammatory drugs, losing weight and becoming more active. He noted that her only long term definitive treatment would be a knee replacement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Bhachu's report of 16 August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Bhachu's report of 16 August 1999, prepared as a consultation report to Dr. Sommi, can be summarized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Bhachu had examined the plaintiff and reviewed x-ray reports. He determined the plaintiff had sustained a contusion to the left patella femoral joint and also had underlying degenerative changes. Dr. Bhachu's only recommendation was to continue to push towards normal activity and to lose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Sommi's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Sommi's oral evidence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His comments regarding weight gain were based on visual observation;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His opinion was the plaintiff was subject to arthritis as the normal aging process. However, he believed that trauma to a joint could accelerate this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 believed that there may have been a permanent disability to the left knee joint because that injury should have improved but had not;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 found objective signs of limping, some swelling on occasion, and a little grinding when he moved the plaintiff's joint;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 agreed with the plaintiff's suggestion to retire;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 claimed that the plaintiff had not been exercising very much and remained obese. However, the reason she could not exercise was because her knees were sore;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 felt the plaintiff should go back to physiotherapy, but thought Dr. Bhachu had told her it would not do any good, so he did not pursue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Dr. Sommi said the plaintiff had been prescribed Celebrex, Macrocin, Naxim, Novahydroside, Tylenol with codeine, Vioxx, Ibuprophen and that she would have to take those forever;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 felt knee surgery was not likely to occur now but at sometime in the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Knee replacement surgery lasts about five years before subsequent operations are required;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Because Dr. Bhachu saw the plaintiff three months post-accident and she had a degenerative condition then, it was likely she had it at the time of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reason Dr. Sommi sent the plaintiff to so many specialists was that he was hoping somebody would do something to find out why she was not getting better;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Dr. Sommi testified that he expected the plaintiff's condition to worsen over time, the fact that her knees worsened after losing weight proved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When confronted with the statement of anticipated opinion to be produced by Dr. Loomer, Dr. Sommi said that his experience as a family physician was that trauma upsets the equilibrium in the joint, the status quo is disturbed and there is more reaction. This was the first time it had been suggested to him that that opinion was not correct. He said that if there was trauma, it seemed logical that any disruption of the surface inside the joint would accelerate that degeneration."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Loomer's oral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Loomer, an orthopaedic surgeon, examined the plaintiff at the behest of the defendant in March, 2000. In my view, Dr. Loomer gave evidence that supported the plaintiff's position that the accident caused or contributed to symptomatic osteoarthritis.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Loomer's testimony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 saw the plaintiff one time in March 2000, some nine months post-accident, and she was still having the after effects of quadricep wasting;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On January 27, 2004, defendant's counsel asked him about arthritis;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 had been provided with copies of consultation reports from the other orthopaedic surgeons;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Loomer was asked in direct examination by defendant's counsel,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"Does trauma contribute to the onset or progression of osteoarthritis in the absence of a bony fracture with healing out of normal alignment?"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replied,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honest answer to that is I don't know and I think it would be safe in saying that Dr. Sommi doesn't know either. - So you're asking us for our experience and opinions. I also don't know of anything in the orthopaedic medical literature that would guide us. The kind of factual study it would take to establish if osteoarthritis occurs in the absence of bony injury does not exist. So I don't know the answer to that question. My experience has been that, in the absence of bony injury, it's unlikely to occur. There certainly is a theoretical possibility that the articular cartilage is bruised at the time, and that this may lead to osteoarthritis." (p. 14, line 40 - p. 15, line 12)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Dr. Loomer did not dispute that the plaintiff now has osteoarthritis and indicated that she is at an age where some people do get osteoarthritis;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His evidence was that although he did not have any hard evidence, it was safe to assume that people are more susceptible to a knee injury if they have a problem with articular cartilage;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In reply to a question from the Court, Dr. Loomer testified that a subsequent knee injury would increase the chances of getting osteoarthritis. Although it was not an absolute fact, he admitted that there was some logic to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Dr. Loomer accepted as intuitively correct that if a person had knees that were subject to joint related problems with degeneration, a blow to those knees might cause more injury than to a young person with well developed cartilage;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In cross-examination Dr. Loomer admitted that quadricep muscles are important in keeping the knees in alignment and healthy, as they are the muscles which lift a person up from a squat;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When Dr. Loomer saw the plaintiff nine months post-accident, he observed that she had left quadracep wasting and he admitted that this was indicative of the fact that she was favouring that leg;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Even though the plaintiff was walking, going to work and using her left leg, something was causing her not to put the same amount of stress on the left leg as on the other;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He said that favouring one leg put more stress on the other leg;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Dr. Loomer volunteered that if the plaintiff did not redevelop her quadracep muscles again, that might also start some fibrillation of the articular cartilage;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Dr. Loomer agreed that one can examine a person one day and not find crepitus, and on another day find crepitus. The same occurred with swelling;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the totality of the evidence, I find the injury to the plaintiff's left knee joint probably accelerated her age-related disposition to osteoarthritis, causing it to develop prematurely. Although Dr. Sommi did not know whether the arthritis was present when the accident occurred, it was present afterward. Dr. Bhachu, an orthopaedic surgeon who examined the plaintiff three months after the accident, said she had then a degenerative condition (which precedes osteoarthritis), so it is likely she also had it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Sommi found objective signs of limping, swelling on occasion, and felt grinding when her left knee joint was moved. In addition, Dr. Loomer found an objective sign of the knee injury in the wasting of the left quadricep's muscle which indicated the plaintiff was favouring the left leg. I find it entirely logical that she did so because her left knee was so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Sommi had received consultation reports from various orthopaedic surgeons to whom he had referred the plaintiff. He used these as part of the foundation for his opinion, including his conclusion that the plaintiff's long term treatment plan would include future knee replacement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Loomer did not directly challenge Dr. Sommi's opinion. He initially said that he did not know whether trauma contributed to the onset or progression of osteoarthritis in the absence of a bony fracture with healing out of normal alignment. Dr. Loomer said his experience has been that it is unlikely absent a bony injury, but "there certainly is a theoretical possibility that the articular cartilage is bruised at the time, and that this may lead to osteoarthritis". He opined that the difference of opinion between himself and Dr. Sommi could result from the fact that while he sees more patients, Dr. Sommi follows his patients' progress for a longer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It is also significant that Dr. Loomer's examination of the plaintiff in March 2000 was only nine months post accident. It was stale in relation to the date of trial. When he examined the plaintiff, he did not know that her left knee injury did not resolve, that intolerable pain forced her to retire almost three and a half years early, or that she still suffers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Loomer also said that it was conceivable that if a blow were superimposed onto an osteoarthritic or degenerative knee, the plaintiff would be more susceptible to problems in that knee joint. He admitted it was logical that a subsequent knee injury would increase the chances of getting osteoarthritis.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Finally, I observe that Dr. Loomer accepted as intuitively correct the proposition that if a person's knees were subject to degenerative joint problems, a blow to those knees might injure the person more that it would a young person with well-developed cartilage.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It is well settled that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 In this case, I find the plaintiff has proven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her osteoarthritis. I am alive to the principle that the causation test is not to be applied too rigidly. Causation need not be determined by scientific precision, but is essentially a practical question of fact which can best be answered by ordinary common sense. As stated in Athey, at [paragraph] 16, "although the burden of proof remains with the plaintiff, in some circumstances an inference of causation may be drawn from the evidence without positive scientific proof". I draw the inference of causation from the evidence before me. It is entirely consistent with logic and common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As noted by Major J.in Athey, supra at [paragraph]17: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There will frequently be a myriad of other background events which were necessary preconditions to the injury occurring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This is true in the case before me. The plaintiff's pre-existing age-related degenerative knee condition was a necessary precondition to osteoarthritis. However, the defendant was part of the cause of this condition, so he is liable for the damages, even though his act alone was not enough to create the osteoarthritis.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Thus, the application of the law to the facts disclosed by the evidence supports the plaintiff's position that the knee injury sustained in the accident probably caused the osteoarthritis.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Adverse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For the following reasons, I have exercised my discretion not to draw the adverse inference sought by the defendant from the plaintiff's failure to call various other doctors to whom Dr. Sommi referred the plaintiff. These include Dr. Cieslak, and orthopaedic surgeons Drs. Patel, Chancey, and Locht.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First, the defendant said Dr. Cieslak, who treated the plaintiff for a year or two before the accident, would be in the best position to comment on her pre-accident health, particularly the pre-existing degenerative condition in her knees. However, an adverse inference is not appropriate in the circumstances. The plaintiff herself gave ample evidence of her pre-existing health. She had no symptoms of osteoarthritis before the accident and Dr. Sommi's records contain no record of such complaints. There is no reason to think Dr. Cieslak's records would indicate such a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Next, the defendant says the three orthopaedic surgeons ought to have been called because they all provided reports to Dr. Sommi and are mentioned in his reports. Again, there is no reason to draw an adverse inference. Those doctors only saw the plaintiff once, whereas Dr. Sommi was her treating physician. While Dr. Bhachu examined the plaintiff twice, his report was in evidence and the defendant could have required him for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Moreover, the defendant was free to obtain a much more recent medical report from Dr. Loomer, or another orthopaedic surgeon. Dr. Sommi could properly rely upon the opinions of Drs. Patel, Chancey and Locht. This reliance was a matter of the weight to be attached to Dr. Sommi's opinion. The defendant's counsel could have talked to the foregoing orthopaedic surgeons himself before trial if he so desired.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Doctors Sommi and Loomer gave ample evidence on the issue of acceleration of osteoarthritis. I have made my findings on the evidence before me, and find nothing improper about the plaintiff's decision not to call the other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 has not proven that the plaintiff failed to mitigate her damages. Indeed, I have already mentioned that she made every effort to follow the medical advice given to her. The evidence set out above regarding the plaintiff's attendance at physiotherapy appointments, at Karp Rehabilitation appointments, at chiropractic treatments, at the Fitness 2000 gym, and the plaintiff's personal exercise and weight loss program, attests to the plaintiff's commitment to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turn to the individual heads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continues to suffer significant pain and loss of enjoyment of life. She found her work fulfilling and took pride in wearing the uniform. Her work was an important aspect of her social life and a source of self-esteem. It is no longer available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lived independently and happily. She intended to do so for many years. Now, the plaintiff lives with her daughter and family because she cannot afford to keep her own apartment. The change in her living circumstances has obviously depressed her. She was tearful and sad when she described her current feelings of dependence.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was socially active before the accident. She was a member of a social club that met every Friday evening. She enjoyed dancing with this club. Since the accident, activities such as gardening, walking, camping and family activities have been curtailed by the pain in her knees. She has been unable to return to some of her activities, such as biking, boating, or much dancing.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defendant submits that non-pecuniary damages in the range of $30,000 are appropriate on a finding that the knee injury sustained in the accident did accelerate the osteoarthritis. In support of this proposition, the defendant cited the following authorities: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Moyes v. Gerber et al,  </w:t>
      </w:r>
      <w:hyperlink r:id="rId214" w:history="1">
        <w:r>
          <w:rPr>
            <w:rFonts w:ascii="arial" w:eastAsia="arial" w:hAnsi="arial" w:cs="arial"/>
            <w:i/>
            <w:color w:val="0077CC"/>
            <w:sz w:val="20"/>
            <w:u w:val="single"/>
            <w:shd w:val="clear" w:color="auto" w:fill="FFFFFF"/>
            <w:lang w:val="en-US" w:eastAsia="en-US" w:bidi="ar-SA"/>
          </w:rPr>
          <w:t>[1992] B.C.J. No. 828</w:t>
        </w:r>
      </w:hyperlink>
      <w:r>
        <w:rPr>
          <w:rFonts w:ascii="arial" w:eastAsia="arial" w:hAnsi="arial" w:cs="arial"/>
          <w:color w:val="000000"/>
          <w:sz w:val="20"/>
          <w:lang w:val="en-US" w:eastAsia="en-US" w:bidi="ar-SA"/>
        </w:rPr>
        <w:t xml:space="preserve">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Nuttall v. Thunder Bay (City), </w:t>
      </w:r>
      <w:hyperlink r:id="rId215" w:history="1">
        <w:r>
          <w:rPr>
            <w:rFonts w:ascii="arial" w:eastAsia="arial" w:hAnsi="arial" w:cs="arial"/>
            <w:i/>
            <w:color w:val="0077CC"/>
            <w:sz w:val="20"/>
            <w:u w:val="single"/>
            <w:shd w:val="clear" w:color="auto" w:fill="FFFFFF"/>
            <w:lang w:val="en-US" w:eastAsia="en-US" w:bidi="ar-SA"/>
          </w:rPr>
          <w:t>[2001] O.J. No. 545</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Hepworth v. Wesbild Holdings Ltd., </w:t>
      </w:r>
      <w:hyperlink r:id="rId216" w:history="1">
        <w:r>
          <w:rPr>
            <w:rFonts w:ascii="arial" w:eastAsia="arial" w:hAnsi="arial" w:cs="arial"/>
            <w:i/>
            <w:color w:val="0077CC"/>
            <w:sz w:val="20"/>
            <w:u w:val="single"/>
            <w:shd w:val="clear" w:color="auto" w:fill="FFFFFF"/>
            <w:lang w:val="en-US" w:eastAsia="en-US" w:bidi="ar-SA"/>
          </w:rPr>
          <w:t>[1998] B.C.J. No. 717</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Dudley v. Orca Bay Arena Corp., </w:t>
      </w:r>
      <w:hyperlink r:id="rId217" w:history="1">
        <w:r>
          <w:rPr>
            <w:rFonts w:ascii="arial" w:eastAsia="arial" w:hAnsi="arial" w:cs="arial"/>
            <w:i/>
            <w:color w:val="0077CC"/>
            <w:sz w:val="20"/>
            <w:u w:val="single"/>
            <w:shd w:val="clear" w:color="auto" w:fill="FFFFFF"/>
            <w:lang w:val="en-US" w:eastAsia="en-US" w:bidi="ar-SA"/>
          </w:rPr>
          <w:t>[2002] B.C.J. No. 1310</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Showler v. Viveiros, </w:t>
      </w:r>
      <w:hyperlink r:id="rId218" w:history="1">
        <w:r>
          <w:rPr>
            <w:rFonts w:ascii="arial" w:eastAsia="arial" w:hAnsi="arial" w:cs="arial"/>
            <w:i/>
            <w:color w:val="0077CC"/>
            <w:sz w:val="20"/>
            <w:u w:val="single"/>
            <w:shd w:val="clear" w:color="auto" w:fill="FFFFFF"/>
            <w:lang w:val="en-US" w:eastAsia="en-US" w:bidi="ar-SA"/>
          </w:rPr>
          <w:t>[2003] B.C.J. No. 1956</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Lawson v. Vu, </w:t>
      </w:r>
      <w:hyperlink r:id="rId219" w:history="1">
        <w:r>
          <w:rPr>
            <w:rFonts w:ascii="arial" w:eastAsia="arial" w:hAnsi="arial" w:cs="arial"/>
            <w:i/>
            <w:color w:val="0077CC"/>
            <w:sz w:val="20"/>
            <w:u w:val="single"/>
            <w:shd w:val="clear" w:color="auto" w:fill="FFFFFF"/>
            <w:lang w:val="en-US" w:eastAsia="en-US" w:bidi="ar-SA"/>
          </w:rPr>
          <w:t>[2000] B.C.J. No. 230</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on the other hand, submits that a range of $40,000 to $60,000 is appropriate. In support of this proposition, the plaintiff cites the following authorities: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Hickey (Guardian ad litem of) v. Canada Safeway Ltd., </w:t>
      </w:r>
      <w:hyperlink r:id="rId220" w:history="1">
        <w:r>
          <w:rPr>
            <w:rFonts w:ascii="arial" w:eastAsia="arial" w:hAnsi="arial" w:cs="arial"/>
            <w:i/>
            <w:color w:val="0077CC"/>
            <w:sz w:val="20"/>
            <w:u w:val="single"/>
            <w:shd w:val="clear" w:color="auto" w:fill="FFFFFF"/>
            <w:lang w:val="en-US" w:eastAsia="en-US" w:bidi="ar-SA"/>
          </w:rPr>
          <w:t>[1998] B.C.J. No. 777</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Fillion (Guardian ad litem of) v. Balko, </w:t>
      </w:r>
      <w:hyperlink r:id="rId221" w:history="1">
        <w:r>
          <w:rPr>
            <w:rFonts w:ascii="arial" w:eastAsia="arial" w:hAnsi="arial" w:cs="arial"/>
            <w:i/>
            <w:color w:val="0077CC"/>
            <w:sz w:val="20"/>
            <w:u w:val="single"/>
            <w:shd w:val="clear" w:color="auto" w:fill="FFFFFF"/>
            <w:lang w:val="en-US" w:eastAsia="en-US" w:bidi="ar-SA"/>
          </w:rPr>
          <w:t>[2003] B.C.J. No. 621</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Jansen v. British Columbia Transit, </w:t>
      </w:r>
      <w:hyperlink r:id="rId222" w:history="1">
        <w:r>
          <w:rPr>
            <w:rFonts w:ascii="arial" w:eastAsia="arial" w:hAnsi="arial" w:cs="arial"/>
            <w:i/>
            <w:color w:val="0077CC"/>
            <w:sz w:val="20"/>
            <w:u w:val="single"/>
            <w:shd w:val="clear" w:color="auto" w:fill="FFFFFF"/>
            <w:lang w:val="en-US" w:eastAsia="en-US" w:bidi="ar-SA"/>
          </w:rPr>
          <w:t>[2004] B.C.J. No. 1115</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Showler v. Viveiros, </w:t>
      </w:r>
      <w:hyperlink r:id="rId223" w:history="1">
        <w:r>
          <w:rPr>
            <w:rFonts w:ascii="arial" w:eastAsia="arial" w:hAnsi="arial" w:cs="arial"/>
            <w:i/>
            <w:color w:val="0077CC"/>
            <w:sz w:val="20"/>
            <w:u w:val="single"/>
            <w:shd w:val="clear" w:color="auto" w:fill="FFFFFF"/>
            <w:lang w:val="en-US" w:eastAsia="en-US" w:bidi="ar-SA"/>
          </w:rPr>
          <w:t>[2003] B.C.J. No. 1945</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Having considered all the cases, I have concluded that $50,000 is the appropriate award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Pension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make no award for loss of pension benefits. The plaintiff conceded it was unlikely she would have worked as a cook rather than as a Food Services Worker in the absence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Opportunity to earn Future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evidence establishes that had the accident not occurred, the plaintiff would have worked until April, 2006 when she turned 65. The accident accelerated her pre-existing degenerative condition, so her injuries and pain were more severe than they would otherwise have been, and brought about her early retirement. Absent the motor vehicle accident, I find the pre-existing condition would not have prevented her working until she reached the age of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plaintiff's claim is based upon the calculations of Mr. Hildebrand, an economist who gave expert opinion evidence on loss of earnings and benefits. Due to changes in the health care industry, the plaintiff concedes that it is unlikely she would have worked as a cook from the date of her early retirement in 30 December 2002 until she turned 65 in April 2006. Accordingly, I will consider only the "present day" value of the amount the plaintiff would have earned as a Food Service Worker, absent the accident, from the date of her early retirement until she turned 65. Based on the plaintiff's hourly earnings of $18.47, Mr. Hildebrand calculated the present day value of her loss of future earnings to be $72,437.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defendant submits that the evidence of Hilda Lau, the manager of Food and Nutrition Services at the Royal Columbian Hospital, regarding significant cost-cutting measures by the government, casts doubt upon whether the plaintiff's position would still have been available to her. The defendant says the plaintiff's job may be contracted out and that Bill 37 - 2004, which reduced health employee compensation, casts further doubt on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find the defendant is asking me to speculate about what might or not occur in the Food Services department of the hospital. I decline to do so, and will therefore not decrease her loss of future income by the suggested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defendant also argues, on the evidence of Mr. Hildebrand, that the plaintiff's loss of future earnings should be reduced by approximately $11,000 because she obtained her pension earlier will draw it longer and made fewer contributions to it from her salary. As a result, the present value of the plaintiff's pension is greater now than it would have been without the accident. While Mr Hildebrand did add that the plaintiff may have lost other benefits which offset that anomaly, the plaintiff is entitled to keep her medical and dental coverage during her retirement, and no other loss of benefits were suggested. I therefore accede to the defendant's suggestion and reduce the plaintiff's loss of future earnings award by $10,000 to $62,437.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filed supporting material for special damages of $3,928.21. This includes the following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5"/>
        <w:gridCol w:w="1778"/>
        <w:gridCol w:w="1150"/>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Physiotherapy treatments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270.00</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1882"/>
        <w:gridCol w:w="1150"/>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Chiropractic treatments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692.00</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2405"/>
        <w:gridCol w:w="1150"/>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Gym membership</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356.28</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2614"/>
        <w:gridCol w:w="1150"/>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Knee brace</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144.00</w:t>
            </w:r>
          </w:p>
        </w:tc>
        <w:tc>
          <w:tcPr>
            <w:tcW w:w="215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Medications</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109.25</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Travel Costs</w:t>
            </w:r>
          </w:p>
        </w:tc>
        <w:tc>
          <w:tcPr>
            <w:tcW w:w="47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$ 2,356.69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Of these expenses, the defendant takes issue with the chiropractic treatments and the related travel costs. He submits that Dr. Sommi referred the plaintiff to physiotherapy, but instead, she chose chiropractic treatments on the advice of her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allow the chiropractic treatment fees because they improved the plaintiff's condition and made her more comfortable. Although Dr. Sommi had recommended a return to physiotherapy, Dr. Bhachu told her it would not help. The plaintiff found it did not provide relief. Therefore, she chose to try chiropractic and it helped her. Dr. Sommi supported her decision. There is no evidence the driving hindered her recovery, or interfered with other activities. However, the plaintiff could have chosen a chiropractor closer to home, rather than travel all the way to Maple Ridge. I therefore reduce her mileage expense from $1,320.48 to $100.00 for chiropractic treatment. This reduces her travel costs to $1,136.21.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also allow the knee brace expense of $144.00. The plaintiff obtained the first of two braces from a friend. It had not been suggested by a doctor, but she was motivated to try it for improved mobility. The second brace was suggested by Dr. Chancey as reflected in Dr. Sommi's clinical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Sommi said the plaintiff's condition will likely worsen, and she will always need various medications, both prescriptive and non-prescriptive. Dr. Sommi also thought knee replacement surgery was a real possibility in the future, but noted that such an operation normally has to be redone every five years. He recommended the plaintiff attend a gym and stay active.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submits she will likely need further therapy and medication for the next twenty years, so reasonable award for future care would be in the range of $5,000 to $10,000. She submits this sum would be a reasonable contribution to medication, chiropractic care, physiotherapy treatments, rehabilitation associated with a future knee replacement surgery, and a yearly gym membership.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find the evidence on the cost of future care to be vague. The plaintiff's extended health benefits cover her prescribed medication, and I understand she pays user fees only for chiropractic treatment and physiotherapy. The gym membership is modest and reasonable, although I understand the plaintiff's main form of exercise now is walking with a friend. I also accept she will require some over-the-counter medication which is not covered by her insurance. An award of $3,000 is proper for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Contingency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defendant urges for a reduction of 50% to the non-pecuniary damages award to account for a measurable risk that the plaintiff's degenerative changes would have become symptomatic without the accident. The evidence does not satisfy me that the plaintiff's degenerative changes would have become symptomatic without the accident in the period between the accident and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assessment of future losses takes into consideration a real and substantial possibility of the occurrence of a certain event, and not mere speculation: Athey, supra, at [paragraph]27. On the evidence, I do not consider it a real possibility that the plaintiff would have suffered debilitating osteoarthritis before age 65 such as to require early retirement. That date was only just over three years from the date of her early retirement.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However, there is a real and substantial possibility the plaintiff would have become symptomatic and experienced osteoarthritic pain at some point after her scheduled retirement at 65. Non-pecuniary damages are intended to compensate the plaintiff for losses suffered up to trial, and those she will suffer in the future. The part of the non-pecuniary damages award that reflects future pain and suffering is to be reduced in proportion to the risk that the pre-existing condition would have become manifest and affected the plaintiff. I therefore make a deduction of 10% to the plaintiff's non-pecuniary damage award to reflect the material risk that her pre-existing degeneration would have become manifest in the future without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cost of future care will be reduced somewhat more, as those costs reflect future needs only. I apply a 25% reduction to that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summary, the plaintiff's award of damages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5"/>
        <w:gridCol w:w="3857"/>
        <w:gridCol w:w="240"/>
        <w:gridCol w:w="3545"/>
        <w:gridCol w:w="218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$50,000 less 10% reduction</w:t>
            </w:r>
          </w:p>
        </w:tc>
        <w:tc>
          <w:tcPr>
            <w:tcW w:w="20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34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$ 45,000.00</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2196"/>
        <w:gridCol w:w="1359"/>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Income Loss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6,000.00</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496"/>
        <w:gridCol w:w="428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Income</w:t>
            </w:r>
          </w:p>
        </w:tc>
        <w:tc>
          <w:tcPr>
            <w:tcW w:w="419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$ 62,437.00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915"/>
        <w:gridCol w:w="1359"/>
        <w:gridCol w:w="1359"/>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Severance Allowance</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5,000.00</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2196"/>
        <w:gridCol w:w="1359"/>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2,708.01</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59"/>
        <w:gridCol w:w="419"/>
        <w:gridCol w:w="2196"/>
        <w:gridCol w:w="1359"/>
        <w:gridCol w:w="219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$3,000 less 25% reduction</w:t>
            </w:r>
          </w:p>
        </w:tc>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2,250.00</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533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52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$123,395.01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addition, the plaintiff is entitled to court order interest on the loss of severance allowance and the awards for non-pecuniary damages and 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parties may speak to costs if they are unable to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MacKENZIE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8" style="position:absolute;z-index:2518241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Neff v. Patry, [2005] B.C.J. No. 2390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McCallum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27,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97/3819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2390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1549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Barry Neff, plaintiff, and Linda Patry, also known as Linda Kelso, Terry Diane Anderson, also known as Terry Diane Laming,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9"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0" w:name="Keywords_12"/>
      <w:bookmarkEnd w:id="90"/>
      <w:r>
        <w:rPr>
          <w:rFonts w:ascii="arial" w:eastAsia="arial" w:hAnsi="arial" w:cs="arial"/>
          <w:b/>
          <w:color w:val="000000"/>
          <w:sz w:val="20"/>
          <w:lang w:val="en-US" w:eastAsia="en-US" w:bidi="ar-SA"/>
        </w:rPr>
        <w:t>Civil procedure — Pleadings — Striking out pleadings or allegations — Application by Patry to strike the remaining allegations in Statement of Claim for the third time on the basis that it was bound to fail because of the limitation issue dismissed.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1" w:name="Case Summary_12"/>
            <w:bookmarkEnd w:id="9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Patry, the defendant, to strike the Statement of Claim for the third time on the basis that it was bound to fail because of the limitation issue -- The first application was dismissed, the second application resulted in part of the claim being struck, and the third application requested that the remaining allegations of malicious prosecution be struck -- HELD: Application dismissed -- The defendant could not succeed in the application to strike out the claim of malicious prosecution as it was plead originally within the limitation period -- It could not be said with certainty that the claims other than malicious prosecution would be dismissed because of the limitation issue given the circumstances of the amendments -- The court should not dismiss claims on a summary application except in the clearest of cases, which this was not, when it was plain and obvious that the claim could not possibly succeed.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2" w:name="Legislation Cited_8"/>
      <w:bookmarkEnd w:id="9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0"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19(24), Rule 19(24) (a), Rule 19 (24)(b), Rule 19 (24)(c), Rule 24(1)(a), Rule 24(1)(b), Rule 24(2), Rule 24(3)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s. 4(4)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3" w:name="Counsel_13"/>
      <w:bookmarkEnd w:id="9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1" style="position:absolute;z-index:2517749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James A.S. Legh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Linda Patry: Donald A. Farquhar,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4" w:name="Judgment_13"/>
      <w:bookmarkEnd w:id="94"/>
      <w:r>
        <w:pict>
          <v:line id="_x0000_s1092" style="position:absolute;z-index:2518251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5" w:name="McCALLUM J."/>
            <w:bookmarkEnd w:id="95"/>
            <w:r>
              <w:rPr>
                <w:rFonts w:ascii="arial" w:eastAsia="arial" w:hAnsi="arial" w:cs="arial"/>
                <w:b/>
                <w:color w:val="000000"/>
                <w:sz w:val="30"/>
                <w:lang w:val="en-US" w:eastAsia="en-US" w:bidi="ar-SA"/>
              </w:rPr>
              <w:t>McCALLUM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Barrie Neff (the "plaintiff") and Linda Patry (the "defendant") met many years ago in circumstances that are more fully described in my reasons of October 4, 2002 and Master Keighley's reasons of September 16, 2004 in this proceeding. Both sets of reasons followed applications by the defendant to strike out the Statement of Claim. Neither application was completely successful although the pleading of defamation was struck in 2004. These reasons follow the defendant's third application to strike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October 2002 the defendant applied to strike alleging that the various claims of the plaintiff were bound to fail because of the limitation issue. In September 2004 the application appears to have been directed at the defamation pleadings that were struck out in the result. This application is to strike out the balance of the claim on the basis that it is bound to fail because of the limitation issue. The plaintiff says the application has been dealt with by the court on the earlier occasions and therefore the issues are res judicata.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first application in October 2002 was dismissed, in part, because the limitation defence had not been made out in the pleadings. In his reasons of October 14, 2004 Master Keighley noted that the plaintiff had raised the res judicata issue. He found that the defendant had introduced new evidence and plead the limitation issue and went on to dismiss the defamation allegations because the pleading did not set out the precise words complained of. He also held that the defamation pleadings were, in any event, statute barred by virtue of the Limitation Act. Although the application apparently referred to the entire Statement of Claim, there is no reference in the decision of October 14, 2004 to any of the allegations other than those relating to defamation. The other allegations were not dealt with and it appears that the doctrine of res judicata does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defendant says that the action is one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based upon the allegations contained in the original Statement of Claim. The defendant says the subsequent amendments to the Statement of Claim raise new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different grounds that are clearly out of time. The Statement of Claim was filed on September 26, 1997. It was first amended on September 21, 1998 and further amended on July 31, 2002. There was a later amendment of February 5, 2005 to reflect an agreement made following the order of September 14,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first amendments were apparently made pursuant to the provisions of Rule 24(1)(a) allowing a party to amend once without leave before delivery of a notice of trial. The amending document does not comply with Rule 24(2) or (3) as the document filed on September 21, 1998 is not a copy of the original. It is, rather, a new document that does not indicate, on the face of the document, the deletions that were made in the original. The amending document does show the additions that were made through the mechanism of underlining.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second amendment was accomplished by a filing on July 31, 2002. The document of July 31, 2002 indicates that the amendments were made pursuant to the provisions of Rule 24(1)(b). Rule 24(1)(b) allows parties to amend at any time with the written consent of all parties and the defendant took no objection when counsel for the plaintiff made that observation in the hearing before me. The document filed July 21, 2002, as with the first amendment, does not comply with Rule 24(2) or (3) but given that it went by consent that cannot be an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those circumstances, the defendant's position is an interesting one. If the defendant had not consented to the amendments the plaintiff would have been required to seek leave to amend or be left to prosecute his action on the original allegations, as amended in 1998. It seems highly unlikely the court would have allowed the plaintiff to amend as set out in the July 31, 2002 document, in the face of opposition, because it is impossible to say what actual amendments are sought given the form of the amending document. For reasons not clearly discernible now, the defendant consented to the amendment in the present form and chose instead to argue that the allegations should not stand because of the limitation issues. The defendant's consent to the amendment was made on the condition that the defendant was free to argue this issue following the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motion for disposition asks for an order that paragraph 17 of the Statement of Claim "insofar as it pertains to allegations of intentional infliction of mental suffering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 struck". The motion seeks, as alternative relief, "an order that the claim, insofar as it pertains to causes of action which are barred due to the expiry of the applicable statutory limitation period, be dismissed". In both instances, the defendant relies upon Rule 19(24) as authority for the relief sought. Applications under Rule 19(24)(a) are decided on the assumption that the allegations in the Statement of Claim are true and evidence is not admissible on the application (Morriss v. British Columbia, </w:t>
      </w:r>
      <w:hyperlink r:id="rId231" w:history="1">
        <w:r>
          <w:rPr>
            <w:rFonts w:ascii="arial" w:eastAsia="arial" w:hAnsi="arial" w:cs="arial"/>
            <w:i/>
            <w:color w:val="0077CC"/>
            <w:sz w:val="20"/>
            <w:u w:val="single"/>
            <w:shd w:val="clear" w:color="auto" w:fill="FFFFFF"/>
            <w:lang w:val="en-US" w:eastAsia="en-US" w:bidi="ar-SA"/>
          </w:rPr>
          <w:t>[2001] B.C.J. No. 975</w:t>
        </w:r>
      </w:hyperlink>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2001 BCCA 344</w:t>
        </w:r>
      </w:hyperlink>
      <w:r>
        <w:rPr>
          <w:rFonts w:ascii="arial" w:eastAsia="arial" w:hAnsi="arial" w:cs="arial"/>
          <w:color w:val="000000"/>
          <w:sz w:val="20"/>
          <w:lang w:val="en-US" w:eastAsia="en-US" w:bidi="ar-SA"/>
        </w:rPr>
        <w:t>). Applications under Rule 19 (24)(b) and (c) may be decided on the basis of affidavit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Paragraph 17 of the Further Amended Statement of Claim reads as follows:</w:t>
      </w:r>
      <w:r>
        <w:rPr>
          <w:rFonts w:ascii="arial" w:eastAsia="arial" w:hAnsi="arial" w:cs="arial"/>
          <w:sz w:val="20"/>
          <w:lang w:val="en-US" w:eastAsia="en-US" w:bidi="ar-SA"/>
        </w:rPr>
        <w:cr/>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above misconduct of the Defendants, which constitutes malicious prosecution, intentional infliction of mental suffering,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abuse of process has caused damages to the Plaintiff, the specifics of which include:</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 to reputation</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profession</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past and future career opportunity</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past and future earning capacity</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anxiety, mental distress and loss of enjoyment of the amenities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defendant's argument on the motion was framed primarily in the alternative relief that certain of the plaintiff's claims were barred due to the expiry of limitation periods and should therefore be dismissed. The defendant says that various of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intentional infliction of mental suffering, abuse of process and malicious prosecution were brought by or changed by way of the amendments to the Statement of Claim over the years. The Statement of Claim reveals that the events in question occurred between 1992 and September 25, 1995. I digress here to note that there seems little doubt that the reference to September 25, 1995 in paragraph 13 of the Further Amended Statement of Claim is an error. The reference should be to September 30, 1995. The original statement of claim was filed on September 26,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defendant says the impugned allegations now made in the Statement of Claim arose after the filing in September 1997. The test on this application is to determine whether they disclose a reasonable cause of action, are scandalous, frivolous or vexatious or are otherwise an abuse of the process of the court. The court can take into account the issue of the limitation period in making that determination. Actions commenced out of time have been dismissed pursuant to Rule 19(24) on the basis that they are unsustainable because the appropriate limitation period has expired (Kuntz v. McGraw </w:t>
      </w:r>
      <w:hyperlink r:id="rId232" w:history="1">
        <w:r>
          <w:rPr>
            <w:rFonts w:ascii="arial" w:eastAsia="arial" w:hAnsi="arial" w:cs="arial"/>
            <w:i/>
            <w:color w:val="0077CC"/>
            <w:sz w:val="20"/>
            <w:u w:val="single"/>
            <w:shd w:val="clear" w:color="auto" w:fill="FFFFFF"/>
            <w:lang w:val="en-US" w:eastAsia="en-US" w:bidi="ar-SA"/>
          </w:rPr>
          <w:t>[1997] B.C.J. No. 1063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As matters stand now the allegations in the Statement of Claim, and in particular, paragraph 17, disclose causes of action. The law of tort permits claims for malicious prosecution, intentional infliction of mental suffering, abuse of process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defendant says the claims are bound to fail because of they were first plead after the appropriate limitation period had run.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That cannot be the case with the claim for malicious prosecution that was first plead in the original statement of claim. Indeed, a close reading of the original statement of claim discloses that the only fully plead claim against the defendant was for malicious prosecution. The first amendment, on September 21, 1998 added, in amended paragraph 12,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abuse of process and infringement of the Plaintiff's rights under the Canadian Charter of Rights and Freedoms. There is no mention in the first amended statement of claim of the pleading of intentional infliction of mental suffering that arose for the first time in the second amendment of July 31,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plaintiff says the essential elements of all of the present claims were plead in the original statement of claim and that the limitation issue can only be determined at trial when all of the evidence is available. The plaintiff also says that s. 4(4) of the Limitation Act permits the court to allow amendments which disclose fresh causes of action which might have become barred by the lapse of time between the issue of the writ and the amendment. In this case, the defendant consented to the amendment in 2002, albeit without prejudice to her right to move to strike the claim. The plaintiff says some of the causes of action (abuse of process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causing damages other than injury to person or property) are governed by a six-year limitation period and must stand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 cannot succeed in the application to strike out the claim of malicious prosecution. It was plead originally within the limitation period and will go to trial. The facts giving rise to that claim are the same facts that support the other claims. Had the defendant not consented to the amendments the plaintiff may well have succeeded in an application to amend and plead the other causes of action even assuming they were statute barred. It cannot be said with certainty that the claims other than malicious prosecution will be dismissed because of the limitation issue given the circumstances of the amendments. The court should not dismiss claims on a summary application except in the clearest of cases when it is plain and obvious that the claim cannot possibly succeed. This is not that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should have the opportunity to prosecute his claims as disclosed in the Further Amended Statement of Claim. The defendant has plead the limitation defence and will have the opportunity at trial to argue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defendant's application is dismissed. Costs of the application will go as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McCALLUM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3"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33"/>
          <w:headerReference w:type="default" r:id="rId234"/>
          <w:footerReference w:type="even" r:id="rId235"/>
          <w:footerReference w:type="default" r:id="rId236"/>
          <w:headerReference w:type="first" r:id="rId237"/>
          <w:footerReference w:type="first" r:id="rId2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39" w:history="1">
        <w:r>
          <w:rPr>
            <w:rFonts w:ascii="arial" w:eastAsia="arial" w:hAnsi="arial" w:cs="arial"/>
            <w:b/>
            <w:bCs/>
            <w:i/>
            <w:color w:val="0077CC"/>
            <w:kern w:val="32"/>
            <w:sz w:val="28"/>
            <w:szCs w:val="32"/>
            <w:u w:val="single"/>
            <w:shd w:val="clear" w:color="auto" w:fill="FFFFFF"/>
            <w:lang w:val="en-US" w:eastAsia="en-US" w:bidi="ar-SA"/>
          </w:rPr>
          <w:t>Pearse v. Canpar Transport Ltd., [2002] B.C.J. No. 1504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Lander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28,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27,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Nanaimo Registry No. S24961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1504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964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115 A.C.W.S. (3d) 1080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Diana Pearse, plaintiff, and Canpar Transport Ltd., Van-Kam Freightways Ltd. and Joe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4"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6" w:name="Keywords_13"/>
      <w:bookmarkEnd w:id="96"/>
      <w:r>
        <w:rPr>
          <w:rFonts w:ascii="arial" w:eastAsia="arial" w:hAnsi="arial" w:cs="arial"/>
          <w:b/>
          <w:color w:val="000000"/>
          <w:sz w:val="20"/>
          <w:lang w:val="en-US" w:eastAsia="en-US" w:bidi="ar-SA"/>
        </w:rPr>
        <w:t xml:space="preserve">Practice — Trials — Simplified procedure actions, fast track litigation, etc. — Summary trials, when available — 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Requirement that duty be owed to plaintiff.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7" w:name="Case Summary_13"/>
            <w:bookmarkEnd w:id="9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Canpar Transport, for summary trial and dismissal of action. The plaintiff, Pearse, was an employee of Human Resources Development Canada (HRDC) whose job responsibilities included carrying the mail to the mail area located on the main floor on a daily basis. She usually carried a couple boxes of mail making it impossible for her to look straight down. She fell and fractured her ankle on her way to the mail area. She had caught her foot in a pallet located near the elevator. Her claims against the Federal Government departments were statute barred. An HRDC employee had directed Canpar's employee to leave the delivery near the elevator. Pearse tripped and fell over the pallet about three hours after its delivery. Canpar alleged that the injury resulted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HRDC and Pearse's failure to keep a proper lookout as to where she was walking.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8" w:name="Holdings of Court_12"/>
            <w:bookmarkEnd w:id="98"/>
            <w:r>
              <w:rPr>
                <w:rFonts w:ascii="arial" w:eastAsia="arial" w:hAnsi="arial" w:cs="arial"/>
                <w:color w:val="000000"/>
                <w:sz w:val="20"/>
                <w:lang w:val="en-US" w:eastAsia="en-US" w:bidi="ar-SA"/>
              </w:rPr>
              <w:t>HELD: Application allowed and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shipment was placed in a hazardous position. Canpar's employee was told by the HRDC employee to place the shipment in a particular place and he did so, therefore he could not be liable. Canpar's employee was under the direction of the HRDC employee. It would not have been prudent for Canpar's employee to presume to overrule the directions he received. HRDC, the occupier, was 50 per cent at fault for the Pearse's injuries. Pearse was negligent in the manner in which she carried the mail and that it obstructed her ability to watch where she was walking. She was 50 per cent at fault for her injuries.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9" w:name="Legislation Cited_9"/>
      <w:bookmarkEnd w:id="9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5"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0" w:name="Counsel_14"/>
      <w:bookmarkEnd w:id="10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6" style="position:absolute;z-index:2517760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J.R. Jordan, for the plaintiff. G.C. Yeung,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1" w:name="Judgment_14"/>
      <w:bookmarkEnd w:id="101"/>
      <w:r>
        <w:pict>
          <v:line id="_x0000_s1097" style="position:absolute;z-index:25182617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2" w:name="LANDER J."/>
            <w:bookmarkEnd w:id="102"/>
            <w:r>
              <w:rPr>
                <w:rFonts w:ascii="arial" w:eastAsia="arial" w:hAnsi="arial" w:cs="arial"/>
                <w:b/>
                <w:color w:val="000000"/>
                <w:sz w:val="30"/>
                <w:lang w:val="en-US" w:eastAsia="en-US" w:bidi="ar-SA"/>
              </w:rPr>
              <w:t>LANDER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Van-Kam Freightways Ltd. brought an 18A application for summary trial and seeks that the plaintiff's claim be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March 2, 1999, the plaintiff Diana Pearse was an employee of the Corporate Services department of the Human Resources Development Canada which has an office building situate on Front Street, in the City of Nanaimo,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that date the plaintiff was on a "short-term contract." She was designated as a claims preparation clerk. Part of her job was filing and adding the records of employment and registering same. Also part of her work routine was to fold the mail and take it to the main floor to be, as she states, "sent out." In her affidavit of the 15 March 2002, she deposes as follows:</w:t>
      </w:r>
      <w:r>
        <w:rPr>
          <w:rFonts w:ascii="arial" w:eastAsia="arial" w:hAnsi="arial" w:cs="arial"/>
          <w:sz w:val="20"/>
          <w:lang w:val="en-US" w:eastAsia="en-US" w:bidi="ar-SA"/>
        </w:rPr>
        <w:cr/>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worked Monday to Friday and I would take the mail down everyday and walk through the area of the accident.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had never been a pallet left directly adjacent to the elevator prior to this time.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attached hereto and marked Exhibit "A" to this my Affidavit are true photographs of the area of where I fell, the elevator and the loading bay. I took them. They accurately depict where I fell, except for the pallet.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My route to deliver the mail to the main floor to be sent out was to go down the elevator, come out of the elevator, cross to the door and go thru the door.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mail was carried in envelope boxes. That is what I was told to do. Larger courier envelopes were to be stacked on top. There usually so much mail its easier to carry it in the boxes.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carrying two boxes of envelopes and six courier envelopes above it.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envelope boxes are 8 1/2 x 11 and about 4 inches high.</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had six courier envelopes on top of that, they were about one to two inches thick.</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holding them at chest level. They did not obstruct my vision of where I was going, only the floor four or five feet in front of me. If I looked straight down I would have to drop the mail.</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common to carry that much. This is typical of the mail that I would take downstairs and what I was informed to do in my job duties. I was not given a trolley or a bag.</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time did anyone ever suggest to me when I was carrying that amount of mail that I ought not to. I picked up the mail in a common area and many people saw me. In going to the main floor, down the elevator, I would leave the elevator and cross the hallway to the other door shown in the photographs.</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had no reason to anticipate or suspect that there would be anything whatsoever on the floor between the elevator and the door. There never had been. The pallets were always in the loading bay.</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had taken only two or three steps out of the elevator towards the door and I fell when I caught my left foot in the pallet, and I fell forward onto my right side. My shoe went under it and stuck. I don't know shy it was my left foot.</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fall I fractured my left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Before dealing with the substantive issues presented in this matter, an explanation should be forthcoming as to why the only defendant in this summary trial is Van-Kam Frieghtways.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a matter before Mr. Justice Bauman, Diana Pearse v. Canpar Transport Ltd., Van-Kam Freightways Ltd., John Doe, Human Resources Development Canada and Public Works and Government Services Canada and The Attorney General of Canada, </w:t>
      </w:r>
      <w:hyperlink r:id="rId240" w:history="1">
        <w:r>
          <w:rPr>
            <w:rFonts w:ascii="arial" w:eastAsia="arial" w:hAnsi="arial" w:cs="arial"/>
            <w:i/>
            <w:color w:val="0077CC"/>
            <w:sz w:val="20"/>
            <w:u w:val="single"/>
            <w:shd w:val="clear" w:color="auto" w:fill="FFFFFF"/>
            <w:lang w:val="en-US" w:eastAsia="en-US" w:bidi="ar-SA"/>
          </w:rPr>
          <w:t>[2001] B.C.J. No. 886</w:t>
        </w:r>
      </w:hyperlink>
      <w:r>
        <w:rPr>
          <w:rFonts w:ascii="arial" w:eastAsia="arial" w:hAnsi="arial" w:cs="arial"/>
          <w:color w:val="000000"/>
          <w:sz w:val="20"/>
          <w:lang w:val="en-US" w:eastAsia="en-US" w:bidi="ar-SA"/>
        </w:rPr>
        <w:t>, he determined that the actions against the Federal Government departments were statute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pallet over which the plaintiff tumbled and broke her ankle was placed in a location immediately next to the elevator upon the direction of Todd Taylor, who, in his affidavit, describes himself as a stores person employed by the Corporate Services department of Human Resources Development Canada. In his affidavit sworn the 22 February 2002, Mr. Taylor deposes as follows:</w:t>
      </w:r>
      <w:r>
        <w:rPr>
          <w:rFonts w:ascii="arial" w:eastAsia="arial" w:hAnsi="arial" w:cs="arial"/>
          <w:sz w:val="20"/>
          <w:lang w:val="en-US" w:eastAsia="en-US" w:bidi="ar-SA"/>
        </w:rPr>
        <w:cr/>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been employed as a stores person for the Corporate Services department of the HRDC for approximately six years. I work at the HRDC building located at 60 Front Street, Nanaimo, British Columbia (the "Premises").</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One of my job responsibilities includes receiving deliveries to the Premises.</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loading bay located on the main level of the Premises (the "Loading Bay"). Attached as Exhibit "A" is a diagram which reflects the approximate layout of the Loading Bay on or about March 22, 1999. Labelled, in blue ink, is the location of an exit door, a door leading to offices, an elevator and a freight door.</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advised by a waybill (the "Waybill") that at some time between 11:15 am and 11:28 am on March 2, 1999, I signed for a shipment of 33 boxes (the "Shipment") delivered to the Premises by a person from Van Kam Freightways Ltd. (the 'Delivery Person'). Attached as Exhibit "B" is a copy of the Waybill. Located on the supper right hand corner of Exhibit "B", and highlighted in yellow, is my signature.</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at March 2, 1999, the Loading Bay could accommodate only three pallets. Two pallets could be stored in the area next to the freight door and one pallet could be stored in the area by the elevator.</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March 2, 1999, there were already two pallets being stored in the area near the freight door. </w:t>
      </w:r>
      <w:r>
        <w:rPr>
          <w:rFonts w:ascii="arial" w:eastAsia="arial" w:hAnsi="arial" w:cs="arial"/>
          <w:color w:val="000000"/>
          <w:sz w:val="20"/>
          <w:u w:val="single"/>
          <w:lang w:val="en-US" w:eastAsia="en-US" w:bidi="ar-SA"/>
        </w:rPr>
        <w:t>Accordingly, I directed the Delivery Person to the area of the Loading Bay by the elevators and asked that he place the Shipment down at that location. He followed my instructions and placed the Shipment down exactly where I had asked it to be placed</w:t>
      </w:r>
      <w:r>
        <w:rPr>
          <w:rFonts w:ascii="arial" w:eastAsia="arial" w:hAnsi="arial" w:cs="arial"/>
          <w:color w:val="000000"/>
          <w:sz w:val="20"/>
          <w:lang w:val="en-US" w:eastAsia="en-US" w:bidi="ar-SA"/>
        </w:rPr>
        <w:t>. The Shipment, as placed, did not obstruct access to or from the elevators. Marked on Exhibit "A", with a red "x" mark, is the approximate location of where the Shipment was set down, per my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(underlining mine)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Delivery Person set down the Shipment, I signed the Waybill.</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Shipment consisted of multiple layers of boxes holding paper products. The Shipment was wrapped in clear cellophane stretch wrap and was loaded on a wooden pallet (the "Pallet"). It was my responsibility to clear the Shipment and place the paper products in a storage room one floor below the Loading Bay. Due to my other job responsibilities, I did not start clearing the Shipment until approximately 1:00 pm on March 2, 1999.</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delivery, the height of the Shipment was approximately four feet. Over the course of the day, I was clearing the Shipment layer by layer. Sometime in the afternoon of March 2, 1999, I was advised by my manager that someone had tripped on the Pallet. At the time of the Plaintiff's fall, the Shipment had been cleared down to a height of approximately two to three feet.</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dimensions of the Shipment, at the time of the Plaintiff's fall, was approximately four feet in length on all four sides and approximately two to three feet in height. The colour of the boxes in the Shipment was brown. The floor of the Loading Bay is a light, sandstone colour. In my view, the Shipment was clearly visible at the time of the Plaintiff's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plan referred to by Mr. Todd in paragraph 7 (supra), the red "x" is immediately to the right of the exit door of the elevator. Unfortunately there are no dimensions as to the distances from the elevator door to the hallway that is to the right of the elevator and shown on the plan marked Exhibit "A". There are photographs in evidence attached to the affidavit of Diana Pearse deposed on the 15th day of March 2002. From those photographs one can ascertain that the distance from the elevator door to the hallway is not great and to place the pallet having the dimensions described by Mr. Taylor, I find to be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find that placing the pallet in that location created a foreseeable risk of harm particularly to a person exiting the elevator. Can Van-Kam be liable to the plaintiff from following the occupier's and agent's instructions as to the placement of the pallet notwithstanding that the pallet was placed negligently?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Robert Howell Burden, the driver for Van-Kam, in an affidavit sworn the 25th of February 2002 deposes as follows:</w:t>
      </w:r>
      <w:r>
        <w:rPr>
          <w:rFonts w:ascii="arial" w:eastAsia="arial" w:hAnsi="arial" w:cs="arial"/>
          <w:sz w:val="20"/>
          <w:lang w:val="en-US" w:eastAsia="en-US" w:bidi="ar-SA"/>
        </w:rPr>
        <w:cr/>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22, 1999, I made a delivery of 33 boxes of paper products (the "Shipment") to 60 Front Street, in Nanaimo, British Columbia (the "Premises"). The Shipment was wrapped in clear cellophane stretch wrap and loaded on a wooden pallet (the "Pallet").</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approximately 11:15 am on March 22, 1999, I arrived at the Premises. Upon arrival, I had indicated the time on a waybill (the "Waybill"). I then went inside the Premises to find the building receiver (the "Receiver") and have him sign for the Shipment. I located the Receiver, unloaded the Shipment from my truck and set down the Shipment where the Receiver instructed me to place it. I then had the Receiver sign the Waybill to acknowledge receipt of the Shipment. When I got back into my truck, I noted the departure time on the Waybill. I departed from the Premises at about 11:28 am. Attached as Exhibit "A' is a copy of the Waybill.</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dimensions of the Pallet were approximately 40 inches by 48 inches.</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Shipment was approximately three feet in height when I left it at the Premises.</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assumed that the Shipment would be put away shortly after the Receiver had accepted delivery of it.</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would not leave a delivery at a location if in doing so I considered it a hazard to the general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Burden, on discovery stated that he did not leave the pallet by the elevator.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94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113</w:t>
            </w:r>
          </w:p>
        </w:tc>
        <w:tc>
          <w:tcPr>
            <w:tcW w:w="921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And who chose the location where you were to leave them?</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receiver.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94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114</w:t>
            </w:r>
          </w:p>
        </w:tc>
        <w:tc>
          <w:tcPr>
            <w:tcW w:w="921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that location near the elevator?</w:t>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it wasn't.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94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116</w:t>
            </w:r>
          </w:p>
        </w:tc>
        <w:tc>
          <w:tcPr>
            <w:tcW w:w="921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How close to the elevator?</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Approximately 30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94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129</w:t>
            </w:r>
          </w:p>
        </w:tc>
        <w:tc>
          <w:tcPr>
            <w:tcW w:w="921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you make deliveries, do you generally try to ensure that you do not leave any delivery where it would be a hazard to someone?</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94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130</w:t>
            </w:r>
          </w:p>
        </w:tc>
        <w:tc>
          <w:tcPr>
            <w:tcW w:w="921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you left the delivery on March 2nd, 1999 in the place that you were told to leave it, did you consider it may present a hazard to anyone?</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I assume that he is going to unload it once he takes delivery of the goods.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94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140</w:t>
            </w:r>
          </w:p>
        </w:tc>
        <w:tc>
          <w:tcPr>
            <w:tcW w:w="921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this particular day do you say that you brought the pallet up this aisleway shown here?</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About in this, in here into the elevator, down one floor and there's another area that's downstairs that has glass doors in front of it, right, and that's where the pallet was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From the evidence of Mr. Burden there is, at least in his mind, a conflict between Mr. Taylor and himself as to where this pallet was actually placed. However, when Ms. Pearse tripped over it, it was by the elevator and I find as a fact that that is where Mr. Taylor directed that it be 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evidence reveals that Ms. Pearse tripped and fell over the pallet at about 2:25 p.m. on March 2nd, 1999, approximately three hours after Mr. Burden delivered it to the premises of Human Resources Development Canada. The defence takes the position that the injury to Ms. Pearse occurred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 employee of HRDC and that of Ms. Pearse in failing to keep a proper lookout as to where she was walking.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This court may make a finding of "fault" against the party who is statute barred from being found liable; see Horvace v. Thring </w:t>
      </w:r>
      <w:hyperlink r:id="rId241" w:history="1">
        <w:r>
          <w:rPr>
            <w:rFonts w:ascii="arial" w:eastAsia="arial" w:hAnsi="arial" w:cs="arial"/>
            <w:i/>
            <w:color w:val="0077CC"/>
            <w:sz w:val="20"/>
            <w:u w:val="single"/>
            <w:shd w:val="clear" w:color="auto" w:fill="FFFFFF"/>
            <w:lang w:val="en-US" w:eastAsia="en-US" w:bidi="ar-SA"/>
          </w:rPr>
          <w:t>(2001), 93 B.C.L.R. (3d) 51</w:t>
        </w:r>
      </w:hyperlink>
      <w:r>
        <w:rPr>
          <w:rFonts w:ascii="arial" w:eastAsia="arial" w:hAnsi="arial" w:cs="arial"/>
          <w:color w:val="000000"/>
          <w:sz w:val="20"/>
          <w:lang w:val="en-US" w:eastAsia="en-US" w:bidi="ar-SA"/>
        </w:rPr>
        <w:t xml:space="preserve"> C.A. The defendant says that the plaintiff was negligent in carrying the mail in the manner in which she did because it obstructed her ability to watch where she was walking. Further, they submit that the plaintiff knew the loading bay was an area where there could be hazards and that she failed to observe the pallet, which was completely 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defendants submit that HRDC was negligent in that its employee who had control of the loading bay directed Mr. Burden to place the pallet in the location within the loading bay. The evidence reveals that there were already two pallets being stored in the loading bay and the location by the elevator was the only available location for this third pallet brought by Mr. Burden.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 submits that the pallet was not left in an inappropriate location. With that submission I disagree. While it was left in the loading bay, it was so placed next to the elevator and it did create a hazard. When Mr. Burden was told by the receiver to place the shipment in a particular place and he did so and I find that he cannot be said to be liable to the plaintiff. Mr. Burden, I find, was under the direction of Mr. Taylor at the time who was employed by the occupier. It would not be prudent for Mr. Burden to presume to overrule Mr. Taylor's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Having found that the shipment was placed in a hazardous position it follows that the Human Resources Development Canada is 50% at fault for the injury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find Ms. Pearse was negligent in the manner in which she carried the mail and that it obstructed her ability to watch where she was walking. The plaintiff is negligent to the extent of 50% for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action against Van-Kam Freightways Ltd. is dismissed with costs to the defendant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LANDER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8"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48" w:history="1">
        <w:r>
          <w:rPr>
            <w:rFonts w:ascii="arial" w:eastAsia="arial" w:hAnsi="arial" w:cs="arial"/>
            <w:b/>
            <w:bCs/>
            <w:i/>
            <w:color w:val="0077CC"/>
            <w:kern w:val="32"/>
            <w:sz w:val="28"/>
            <w:szCs w:val="32"/>
            <w:u w:val="single"/>
            <w:shd w:val="clear" w:color="auto" w:fill="FFFFFF"/>
            <w:lang w:val="en-US" w:eastAsia="en-US" w:bidi="ar-SA"/>
          </w:rPr>
          <w:t>Raina v. Shaw, [2006] B.C.J. No. 1219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Kelleher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3 - 6 and 10,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31,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S050480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1219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2006 BCSC 832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150 A.C.W.S. (3d) 1137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Nidhi Atal Raina and Shankar Raina, plaintiffs, and Dr. Lauren M. Shaw,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9"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3" w:name="Keywords_14"/>
      <w:bookmarkEnd w:id="103"/>
      <w:r>
        <w:rPr>
          <w:rFonts w:ascii="arial" w:eastAsia="arial" w:hAnsi="arial" w:cs="arial"/>
          <w:b/>
          <w:color w:val="000000"/>
          <w:sz w:val="20"/>
          <w:lang w:val="en-US" w:eastAsia="en-US" w:bidi="ar-SA"/>
        </w:rPr>
        <w:t xml:space="preserve">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Particular professions — Doctors — Action seeking damages for medical malpractice dismissed — Plaintiffs' infant son was diagnosed with Down syndrome — Plaintiffs argued that defendant physician failed to provide genetic counselling to plaintiff mother during her pregnancy — Plaintiffs claimed that the failure to provide such counselling resulted in foreseeable harm to them — Plaintiffs failed to establish any breach of the standard of care — The defendant provided genetic counselling at the first antenatal visit — Such counselling would have continued at the second visit but plaintiff did not attend.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Professional — Medical — Action seeking damages for medical malpractice dismissed — Plaintiffs' infant son was diagnosed with Down syndrome — Plaintiffs argued that defendant physician failed to provide genetic counselling to plaintiff mother during her pregnancy — Plaintiffs claimed that the failure to provide such counselling resulted in foreseeable harm to them — Plaintiffs failed to establish any breach of the standard of care — The defendant provided genetic counselling at the first antenatal visit — Such counselling would have continued at the second visit but plaintiff did not attend.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4" w:name="Case Summary_14"/>
            <w:bookmarkEnd w:id="10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commenced by Nidhi Raina and Shankar Raina for damages for medical malpractice -- The plaintiff's were the parents of a two-year-old boy with Down syndrome -- The defendant, Dr. Shaw, was Nidhi's family physician -- Plaintiffs' case was that the defendant failed to provide genetic counselling to Nidhi during her pregnancy -- They claimed that the standard of care of a British Columbia physician to a pregnant woman of Nidhi's age, 37 at the time of delivery, demanded such counselling be provided -- The plaintiffs claimed that the failure to provide such counselling resulted in foreseeable harm to them -- If the standard of care had been met, they would have obtained tests and made a decision to terminate the pregnancy -- HELD: Action dismissed -- The plaintiffs failed to establish any breach of the standard of care -- The defendant provided genetic counselling at the first antenatal visit -- Such counselling would have continued at the second visit but Nidhi did not attend.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5" w:name="Counsel_15"/>
      <w:bookmarkEnd w:id="10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0"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Michael R. Dunn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Kimberly J. Jakeman, Julie K. Gibson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6" w:name="Judgment_15"/>
      <w:bookmarkEnd w:id="106"/>
      <w:r>
        <w:pict>
          <v:line id="_x0000_s1101" style="position:absolute;z-index:25177702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7" w:name="KELLEHER J."/>
            <w:bookmarkEnd w:id="107"/>
            <w:r>
              <w:rPr>
                <w:rFonts w:ascii="arial" w:eastAsia="arial" w:hAnsi="arial" w:cs="arial"/>
                <w:b/>
                <w:color w:val="000000"/>
                <w:sz w:val="30"/>
                <w:lang w:val="en-US" w:eastAsia="en-US" w:bidi="ar-SA"/>
              </w:rPr>
              <w:t>KELLEHER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medical malpractice action. The plaintiffs are the parents of Ram Raina, a two-year-old boy with Down syndrome. The defendant is a family physician of whom Nidhi Raina, Ram's mother, was a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Shankar Raina, Ms. Raina's husband, is a named plaintiff. However, the defendant takes the position that there is no cause of action because there is no duty owed by the physician to Mr. Raina. The issue does not need determination because the statement of claim has been amended to provide that Nidhi Raina's claim includes an in-trust claim for the damages suffered by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case is that Dr. Shaw failed to provide genetic counselling to Ms. Raina during her pregnancy. The plaintiffs' case is that the standard of care of a British Columbia physician to a pregnant woman of Ms. Raina's age demands such counselling be provided. The plaintiffs argue that the failure to provide this counselling resulted in foreseeable harm to the plaintiffs. If the standard of care had been met, the plaintiffs would have obtained tests and made a decision to terminate the pregnancy. The plaintiffs say they have suffered damages as a result: the care of a Down syndrome child necessarily entails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trial deals with the liability of Dr. Shaw. The question of damages will be addressed in the future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plaintiffs' claim is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Thus, the plaintiffs must establish the following three elements:</w:t>
      </w:r>
      <w:r>
        <w:rPr>
          <w:rFonts w:ascii="arial" w:eastAsia="arial" w:hAnsi="arial" w:cs="arial"/>
          <w:sz w:val="20"/>
          <w:lang w:val="en-US" w:eastAsia="en-US" w:bidi="ar-SA"/>
        </w:rPr>
        <w:cr/>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Shaw owed the plaintiff a duty of care;</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Shaw breached this duty; and</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breach caused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defendant concedes there is a duty of care here. The issues are whether the defendant failed to deliver the standard of care and whether this failure caused injury. The defendant argues in the alternative that there was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Ms. Raina.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There is little issue about the nature of the duty. This case is really based on issues of fact which will in turn be determined having reference to the credibility of the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Nidhi Raina is 39 years of age. She grew up in India. She is intelligent and well educated: she holds three university degrees, a baccalaureate and two master's degrees.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Raina moved to the United States in 1995. When the plaintiffs married they located in Los Angeles. Ms. Raina became pregnant in 1999 and her son, Ravi, was born on January 15, 2001. He was born premature but is a healthy boy.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During this pregnancy Ms. Raina was treated by a specialist in gynaecology and obstetrics, Dr. Morris Hakakha. She had just turned 33 years of age when she delivered.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Raina's memory of genetic counselling she received from Dr. Hakakha is vague. She said in cross-examination that she did not recall his telling her of a risk of abnormality. She said he may have mentioned Down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her examination for discovery, Ms. Raina said that she was told about a genetic test called AFP screening, but did not undergo the test. By the time of the trial, she recalled that, in fact, she did take the AFP screening.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Hakakha's records indicate that Ms. Raina signed a form requesting and consenting to AFP screening. The form includes these statements: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been informed that:</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 of the California Expanded AFP Screening Program is to detect most fetuses with neuro-tube defects, abdominal wall defects, Down syndrome and trisomy 18. However, not all such defects can be detected by the program.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been informed that a blood specimen for the California Expanded AFP Screening Program is only reliable between 15 and 20 weeks of pregnancy.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Raina family moved to British Columbia in 2001. Ms. Raina became a patient of Dr. Shaw in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Lauren Shaw studied medicine at Queen's University in Kingston, Ontario. She spent two years in a family practice in Ottawa. From 1980 to 1993, she had an obstetrics practice in Vancouver. She had privileges at Grace Hospital (now Women's Hospital) and her practice included delivering babies. Dr. Shaw served on the Quality Assurance Committee at Grace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Shaw has practised in Whistler since 1993. She said that at the time of these events there were three female practitioners who did the majority of pre-natal care in Whistler.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September 2003, Ms. Raina suspected she was pregnant. The pregnancy was not planned. She attended at Dr. Shaw's office on September 11, 2003. A simple urine test confirmed the pregnancy. An appointment was then made for the first pre-natal appointment on September 18, 2003. There is a conflict in the evidence regarding what occurred in this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described it as a full-blown visit. She said Dr. Shaw conducted a physical examination. She took a history asking about family history, including smoking, heart disease, high blood pressure and so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Raina testified she asked to be referred to a specialist. She said that she was concerned because her first child was born six weeks premature. She had been treated by a specialist when she was pregnant with Ravi. She testified Dr. Shaw told her that she would be referred to a specialist but not until the late stages of her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Raina recalled that Dr. Shaw's assistant did not weigh her. When Ms. Raina asked to be weighed, she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Raina's evidence is that genetic counselling did not come up in this meeting. She only recalls being provided with a requisition form to take to a lab for blood sample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Raina had been planning a trip to India for several months. She testified she told the doctor that she had to make this trip and asked whether it was alright to travel. She said that she obtained Dr. Shaw's permission.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Raina testified that on September 11, she made a series of monthly appointments. Then, on September 18, she cancelled the November appointment because of the India trip. The next appointment was October 16. She did not cancel that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However, Ms. Raina did not attend the October 16 appointment. She testified that she was busy preparing to go to India.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Raina went to India on October 18 and did not return until December 14,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is a sharp conflict in the evidence about these events. Dr. Shaw testified that in giving her evidence about seeing a patient, she relies on her clinical record, her routine, and her memory of events. She said she tends to remember abnormal events and does not recall routine events. Dr. Shaw said that appointments are not made for several months in advance. Appointments are booked one by one. She disputes, then, the evidence of Ms. Raina that she made several monthly appointments on September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Shaw testified that the first pre-natal visit (in this case, September 18) covers many topics. This is also the beginning of the use of a two-part form called British Columbia Ante-natal Record. This is a form that is prepared by the British Columbia Reproductive Care Program. It contains a number of checklists for the patient's history and condition, including family history, past illness and social history. Dr. Shaw checked off a number of areas. She made note of the patient's father being a smoker who had a mild cardio-infarction at age 43, her mother having high blood pressure. Under "allergies", Dr. Shaw makes note of the fact that the patient reported being allergic to an antibiotic she took in India but she did not know the name of the antibiotic.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Shaw said she did remember this meeting with Ms. Raina. She said there was a discussion of family history. She asked if there was a history of cleft pallet or Down syndrome. Ms. Raina did not ask what Down syndrome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Shaw's evidence is that her office would have provided the plaintiff with a large blue folder. She says this is consistent with her usual practice. The folder contains material from the Health District. It includes a form Dr. Shaw signs that entitles the patient to obtain a booklet entitled Baby's Best Chance from the Health District office. This book contains information about pre-natal genetic testing. Dr. Shaw also provides a maternity care calendar. This is a circular sliding calendar. One sets the calendar by turning the moving part to the date of conception. The calendar then provides dates about significant events during the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There is no dispute that it is standard practice for a family physician to provide genetic counselling to a woman who will be 35 or older at the time of delivery. The physician explains that at this age there is an increased risk of a baby with a birth defect.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risk of Down syndrome for women at age 35 is one in 360. That increases to one in 282 at 36 and one in 220 at age 37, the plaintiff's age at the time of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are different tests available. Maternal serum screening or triple marker screening is the least invasive. It is conducted with simply a blood sample and measures the level of three hormones, one of which is maternal AFP. It is no more than a screening test. It may indicate that it is advisable to undergo one or the other of the more invasive tests. These are chorionic villus sampling ("CVS") and amniocentesis. They provide fairly conclusive genetic information but themselves carry a risk of miscarriage of between one in 100 and one in 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Shaw tells all her patients of three tests, triple marker screening, amniocentesis and CVS. She explains a patient over 35 is entitled to have any of these tests conducted. Dr. Shaw testified she always tells patients who are over 35 that the risk of chromosomal problems increases after age 35. At 35, the risk is one in 300, by the age of 41 or 42, it is one in 40. She asks the patient to bring her husband for the next appointment so the discussion about genetic testing can continue. She also tells the patient that the time frame for CVS is 10 to 13 weeks. Therefore, if that is what the patient decides on, the patient needs to advise the doctor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Shaw explains that amniocentesis involves the insertion of a needle into the amniotic sac and extracting fluid. She explains that the procedure is conducted by a sub-specialist and is close to 100% accurate as a predictor of abnormality.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She also explains that it is a difficult decision and that it may be helpful to think of the decision about ante-natal testing "from the other end": if the person is not going to terminate a pregnancy in any event, that fact may assist in deciding whether the procedure should be undertaken. She said that at the second meeting the partner is usually present and the discussion is repeated but in more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Shaw testified that she considers the decision to be one for the patient to make and that her job is to provide the information necessary for an intelligent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Shaw herself has two children, one of whom was born after she was 35. She has undergone both amniocentesis and CVS during pregnancies.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There is a place on the B.C. Ante-Natal Report to check off "genetic counselling". On the plaintiff's form, it is blank. That is because, Dr. Shaw testified, she does not chart this until the full discussion at the second appointment has been held. Here, the form remains blank because Ms. Raina did not appear for her October 16 appointment when the discussion would have taken place. Dr. Shaw described that it is a 23-year habit for her to record genetic counselling information when the patient comes back for the second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Shaw recalled the plaintiff's request to see a specialist. She was aware that this request was based on the fact that she was seen by a specialist in California in her first pregnancy and that she had pre-term ruptured membrane. Dr. Shaw told the plaintiff she would be going to Vancouver for delivery but in the meantime she could be treated in the office without the need for a specialist. She said because of the premature birth of her first child, ultrasound would be a better way of examining her than digital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Shaw testified that she told the plaintiff that at age 37 she was at high risk for Down syndrome and for chromosome damage. She said she told the plaintiff to let her know if she chose CVS rather than amniocentesis because the former procedure is done between 10 and 12 weeks and the latter is done at 16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Shaw testified that she believes she provided a copy of the maternity calendar. She did place a copy in the chart. The purpose of placing a copy in the chart is to indicate that the patient received the calendar.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Raina denies receiving the chart, the maternity calendar and the blue folder.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Shaw testified there was no discussion about India. She said that if it had been mentioned she would have instructed the plaintiff to find out which antibiotic she had been found to be allergic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Beyond that, Dr. Shaw testified that she would have been adamantly against a trip to India. She would have had major concerns about the possible competency problem with her cervix. A long flight would also give her concerns about thrombo-embolism. Moreover, Ms. Raina's blood pressure was marginally 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Shaw testified that she advises patients not even to travel to Mexico because of concerns with diseases such as Hepatitis A and B. Moreover, she said, in reply to Ms. Raina's evidence, it is not her role to give or withhold "permission". She testified that she is certain there was no discussion about India.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Finally, Dr. Shaw stated that if travel to India had come up, she would have referred Ms. Raina to the Public Health Office for inoculations.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When Ms. Raina did not appear at the October 16 appointment, Dr. Shaw noted it but took no steps. It is the patient's responsibility to come to the appointment. She said that Ms. Raina appeared to understand all that was said to her on September 18. She explained that not appearing at subsequent appointments is not out of the ordinary. The Whistler population is transient. Dr. Shaw's office does not chase down a patient unless there is a life-threatening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did, in fact, go to India. Her husband came home in mid-November, approximately four weeks before she did. When he returned he called Dr. Shaw's office and left a message. The message on November 18 indicated that Ms. Raina would be returning from overseas on December 14 and that a 20 week ultrasound should be arranged.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Shaw testified that she was "shocked" to learn Ms. Raina was overseas. She testified she told her office assistant that Ms. Raina had missed three pre-natal visits and that Dr. Shaw needed to see her as soon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next time Ms. Raina visited Dr. Shaw was December 29. Dr. Shaw asked her if she had seen a physician in India and whether any blood work had been done. Ms. Raina, according to Dr. Shaw, said no. She also asked if Ms. Raina had chosen not to have genetic testing. According to Dr. Shaw, Ms. Raina confirmed this. At this point, she was at 22 1/2 weeks. Dr. Shaw testified that it would be too late to order an amniocentesis but she could have referred her to see a medical geneticist at Women's Hospital. Ms. Raina had no interest in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Shaw testified that this did not surprise her. Many patients choose not to have invasive testing. She said she respects those who feel that a chance of one in 220 is an acceptable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Raina denies there was any discussion of genetic issues at this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next appointment was February 2, 2004. The plaintiff's fetus was low in her abdomen and looked normal. Dr. Shaw said that she arranged diabetic screening.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next appointment was March 4. The ultrasound disclosed to Dr. Shaw that the baby was in the breech position. Because of that and because of the previous premature rupture of the membrane, Dr. Shaw decided to refer Ms. Raina to a specialist at St. Paul's Hospital. Ms. Raina wished to be referred to an obstetrician named Robert Anderson. That specialist was unavailable and Dr. Shaw made arrangements to have Ms. Raina seen by Dr. Nancy Mitenko.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Raina attended at Dr. Shaw's office on March 16 and saw a different physician, a Linda Johannson, who was doing a locum for Dr. Shaw.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Shaw then saw Ms. Raina on March 22. Dr. Shaw was surprised that Ms. Raina had not heard from Dr. Mitenko's office and that no appointment had been arranged. She made arrangements to have Ms. Raina seen on March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Raina has an entirely different recollection of this meeting. She said that she felt Dr. Shaw was not showing enough concern and that she walked out of the office. She also said that when Dr. Shaw realized she was doing this she told her that she would not be coming back. Ms. Raina assured her that she was coming back. Dr. Shaw has no recollection of any such difficulty. She denies that this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Raina saw Dr. Mitenko, the specialist, on March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baby was born prematurely on March 26,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Geoffrey Baumgard is a Vancouver paediatrician who became involved with Ram at the time of his birth. He met with both Mr. and Ms. Raina to discuss the results of testing which confirmed that Ram had Down syndrome. Dr. Baumgard asked them whether they had received genetic counselling. He testified that either Mr. or Ms. Raina replied that they had spoken to the family doctor and that the risk was very small so it was not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Baumgard was asked about this conversation by a member of the defendant's counsel's law firm in August 2005. Dr. Baumgard made a note of what he told the lawyer: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told her, parents told me, that their M.D. had advised them that the chance of a Downs was low and so amnio was not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Baumgard testified that he found this curious. If this is what the doctor said, he felt it would be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Raina denies discussing with Dr. Baumgard whether Dr. Shaw had provided genetic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Baumgard agreed in cross-examination that they did not name Dr. Shaw. Counsel for the plaintiffs invites me to conclude that the plaintiff was referring to Dr. Hakakha, the obstetrician who treated her during her first pregnancy in California.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Counsel for the plaintiffs cross-examined Dr. Shaw respecting the maternity calendar. He suggested that no such calendar had been prepared. He suggested, and she agreed, that a copy of the calendar was not supplied to his office in answer to his request for clinical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However, the letter from Mr. Dunn misstated his purpose in seeking the clinical records. His letter advises that the law firm is acting for Ms. Raina respecting a motor vehicle accident. A photocopy of the calendar is not likely a clinical record in the first place. Second, it has nothing to do with any injuries suffered in a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Was there a discussion between the plaintiff and the defendant about the trip to India?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credibility of witnesses who testify in a trial was discussed by the British Columbia Court of Appeal in </w:t>
      </w:r>
      <w:r>
        <w:rPr>
          <w:rFonts w:ascii="arial" w:eastAsia="arial" w:hAnsi="arial" w:cs="arial"/>
          <w:b/>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250"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at 357, </w:t>
      </w:r>
      <w:hyperlink r:id="rId250" w:history="1">
        <w:r>
          <w:rPr>
            <w:rFonts w:ascii="arial" w:eastAsia="arial" w:hAnsi="arial" w:cs="arial"/>
            <w:i/>
            <w:color w:val="0077CC"/>
            <w:sz w:val="20"/>
            <w:u w:val="single"/>
            <w:shd w:val="clear" w:color="auto" w:fill="FFFFFF"/>
            <w:lang w:val="en-US" w:eastAsia="en-US" w:bidi="ar-SA"/>
          </w:rPr>
          <w:t>4 W.W.R. (N.S.) 171</w:t>
        </w:r>
      </w:hyperlink>
      <w:r>
        <w:rPr>
          <w:rFonts w:ascii="arial" w:eastAsia="arial" w:hAnsi="arial" w:cs="arial"/>
          <w:color w:val="000000"/>
          <w:sz w:val="20"/>
          <w:lang w:val="en-US" w:eastAsia="en-US" w:bidi="ar-SA"/>
        </w:rPr>
        <w:t xml:space="preserve"> (B.C.C.A.).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credibility of interested witnesses, particularly in cases of conflict of evidence, cannot be gauged solely by the test of whether the personal demeanour of the particular witness carried conviction of the truth. The test must reasonably subject his story to an examination of its consistency with the probabilities that surround the currently existing conditions. In short, the real test of the truth of the story of a witness in such a case must be its harmony with the preponderance of the probabilities which a practical and informed person would readily recognize as reasonable in that place and in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plaintiff's version of the trip to India is inherently unlikely. A physician typically gives advice, not permission. Dr. Shaw's evidence, that no such discussion took place, is far more likely and is entirely in harmony with the preponderance of the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Shaw's evidence of what her advice would have been, if India had come up, was what one would expect. It is entirely likely that a physician would tell a patient it is inadvisable to travel a long distance if there is a concern with the pregnant patient's health. It would make sense for her to say that the trip should be avoided if possible. Moreover, as Dr. Shaw testified, it is likely that she would have instructed her to find out what antibiotic produced the allergic reaction in India.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It is inherently unlikely that a physician, who had reviewed her medical and obstetrical history and had scheduled another appointment for four weeks later would simply agree to her patient travelling to India with little or no comment about the risks that could arise from such a trip. I prefer Dr. Shaw's evidence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Did Dr. Shaw provide genetic counselling on September 18 and December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Again, I find the analytical approach in </w:t>
      </w:r>
      <w:r>
        <w:rPr>
          <w:rFonts w:ascii="arial" w:eastAsia="arial" w:hAnsi="arial" w:cs="arial"/>
          <w:b/>
          <w:i/>
          <w:color w:val="000000"/>
          <w:sz w:val="20"/>
          <w:lang w:val="en-US" w:eastAsia="en-US" w:bidi="ar-SA"/>
        </w:rPr>
        <w:t>Faryna v. Chorny</w:t>
      </w:r>
      <w:r>
        <w:rPr>
          <w:rFonts w:ascii="arial" w:eastAsia="arial" w:hAnsi="arial" w:cs="arial"/>
          <w:color w:val="000000"/>
          <w:sz w:val="20"/>
          <w:lang w:val="en-US" w:eastAsia="en-US" w:bidi="ar-SA"/>
        </w:rPr>
        <w:t>useful. Whose version, that of Ms. Raina or that of Dr. Shaw, is more consistent with all of the surrounding circumstances? Dr. Shaw is an experienced physician who has seen a large number of pre-natal patients. She is a mother who herself has undergone CVS and amniocentesis. One of her children was born after she was 35. She covers a large number of important topics in the first ante-natal visit: family history, physical health of the mother and so on. It would be entirely inconsistent with her practice if I were to accept the evidence of Ms. Raina that genetic counselling did not come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There is nothing remarkable about the fact that Dr. Shaw does not specifically recall routine discussions with a patient that took place two years ago. Indeed, it would be remarkable if she did remember. Professionals often testify about what they asked or told a client or patient based on their invariable standard practice. It is an admissible substitute for present recollection and can be convincing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Court of Appeal in </w:t>
      </w:r>
      <w:r>
        <w:rPr>
          <w:rFonts w:ascii="arial" w:eastAsia="arial" w:hAnsi="arial" w:cs="arial"/>
          <w:b/>
          <w:i/>
          <w:color w:val="000000"/>
          <w:sz w:val="20"/>
          <w:lang w:val="en-US" w:eastAsia="en-US" w:bidi="ar-SA"/>
        </w:rPr>
        <w:t>Belknap v. Meakes</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(1989), 64 D.L.R. (4th) 452</w:t>
        </w:r>
      </w:hyperlink>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1 C.C.L.T. (2d) 192</w:t>
        </w:r>
      </w:hyperlink>
      <w:r>
        <w:rPr>
          <w:rFonts w:ascii="arial" w:eastAsia="arial" w:hAnsi="arial" w:cs="arial"/>
          <w:color w:val="000000"/>
          <w:sz w:val="20"/>
          <w:lang w:val="en-US" w:eastAsia="en-US" w:bidi="ar-SA"/>
        </w:rPr>
        <w:t xml:space="preserve"> (B.C.C.A.) said this at p. 465-66 (D.L.R.):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person can say of something he regularly does in his professional life that he invariably does it that way, that surely is evidence and possibly convincing evidence that he did it in that way on the day in question.</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Wigmore: On Evidence</w:t>
      </w:r>
      <w:r>
        <w:rPr>
          <w:rFonts w:ascii="arial" w:eastAsia="arial" w:hAnsi="arial" w:cs="arial"/>
          <w:color w:val="000000"/>
          <w:sz w:val="20"/>
          <w:lang w:val="en-US" w:eastAsia="en-US" w:bidi="ar-SA"/>
        </w:rPr>
        <w:t xml:space="preserve">, vol. IA (Tillers rev. 1983) states that there is no reason why habit should not be used as evidence either of negligent action or of careful action (para. 97), and that habit should be admissible as a substitute for present recollection. </w:t>
      </w:r>
      <w:r>
        <w:rPr>
          <w:rFonts w:ascii="arial" w:eastAsia="arial" w:hAnsi="arial" w:cs="arial"/>
          <w:i/>
          <w:color w:val="000000"/>
          <w:sz w:val="20"/>
          <w:lang w:val="en-US" w:eastAsia="en-US" w:bidi="ar-SA"/>
        </w:rPr>
        <w:t>Phipson on Evidence</w:t>
      </w:r>
      <w:r>
        <w:rPr>
          <w:rFonts w:ascii="arial" w:eastAsia="arial" w:hAnsi="arial" w:cs="arial"/>
          <w:color w:val="000000"/>
          <w:sz w:val="20"/>
          <w:lang w:val="en-US" w:eastAsia="en-US" w:bidi="ar-SA"/>
        </w:rPr>
        <w:t>, 13th ed. (1982), paras. 9-22, reaches a similar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Where a patient fails to attend a follow-up appointment and the patient knows the importance of keeping such an appointment, the result is not a finding of liability on the part of the general practitioner. The responsibility to attend such an appointment rests with the patient: </w:t>
      </w:r>
      <w:r>
        <w:rPr>
          <w:rFonts w:ascii="arial" w:eastAsia="arial" w:hAnsi="arial" w:cs="arial"/>
          <w:b/>
          <w:i/>
          <w:color w:val="000000"/>
          <w:sz w:val="20"/>
          <w:lang w:val="en-US" w:eastAsia="en-US" w:bidi="ar-SA"/>
        </w:rPr>
        <w:t>Patmore (Guardian ad Litem of) v. Weatherston</w:t>
      </w:r>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[1999] B.C.J. No. 650</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Counsel for the plaintiffs made much of the fact that the B.C. Ante-Natal Report is blank where genetic counselling is mentioned. But Dr. Shaw testified that she does not check this off until the more thorough discussion which takes place during the second visit, the appointment Ms. Raina missed on October 16. This is a sensible explanation.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Based simply on the surrounding circumstances, I prefer the evidence of Dr. Shaw to that of Ms. Raina. What Ms. Raina described is highly unlikely. There is no explanation for what would be an extraordinary variation from Dr. Shaw's standard procedure. Ms. Raina's explanation would mean that Dr. Shaw omitted any mention of genetic testing for a patient in her late 30s; Dr. Shaw photocopied the circular maternity calendar and placed a copy in Ms. Raina's file but failed to give a copy of the calendar to the patient, even though a copy of the calendar is typically placed in a patient's file to indicate a copy has been given to the patient; Dr. Shaw's office failed to provide the blue folder even though blood tests were obtained and the requisitions are found in the folder; and Dr. Shaw's office varied from its standard procedure and made multiple pre-natal appointments with Ms. Raina, even though the office would have had no appointment calendar for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am reinforced in this conclusion by what I have already described about the trip to India. Ms. Raina's evidence on this point cannot be accepted. If I were to find that the evidence concerning genetic counselling were equivocal, I would still prefer Dr. Shaw's version of what occurred, having regard to the respective credibility of Ms. Raina and Dr. Shaw based on the India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evidence of Dr. Baumgard is also much more consistent with Dr. Shaw's version of what occurred. If there had been no genetic counselling from Dr. Shaw, when Dr. Baumgard asked Mr. and Mrs. Raina whether they had received genetic counselling, they would undoubtedly have said "no". There would be no reason for them to relate that they were told that the risk is low or to relate what Dr. Hakakha told them during a different pregnancy in a different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plaintiffs bear the burden of showing that Dr. Shaw failed to meet the standard of care expected in the circumstances and that this failure caused or contributed to the loss: </w:t>
      </w:r>
      <w:r>
        <w:rPr>
          <w:rFonts w:ascii="arial" w:eastAsia="arial" w:hAnsi="arial" w:cs="arial"/>
          <w:b/>
          <w:i/>
          <w:color w:val="000000"/>
          <w:sz w:val="20"/>
          <w:lang w:val="en-US" w:eastAsia="en-US" w:bidi="ar-SA"/>
        </w:rPr>
        <w:t>Zeledon v. Kelowna General Hospital</w:t>
      </w:r>
      <w:r>
        <w:rPr>
          <w:rFonts w:ascii="arial" w:eastAsia="arial" w:hAnsi="arial" w:cs="arial"/>
          <w:color w:val="000000"/>
          <w:sz w:val="20"/>
          <w:lang w:val="en-US" w:eastAsia="en-US" w:bidi="ar-SA"/>
        </w:rPr>
        <w:t xml:space="preserve">, </w:t>
      </w:r>
      <w:hyperlink r:id="rId253" w:history="1">
        <w:r>
          <w:rPr>
            <w:rFonts w:ascii="arial" w:eastAsia="arial" w:hAnsi="arial" w:cs="arial"/>
            <w:i/>
            <w:color w:val="0077CC"/>
            <w:sz w:val="20"/>
            <w:u w:val="single"/>
            <w:shd w:val="clear" w:color="auto" w:fill="FFFFFF"/>
            <w:lang w:val="en-US" w:eastAsia="en-US" w:bidi="ar-SA"/>
          </w:rPr>
          <w:t>[1996] B.C.J. No. 2868</w:t>
        </w:r>
      </w:hyperlink>
      <w:r>
        <w:rPr>
          <w:rFonts w:ascii="arial" w:eastAsia="arial" w:hAnsi="arial" w:cs="arial"/>
          <w:color w:val="000000"/>
          <w:sz w:val="20"/>
          <w:lang w:val="en-US" w:eastAsia="en-US" w:bidi="ar-SA"/>
        </w:rPr>
        <w:t xml:space="preserve"> (S.C.) at [paragraph] 46. The plaintiffs must establish on a balance of probabilities that Dr. Shaw failed to meet the standard of care of an ordinary competent general practitioner in the same circumstances: </w:t>
      </w:r>
      <w:r>
        <w:rPr>
          <w:rFonts w:ascii="arial" w:eastAsia="arial" w:hAnsi="arial" w:cs="arial"/>
          <w:b/>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127 D.L.R. (4th) 577</w:t>
        </w:r>
      </w:hyperlink>
      <w:r>
        <w:rPr>
          <w:rFonts w:ascii="arial" w:eastAsia="arial" w:hAnsi="arial" w:cs="arial"/>
          <w:color w:val="000000"/>
          <w:sz w:val="20"/>
          <w:lang w:val="en-US" w:eastAsia="en-US" w:bidi="ar-SA"/>
        </w:rPr>
        <w:t xml:space="preserve"> at 590, </w:t>
      </w:r>
      <w:r>
        <w:rPr>
          <w:rFonts w:ascii="arial" w:eastAsia="arial" w:hAnsi="arial" w:cs="arial"/>
          <w:b/>
          <w:i/>
          <w:color w:val="000000"/>
          <w:sz w:val="20"/>
          <w:lang w:val="en-US" w:eastAsia="en-US" w:bidi="ar-SA"/>
        </w:rPr>
        <w:t>Belknap v. Meakes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plaintiffs have not established any breach of the standard of care. Dr. Shaw provided genetic counselling at the first ante-natal visit on September 18. It would have continued at the second visit but Ms. Raina did not attend. The claim must therefore be dismissed. The defendant is entitled to her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KELLEHER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2" style="position:absolute;z-index:251827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5"/>
          <w:headerReference w:type="default" r:id="rId256"/>
          <w:footerReference w:type="even" r:id="rId257"/>
          <w:footerReference w:type="default" r:id="rId258"/>
          <w:headerReference w:type="first" r:id="rId259"/>
          <w:footerReference w:type="first" r:id="rId26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261" w:history="1">
        <w:r>
          <w:rPr>
            <w:rFonts w:ascii="arial" w:eastAsia="arial" w:hAnsi="arial" w:cs="arial"/>
            <w:b/>
            <w:bCs/>
            <w:i/>
            <w:color w:val="0077CC"/>
            <w:kern w:val="32"/>
            <w:sz w:val="28"/>
            <w:szCs w:val="32"/>
            <w:u w:val="single"/>
            <w:shd w:val="clear" w:color="auto" w:fill="FFFFFF"/>
            <w:lang w:val="en-US" w:eastAsia="en-US" w:bidi="ar-SA"/>
          </w:rPr>
          <w:t>Robertson (Guardian ad litem of) v. Gottfriedson (Guardian ad litem of), [2003] B.C.J. No. 2045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Blair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Heard: August 26, 2003.</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August 29, 2003.</w:t>
      </w:r>
    </w:p>
    <w:p>
      <w:pPr>
        <w:spacing w:before="120" w:line="260" w:lineRule="atLeast"/>
        <w:jc w:val="center"/>
        <w:rPr>
          <w:lang w:val="en-US" w:eastAsia="en-US" w:bidi="ar-SA"/>
        </w:rPr>
      </w:pPr>
      <w:r>
        <w:rPr>
          <w:rFonts w:ascii="arial" w:eastAsia="arial" w:hAnsi="arial" w:cs="arial"/>
          <w:color w:val="000000"/>
          <w:sz w:val="20"/>
          <w:lang w:val="en-US" w:eastAsia="en-US" w:bidi="ar-SA"/>
        </w:rPr>
        <w:t>Kamloops Registry No. 27369</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[2003] B.C.J. No. 2045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2003 BCSC 1340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125 A.C.W.S. (3d) 737</w:t>
      </w:r>
    </w:p>
    <w:p>
      <w:pPr>
        <w:spacing w:before="120" w:line="260" w:lineRule="atLeast"/>
        <w:rPr>
          <w:lang w:val="en-US" w:eastAsia="en-US" w:bidi="ar-SA"/>
        </w:rPr>
      </w:pPr>
      <w:r>
        <w:rPr>
          <w:rFonts w:ascii="arial" w:eastAsia="arial" w:hAnsi="arial" w:cs="arial"/>
          <w:color w:val="000000"/>
          <w:sz w:val="20"/>
          <w:lang w:val="en-US" w:eastAsia="en-US" w:bidi="ar-SA"/>
        </w:rPr>
        <w:t>Between Shane Leonard Robertson, an infant by his Guardian ad litem, Margaret Deneault, plaintiff, and Justin Cale Gottfriedson, an infant by his Guardian ad litem, Robin Gottfriedson, Global Entertainment Inc. and The City of Kamloops,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(20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03" style="position:absolute;z-index:25167564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08" w:name="Keywords_15"/>
      <w:bookmarkEnd w:id="108"/>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Whether the defendant took reasonable care.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09" w:name="Case Summary_15"/>
            <w:bookmarkEnd w:id="109"/>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defendants, Global Entertainment and the City of Kamloops, for summary dismissal of the action as against them. They were co-defendants in a personal injury action by Robertson against Gottfriedson. Robertson and Gottfriedson were 17-year-old boys who had a fight at an event run by Global on city premises that Global rented. Robertson received a head injury that required surgery. Global had 12 security staff on site and was prepared to call for police assistance if necessary. However, Robertson argued that Global and the city breached their duty of care to keep him safe in the circumstances, particularly as the event was aimed toward young people. </w:t>
            </w:r>
            <w:r>
              <w:rPr>
                <w:lang w:val="en-US" w:eastAsia="en-US" w:bidi="ar-SA"/>
              </w:rPr>
              <w:cr/>
            </w:r>
          </w:p>
          <w:p>
            <w:pPr>
              <w:spacing w:before="120" w:line="260" w:lineRule="atLeast"/>
              <w:ind w:left="240"/>
              <w:jc w:val="both"/>
              <w:rPr>
                <w:lang w:val="en-US" w:eastAsia="en-US" w:bidi="ar-SA"/>
              </w:rPr>
            </w:pPr>
            <w:bookmarkStart w:id="110" w:name="Holdings of Court_13"/>
            <w:bookmarkEnd w:id="110"/>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city was an occupier of the parking lot where the assault occurred. However, both it and Global took reasonable steps to ensure that those using the premises were reasonably safe. Neither defendant could have anticipated the altercation. </w:t>
            </w:r>
            <w:r>
              <w:rPr>
                <w:lang w:val="en-US" w:eastAsia="en-US" w:bidi="ar-SA"/>
              </w:rPr>
              <w:cr/>
            </w:r>
          </w:p>
          <w:p>
            <w:pPr>
              <w:rPr>
                <w:lang w:val="en-US" w:eastAsia="en-US" w:bidi="ar-SA"/>
              </w:rPr>
            </w:pPr>
          </w:p>
        </w:tc>
      </w:tr>
    </w:tbl>
    <w:p>
      <w:pPr>
        <w:jc w:val="both"/>
        <w:rPr>
          <w:lang w:val="en-US" w:eastAsia="en-US" w:bidi="ar-SA"/>
        </w:rPr>
      </w:pPr>
      <w:bookmarkStart w:id="111" w:name="Legislation Cited_10"/>
      <w:bookmarkEnd w:id="11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04" style="position:absolute;z-index:25172684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British Columbia Supreme Court Rules, Rule 18A.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r>
        <w:rPr>
          <w:lang w:val="en-US" w:eastAsia="en-US" w:bidi="ar-SA"/>
        </w:rPr>
        <w:cr/>
      </w:r>
    </w:p>
    <w:p>
      <w:pPr>
        <w:keepNext/>
        <w:spacing w:before="240" w:line="340" w:lineRule="atLeast"/>
        <w:rPr>
          <w:lang w:val="en-US" w:eastAsia="en-US" w:bidi="ar-SA"/>
        </w:rPr>
      </w:pPr>
      <w:bookmarkStart w:id="112" w:name="Counsel_16"/>
      <w:bookmarkEnd w:id="112"/>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05" style="position:absolute;z-index:25177804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K. Chaggar, for the plaintiff. J.A. Zak, for the defendants, Global Entertainment Inc. and The City of Kamloops.</w:t>
      </w:r>
      <w:r>
        <w:rPr>
          <w:lang w:val="en-US" w:eastAsia="en-US" w:bidi="ar-SA"/>
        </w:rPr>
        <w:cr/>
      </w:r>
    </w:p>
    <w:p>
      <w:pPr>
        <w:spacing w:after="240"/>
        <w:rPr>
          <w:lang w:val="en-US" w:eastAsia="en-US" w:bidi="ar-SA"/>
        </w:rPr>
      </w:pPr>
      <w:bookmarkStart w:id="113" w:name="Judgment_16"/>
      <w:bookmarkEnd w:id="113"/>
      <w:r>
        <w:pict>
          <v:line id="_x0000_s1106" style="position:absolute;z-index:251828224"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14" w:name="BLAIR J."/>
            <w:bookmarkEnd w:id="114"/>
            <w:r>
              <w:rPr>
                <w:rFonts w:ascii="arial" w:eastAsia="arial" w:hAnsi="arial" w:cs="arial"/>
                <w:b/>
                <w:color w:val="000000"/>
                <w:sz w:val="30"/>
                <w:lang w:val="en-US" w:eastAsia="en-US" w:bidi="ar-SA"/>
              </w:rPr>
              <w:t>BLAIR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Global Entertainment Inc. ("Global"), and the City of Kamloops ("the City"), seek dismissal pursuant to Rule 18A of the Rules of Court of the action against them brought by the plaintiff, Shane Leonard Robertson.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Robertson's action for damages for personal injury against Global and the City follow his September 6, 1998 altercation with the defendant, Justin Cale Gottfriedson ("Gottfriedson") in the parking lot adjacent to the City operated auditorium facility known as the Kamloops Exhibition Grounds ("the premises"). At the time of the altercation, Global, an entertainment company that organized dances and social events for profit, had rented the premises from the City for an all-night dance.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Mr. Robertson claims that Global and the City were occupiers under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and owed him a duty to take care that in all the circumstances the premises were reasonably safe. He further claims against Global and the City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alleging that they failed to supervise the activities of persons attending the dance, failed to provide security in the parking lot, and failed to provide him with adequate or any medical attention after the altercation.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Global hired 12 security personnel for the event, a number the City found sufficient to cope with the anticipated attendance of 600 persons, although the event aimed at a teenage audience attracted just 250 to 275 persons. The security staff policed the entrance to the premises and the exit doors to prevent alcohol and drugs being brought onto the premises and to ensure that persons found fighting, vandalizing the property or acting in an unruly fashion were removed from the premises. Although security personnel walked around the outside of the premises their duties did not include patrolling the adjacent parking lot. Security were to contact police if they noticed difficulties in the parking lot. Police attended the premises twice that night as part of their regular patrols.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Both Mr. Robertson and Mr. Gottfriedson were aged 17 years at the time of their altercation and there was a history of animosity between the two teenagers. Although they had confronted each other twice in a two week period prior to September 6, 1998 involving some physical contact, they had not fought before the altercation which led to this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altercation occurred as Mr. Gottfriedson, after parking his car, walked through the parking lot with his girlfriend towards the premises where they were going to attend the dance. As he passed a group of about a dozen people around a car, he heard a comment directed to him, turned and saw the people in the group looking towards him. Mr. Gottfriedson walked towards the group and saw Mr. Robertson seated in the car. The two exchanged words which included Mr. Gottfriedson's offer to fight. Mr. Robertson exited the car and approached Mr. Gottfriedson who pushed him away. Mr. Robertson stumbled backwards and then came back towards Mr. Gottfriedson and the two exchanged blows before they ended up on the ground where they were separated.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Robertson had consumed alcohol before the altercation, but Mr. Gottfriedson was sober. The contact between the two was brief, perhaps two minutes and conducted in a relatively low key fashion.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Following the altercation Mr. Gottfriedson left to get cleaned up but returned later to the dance where he saw Mr. Robertson but stayed away from him for the remainder of the evening. Mr. Robertson suffered a head injury in the altercation, the seriousness of which did not become immediately apparent until Dr. R.D. Brownlee on September 7, 1998 operated and determined that Mr. Robertson had suffered an epidural haematoma.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His Honour Judge Sundhu of the Provincial Court of B.C. subsequently found Mr. Gottfriedson guilty of aggravated assault. Mr. Gottfriedson did not give evidence at the trial, although he provided evidence in this action at an examination for discovery.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Counsel for Mr. Robertson submits that Global and the City had a duty of care to ensure the safety of persons such as Mr. Robertson who arrived at the premises by car with the intention of attending Global's dance. He submits that both the City and Global knew the event was going to attract teenagers, in the absence of their parents and that teenagers tended to be more active and perhaps more troubling than other groups. He submits that Global and the City should have foreseen that security was required in the parking lot to ensure the safety of those attending and the failure to provide such security breached the duty of care owed to Mr. Robertson by Global and the 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Counsel for Global and the City submits that in the circumstances there was nothing the corporate defence could have done to prevent the altercation, referring to the decision in Penney v. Fort Nelson Hotel (1974) Ltd., </w:t>
      </w:r>
      <w:hyperlink r:id="rId262" w:history="1">
        <w:r>
          <w:rPr>
            <w:rFonts w:ascii="arial" w:eastAsia="arial" w:hAnsi="arial" w:cs="arial"/>
            <w:i/>
            <w:color w:val="0077CC"/>
            <w:sz w:val="20"/>
            <w:u w:val="single"/>
            <w:shd w:val="clear" w:color="auto" w:fill="FFFFFF"/>
            <w:lang w:val="en-US" w:eastAsia="en-US" w:bidi="ar-SA"/>
          </w:rPr>
          <w:t>[1988] B.C.J. No. 2506</w:t>
        </w:r>
      </w:hyperlink>
      <w:r>
        <w:rPr>
          <w:rFonts w:ascii="arial" w:eastAsia="arial" w:hAnsi="arial" w:cs="arial"/>
          <w:color w:val="000000"/>
          <w:sz w:val="20"/>
          <w:lang w:val="en-US" w:eastAsia="en-US" w:bidi="ar-SA"/>
        </w:rPr>
        <w:t>, a decision of Legg J. (as he then was) involving the plaintiff's action against the corporation operating the Fort Nelson Hotel for damages for personal injury suffered in a fight at the hotel. Mr. Justice Legg dismissed the action, stating at p. 4:</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real and most important reason I find for dismissing this action, however, is that the fight occurred so quickly and with such little warning to those in attendance in the lounge area that the staff of the hotel were not in a position to anticipate it occurring or were not in a position to prevent it continuing.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the instant case the incident involving Mr. Robertson and Mr. Gottfriedson came with little warning, little noise and was over in minutes.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Counsel further submits that Global and the City did not owe a duty of care to watch over Mr. Robertson for a risk that he accepted, noting that Mr. Robertson was in the car when approached by Mr. Gottfriedson, that he could have stayed in the car and, as in the previous situations, have declined to fight with Mr. Gottfriedson. Instead, he exited the car and the fight ensued. In Johnson v. Royal Canadian Legion, Grandview Branch No. 179, </w:t>
      </w:r>
      <w:hyperlink r:id="rId263" w:history="1">
        <w:r>
          <w:rPr>
            <w:rFonts w:ascii="arial" w:eastAsia="arial" w:hAnsi="arial" w:cs="arial"/>
            <w:i/>
            <w:color w:val="0077CC"/>
            <w:sz w:val="20"/>
            <w:u w:val="single"/>
            <w:shd w:val="clear" w:color="auto" w:fill="FFFFFF"/>
            <w:lang w:val="en-US" w:eastAsia="en-US" w:bidi="ar-SA"/>
          </w:rPr>
          <w:t>[1988] 5 W.W.R. 267</w:t>
        </w:r>
      </w:hyperlink>
      <w:r>
        <w:rPr>
          <w:rFonts w:ascii="arial" w:eastAsia="arial" w:hAnsi="arial" w:cs="arial"/>
          <w:color w:val="000000"/>
          <w:sz w:val="20"/>
          <w:lang w:val="en-US" w:eastAsia="en-US" w:bidi="ar-SA"/>
        </w:rPr>
        <w:t xml:space="preserve"> (B.C.C.A.) the majority found that Mr. Johnson, the plaintiff, could not succeed in an action against the defendant Legion and its bartender Mr. Comer for injuries he suffered in a fight with a Mr. Thomas, a person known by the Legion and Mr. Comer for his propensity for violence when drinking. Carrothers J.A. (MacDonald J.A. concurring) found at p. 269 that the plaintiff:</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stupidly stood up into the jaws of certain defeat and suffered accordingly. I consider Johnson's stupidity not only was a direct cause of his own misfortune but also that stupidity outclassed and overwhelmed whatever contributory fault might otherwise be attributed to the Legion and to Comer.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instant case, neither Global nor the City had any knowledge of either Robertson or Gottfriedson or their bad blood.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considering Mr. Robertson's claim, Mr. Robertson is alleging that the Global and the City should have foreseen a criminal act such as that which occurred, involving two teenagers with a history of bad blood and who were involved in a fight which lasted just a couple of minutes. It is difficult to comprehend how security personnel, even if posted in the parking lot, could have had time to intervene given the brevity of the incident. Neither participant was known apparently by either Global or the City. The incident itself was quiet and did not seem to attract the attention of persons other than those standing in close proximity when the incident occurred. Global's Robert Wiggins, who was in charge of security, did not hear of the incident until a month later when he was contacted by an insurance agent.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 conclude that such an assault, happening as it did, could not have been foreseen by either Global or the City. I am unable to find that either Global or the City owed a duty of care to Mr. Robertson in the parking lot in which the incident occurred and to affix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such circumstances would effectively find Global and the City to be insurers for all purposes.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Although counsel did not expressly address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("the Act"), Mr. Robertson claimed against both Global and the City as occupiers under the Act, alleging that they had failed to ensure his safety as required by the Act. I doubt that Global was an occupier, having rented only the premises not the parking lot. I conclude that the City is an occupier within the meaning of the Act and as such has a duty to take that care that in all the circumstances of the case is reasonable to see that a person will be reasonably safe in using the parking lot. In Nabholtz v. Kimberley (City), </w:t>
      </w:r>
      <w:hyperlink r:id="rId264" w:history="1">
        <w:r>
          <w:rPr>
            <w:rFonts w:ascii="arial" w:eastAsia="arial" w:hAnsi="arial" w:cs="arial"/>
            <w:i/>
            <w:color w:val="0077CC"/>
            <w:sz w:val="20"/>
            <w:u w:val="single"/>
            <w:shd w:val="clear" w:color="auto" w:fill="FFFFFF"/>
            <w:lang w:val="en-US" w:eastAsia="en-US" w:bidi="ar-SA"/>
          </w:rPr>
          <w:t>[2002] B.C.J. No. 261</w:t>
        </w:r>
      </w:hyperlink>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2002 BCSC 174</w:t>
        </w:r>
      </w:hyperlink>
      <w:r>
        <w:rPr>
          <w:rFonts w:ascii="arial" w:eastAsia="arial" w:hAnsi="arial" w:cs="arial"/>
          <w:color w:val="000000"/>
          <w:sz w:val="20"/>
          <w:lang w:val="en-US" w:eastAsia="en-US" w:bidi="ar-SA"/>
        </w:rPr>
        <w:t>, Brooke J. wrote at para. 11:</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law is clear that an occupier is not an insurer of the plaintiff's safety. Its duty is to take that care that in all the circumstances of the case is reasonable to see that a person will be reasonably safe in using the premises. The standard of care is reasonableness and not perfection.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the circumstances I find that the conduct of both the City and Global in relation to the activities in the parking lot, which involved keeping a watch on the area and anticipated the attendance of the RCMP if needed were reasonable steps to ensure that those using the premises would be reasonably safe. I conclude that the Act offers no relief for Mr. Robertson. Neither the City nor Global could have anticipated the altercation between Mr. Robertson and Mr. Gottfriedson.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allow the application and dismiss Mr. Robertston's action against the City and Global.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Global and the City would in the usual course be entitled to have their costs at Scale 3. If counsel wish to make submissions regarding costs they can make arrangements within 21 days of the filing of these Reasons to speak to the matter, failing which the defendants will have their costs as indicated.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BLAIR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271" w:history="1">
        <w:r>
          <w:rPr>
            <w:rFonts w:ascii="arial" w:eastAsia="arial" w:hAnsi="arial" w:cs="arial"/>
            <w:b/>
            <w:bCs/>
            <w:i/>
            <w:color w:val="0077CC"/>
            <w:kern w:val="32"/>
            <w:sz w:val="28"/>
            <w:szCs w:val="32"/>
            <w:u w:val="single"/>
            <w:shd w:val="clear" w:color="auto" w:fill="FFFFFF"/>
            <w:lang w:val="en-US" w:eastAsia="en-US" w:bidi="ar-SA"/>
          </w:rPr>
          <w:t>Robinson v. Lions Gate Hospital, [2003] B.C.J. No. 2094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Dillon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December 2 - 5, 9 - 13, 2002 and</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January 29, 30, February 13 and 14, 2003.</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September 9, 2003.</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SOOO580</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[2003] B.C.J. No. 2094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2003 BCSC 1381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125 A.C.W.S. (3d) 165</w:t>
      </w:r>
    </w:p>
    <w:p>
      <w:pPr>
        <w:spacing w:before="120" w:line="260" w:lineRule="atLeast"/>
        <w:rPr>
          <w:lang w:val="en-US" w:eastAsia="en-US" w:bidi="ar-SA"/>
        </w:rPr>
      </w:pPr>
      <w:r>
        <w:rPr>
          <w:rFonts w:ascii="arial" w:eastAsia="arial" w:hAnsi="arial" w:cs="arial"/>
          <w:color w:val="000000"/>
          <w:sz w:val="20"/>
          <w:lang w:val="en-US" w:eastAsia="en-US" w:bidi="ar-SA"/>
        </w:rPr>
        <w:t>Between Gloria Robinson, plaintiff, and Lions Gate Hospital,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(76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08" style="position:absolute;z-index:25167667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15" w:name="Keywords_16"/>
      <w:bookmarkEnd w:id="115"/>
      <w:r>
        <w:rPr>
          <w:rFonts w:ascii="arial" w:eastAsia="arial" w:hAnsi="arial" w:cs="arial"/>
          <w:b/>
          <w:color w:val="000000"/>
          <w:sz w:val="20"/>
          <w:lang w:val="en-US" w:eastAsia="en-US" w:bidi="ar-SA"/>
        </w:rPr>
        <w:t xml:space="preserve">Medicine — Liability of practitioners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fault — Causation — Standard of care — Emergency room treatment — Nurses — Damage awards.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16" w:name="Case Summary_16"/>
            <w:bookmarkEnd w:id="116"/>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Robinson for damages for personal injury. Robinson attended the emergency room of the defendant, Lions Gate Hospital, with stomach pain after having been constipated for five days. Her daughter was with her. After Robinson was examined by an emergency room physician, a nurse made two attempts at giving her a microlax enema. According to the nurse, the attempts were made in a cubicle in the emergency room, whereas Robinson and her daughter stated that the procedure was done in a washroom. The nurse explained to the doctor that the microlax had not worked, so the doctor ordered an enema without further instruction. Hospital policy stated that in the absence of a specific order, tap water was to be used for a cleansing enema. However, the nurse prepared a mayo enema rather than using tap water alone. Robinson claimed that she screamed because the tube was inserted roughly. For five days after leaving the hospital, Robinson felt very ill and was mostly bedridden. She returned to the hospital for a laparotomy, drainage of abscess, and a colonoscopy. A hole was found in the rectum. A surgeon gave opinion evidence that the perforation was almost certainly caused when the enema was administered. Another surgeon acknowledged the possibility of the enema causing the perforation, but was of the view that Robinson had a pre-existing abscess likely caused by a cryptoglandular disease or other conditions. Two nurses also gave opinion evidence, agreeing that perforation could occur during administration of an enema, and that administering a microlax enema in a standing position in a washroom was below the expected standard of care. Robinson continued to experience pain and was unable to keep her weight or her strength up. </w:t>
            </w:r>
            <w:r>
              <w:rPr>
                <w:lang w:val="en-US" w:eastAsia="en-US" w:bidi="ar-SA"/>
              </w:rPr>
              <w:cr/>
            </w:r>
          </w:p>
          <w:p>
            <w:pPr>
              <w:spacing w:before="120" w:line="260" w:lineRule="atLeast"/>
              <w:ind w:left="240"/>
              <w:jc w:val="both"/>
              <w:rPr>
                <w:lang w:val="en-US" w:eastAsia="en-US" w:bidi="ar-SA"/>
              </w:rPr>
            </w:pPr>
            <w:bookmarkStart w:id="117" w:name="Holdings of Court_14"/>
            <w:bookmarkEnd w:id="117"/>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Generally, the evidence of Robinson and her daughter was accepted over that of the nurse with respect to the details of the incident. There was no evidence of a pre-existing abscess. The nurse did not perform a proper nursing assessment and did not assess Robinson's pain response to the enema. She roughly and quickly administered the enema without careful consideration as to the direction of the tube, the length of insertion, or rate of flow of the fluid. The perforation occurred either from the tip of the tube hitting the wall of the rectum, or from the fluid being administered too quickly. The perforation did not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by carelessly administering the enema the nurse failed to meet the standard of care of a prudent nurse of average competence. The hospital was vicariously liable. Robinson was awarded general damages of $80,000, plus special damages of $5,630 for the cost of nutritional supplements and $5,000 for future expenses. </w:t>
            </w:r>
            <w:r>
              <w:rPr>
                <w:lang w:val="en-US" w:eastAsia="en-US" w:bidi="ar-SA"/>
              </w:rPr>
              <w:cr/>
            </w:r>
          </w:p>
          <w:p>
            <w:pPr>
              <w:rPr>
                <w:lang w:val="en-US" w:eastAsia="en-US" w:bidi="ar-SA"/>
              </w:rPr>
            </w:pPr>
          </w:p>
        </w:tc>
      </w:tr>
    </w:tbl>
    <w:p>
      <w:pPr>
        <w:jc w:val="both"/>
        <w:rPr>
          <w:lang w:val="en-US" w:eastAsia="en-US" w:bidi="ar-SA"/>
        </w:rPr>
      </w:pPr>
      <w:bookmarkStart w:id="118" w:name="Counsel_17"/>
      <w:bookmarkEnd w:id="118"/>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09" style="position:absolute;z-index:25172787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E. Lyszkiewicz, for the plaintiff. J.D. Ankenman, for the defendants.</w:t>
      </w:r>
      <w:r>
        <w:rPr>
          <w:lang w:val="en-US" w:eastAsia="en-US" w:bidi="ar-SA"/>
        </w:rPr>
        <w:cr/>
      </w:r>
    </w:p>
    <w:p>
      <w:pPr>
        <w:spacing w:after="240"/>
        <w:rPr>
          <w:lang w:val="en-US" w:eastAsia="en-US" w:bidi="ar-SA"/>
        </w:rPr>
      </w:pPr>
      <w:bookmarkStart w:id="119" w:name="Judgment_17"/>
      <w:bookmarkEnd w:id="119"/>
      <w:r>
        <w:pict>
          <v:line id="_x0000_s1110" style="position:absolute;z-index:25177907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20" w:name="DILLON J."/>
            <w:bookmarkEnd w:id="120"/>
            <w:r>
              <w:rPr>
                <w:rFonts w:ascii="arial" w:eastAsia="arial" w:hAnsi="arial" w:cs="arial"/>
                <w:b/>
                <w:color w:val="000000"/>
                <w:sz w:val="30"/>
                <w:lang w:val="en-US" w:eastAsia="en-US" w:bidi="ar-SA"/>
              </w:rPr>
              <w:t>DILLON J.</w:t>
            </w:r>
          </w:p>
        </w:tc>
      </w:tr>
    </w:tbl>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Gloria Robinson, claims against the defendant, Lions Gate Hospital (the "hospital"), for the negligent administration of an enema in the emergency ward of the hospital on February 17, 1998. The plaintiff suffered perforation and abscess of the rectum and was hospitalized on February 22, 1998. The issue in this case is whether a pre-existing condition was the cause of the plaintiff's perforated rectum or whether Nurse Janice Edmonds perforated the rectum of the plaintiff when administering an enema on February 17, 1998 and, if so, whether administration of the enema was negligent.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Background to February 17,1998 attendance at emergency ward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was a widowed, retired bank officer, aged 73, when she experienced constipation over five days in February 1998. This was unusual for the active, robust woman. When a suppository did not work and her stomach pain continued, she called her daughter, Jeannette Sha, to come to her house around 7:30 a.m. on February 17, 1998. Her other daughter, Barbara Robinson, with whom she lived, had already left for work. Ms. Sha arrived to find her mother in obvious pain and decided to take her to the emergency department at Lions Gate Hospital because neither doctors' offices nor pharmacies were open yet.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Prior to attendance at the emergency ward, the plaintiff had not noticed any blood or discharge. She had never experienced rectal bleeding and did not think that she had hemorrhoids. Her general practitioner testified that the plaintiff had never complained of rectal bleeding, hemorrhoids, or anal pain prior to February 1998. She had last examined the plaintiff in October 1997 and found the rectal area healthy after a complete examination. Stool samples taken were negative for blood. Bowel movements were noted to be regular and there was no complaint of constipation. Regular contact with the general practitioner prior to February 1998 was notable for the lack of any reference to bowel or rectal problems.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Events of February 17, 1998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was immediately brought to a cubicle in the emergency ward while her daughter attended to the provision of relevant information. The plaintiff put on a hospital gown and she and her daughter waited for a nurse to arrive.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Nurse Janice Edmonds was on duty in the emergency department that morning. A registered nurse since 1974, she worked part-time as a float nurse, occasionally doing emergency duty but not as part of the regular emergency staff. The triage nurse had informed her that the plaintiff was complaining of constipation and that she was at the least acute level within the emergency department.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Nurse Edmonds came into the cubicle and Ms. Sha immediately apologized for bringing her mother into emergency for constipation. The nurse responded that it was not really an emergency but something that could have been handled outside, in a doctor's office. Ms. Sha described the nurse as "unfriendly". Nurse Edmonds admitted that she may have shown "some initial surprise" when she first met the plaintiff. Ms. Sha waited outside the cubicle while the nurse took particulars.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said that Nurse Edmonds took her temperature and blood pressure. The nurse, however, said in discovery that she did a head to toe assessment, including listening to bowel sounds with a stethoscope and palpitation of the abdomen. At trial, the nurse said that she did not examine the abdomen because the plaintiff had bowel pain and because there was no reason to when she knew that Dr. Long, the emergency department physician, would assess the patient. Nonetheless, she recorded "no pain on palpitation".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After talking with the plaintiff, Nurse Edmonds had a discussion about her case at the main desk. Apparently, the tone of the discussion was that it was inappropriate that the plaintiff should be in emergency, that this was a defect in the overall system, and that a general practitioner, home care nurse, or clinic should have handled her. The discussion went to the extent of calling the general practitioner's office to see if there was another option.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Nurse Edmonds testified that the plaintiff went to the washroom before she saw the doctor and the nurse checked on her while she was there. Neither the plaintiff nor Ms. Sha were asked about this recollection. No reason was given as to why the nurse would have checked on her in the washroom at this point.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Shortly after the nurse left, Dr. Long, an emergency room physician, attended upon the plaintiff. Ms. Sha waited outside the cubicle while the doctor examined her mother. Dr. Long took a history and examined the plaintiff. She was competent and communicative. She did not appear sick. There was no nausea, vomiting, chills, or diarrhea. He performed a full rectal examination, including digital penetration and palpation. Dr. Long said that there was no pain upon this examination. The plaintiff described this as unpleasant but not painful, although she continued to have abdominal pain in waves as the doctor examined her. The doctor found no evidence of tenderness or distension in the abdomen but the rectum was full. He noted a large external hemorrhoid. He did not notice any rectal or other bleeding and testified that if the history had indicated rectal bleeding, he would have done a complete physical. He found no evidence of any rectal inflammation or disease. He testified that there was no abscess present when he assessed the plaintiff. The extent of his examination was such that some pain response would have been elicited if there had been an abscess or rectal disease present at that time, although he conceded that there was always the possibility that this may not be the case. After a complete examination, the doctor diagnosed constipation. He testified that this was a straightforward case of constipation without any complication of bowel disease, tumour, infection, ulceration, or inflammation, all of which he looked for. He ordered a "microlax suppository". The doctor was not aware that microlax did not come in a suppository but came in a small tube for insertion into the rectum as an enema.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Hospital policy required a doctor's order for administration of an enema. Although the microlax order referred to a suppository, Nurse Edmonds knew what the doctor meant and obtained a microlax enema package. This was a small tube with the contents enclosed and manufacturer's instructions for administration.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Nurse Edmonds was aware of the risk of damage to the rectum, including perforation, upon administration of an enema although she had never experienced this herself. She knew that there would be bleeding immediately if perforation occurred. Dr. Long also testified that trauma from the enema tip, from the volume of fluid, or from the type of fluid is a risk of administration of an enema.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Nurse Edmonds testified that she administered the microlax enema to the plaintiff on the bed in the cubicle. She said that she followed her normal routine and asked the patient to turn to her left side. She testified that she noticed a hemorrhoid when placing the tip into the anus. She said that she squeezed the tube but it did not go in. She pulled the enema out and the contents spilled onto the pad that the nurse said she had placed on the bed. Nurse Edmonds said that she left the cubicle and returned with another microlax tube and repeated the same procedure. This time the fluid emptied into the rectum. The nurse said that she told the plaintiff to stay there for ten minutes but that she could go to the washroom if she wished. The nursing notes indicate that the microlax was administered at 10:00 a.m. At 10:30, the notes record that the plaintiff was up to the bathroom with no results. Nurse Edmonds said that the plaintiff told her that there were no results.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Sha and the plaintiff gave a different version of this event. Ms. Sha testified that after the doctor left, the nurse returned and took her mother into a washroom located within the emergency department. She testified that her mother and the nurse went into the washroom while she waited outside the washroom in the hall. The nurse came out after about five minutes and then returned to the washroom a short time later. After another five or ten minutes, the nurse and the plaintiff came out of the washroom. Ms. Sha said that she returned her mother to the stretcher in the cubicle. Her mother then told her that the nurse had administered an enema in the washroom and that she was to wait to see what happened. She also told her daughter that the first enema administered in the washroom had not worked so a second had been given. Ms. Sha then accompanied her mother to another washroom, returning afterwards again to the cubicle. Ms. Sha went to the triage desk to report that the enema had not worked.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was most positive in her testimony that the nurse gave her two enemas in the washroom. In cross-examination, she said that the nurse was just wrong if she said that the first two enemas were administered in the cubicle. She said that she was standing, and told to bend over. She remembered no other conversation. She said that there was a problem with the first one and saw that the solution had gone all over the nurse's hand. The nurse left and came back with another one and told the plaintiff to bend over again. The plaintiff described the nurse as gruff, with no conversation. The nurse succeeded with placement of the second enema. The plaintiff said that she left the washroom after a couple minutes and returned to the cubicle with her daughter.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Nurse Edmonds said that she explained to Dr. Long that the microlax had not worked and that he then ordered an "enema" without further instruction. Dr. Long recognized that he subsequently ordered an enema but could not remember who had advised him that the microlax had not worked. Hospital policy stated that, in the absence of a specific order, tap water was to be used for a cleansing enema. Dr. Long said that he left this up to the nurse, expecting that she would follow hospital policy. Nurse Edmonds considered this a simple case of constipation and saw no problem with the order.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Nurse Edmonds said that she rejected using tap water alone because that required too much fluid for the plaintiff with her loaded rectum. So, she decided to use a mayo enema, the one most commonly used at the hospital and conveniently located in the kitchen in the emergency ward. She considered that the fluid volume was lower and that the mayo was safe and effective for cleansing, impaction, and flatulence. The nurse prepared the solution of 240 millilitres of warm water and 60 millilitres of brown sugar, and brought 30 millilitres of baking soda to the bedside along with the commode.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Sha described Nurse Edmonds as unhappy and abrupt when she returned to the cubicle with equipment and a commode. Ms. Sha removed herself behind the curtain of the cubicle and walked around.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noticed that the nurse had brought a tube and a bag. The nurse told her to lie on her side with her leg bent. The plaintiff denied that the nurse explained that Dr. Long had ordered the enema or that the nurse told her what would happen. Based upon the nurse's procedure adopted with administration of the microlax enema and her statement that she could not remember her exact words except as she generally says, I accept the plaintiff's recollection that no explanation was provided except for a direction to turn over. Nurse Edmonds considered the plaintiff to be alert, competent and communicative. She agreed that the plaintiff responded to the instruction to turn on her side. She said that the plaintiff did not talk to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Nurse Edmonds said that she lubricated the tubing and measured three or four inches off on the tubing. She then inserted the tip of the enema "about" three inches into the plaintiff's rectum. In discovery, she said that she inserted the tube three to four inches into the plaintiff's rectum and that this was the standard procedure. She acknowledged that the tube is not marked to indicate the depth of insertion. The nurse did not indicate the direction of insertion except that it was "up into the rectum". Nurse Edmonds said that the plaintiff did say something like "oh" as she inserted the tube. Then the nurse opened the clamp and allowed the fluid to flow, raising the bag. 190 millilitres was administered. It was a short procedure, the nurse did not know how long but assumed that it was short because of the amount of fluid administered. Nurse Edmonds said that the plaintiff said that she could not hold it as the fluid was being administered, a reaction considered common by the nurse at the time. The nurse said that the plaintiff got onto the commode while the nurse was still in the cubicle. The nurse observed soft stool on the tube and no blood. The nurse's notes state: "mayo enema given".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Hospital policy required the nurse to also document the amount of enema given and the patient's tolerance of the procedure. The usual amount for a cleansing enema is 400-1,000 millilitres according to hospital policy. A mayo enema is typically 240 millilitres of fluid as described by the nurse. Hospital policy suggested that if the patient experienced discomfort or a desire to defecate, then the fluid was to be stopped and then restarted at a slower rate until all was administered.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said that the nurse inserted the tube into her anus rather roughly because she screamed. The nurse told her not to be such a "cry baby". The plaintiff said that the scream was loud enough for others to have heard. Nurse Edmonds said that the sound was not that loud because others would have come into the cubicle. She denied saying, "cry baby". The plaintiff said that it continued to hurt but she said nothing after the nurse's comment. The nurse then told the plaintiff to remain on the bed for about five minutes and left the cubicle. Ms. Sha came 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Neither Dr. Long nor Ms. Sha was asked whether each had heard the plaintiff exclaim when she was in the cubicle with the nurse. The plaintiff obviously made sufficient sound that both she and the nurse noticed it. I do not accept Nurse Edmonds qualification of the sound as the usual one patients' make when the tip is inserted into the rectum. It was something more. The response was to hurt as opposed to just discomfort. The plaintiff had made no such sounds upon the first two administrations that had also proceeded beyond the anal sphincter. Nor had she responded during Dr. Long's rectal examination. The plaintiff said that she responded to pain after insertion of the tube and when the fluid hit her rectum. This was such an immediate response that I conclude that the enema was administered quickly.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Sha said that she re-entered the cubicle to find her mother sitting on the edge of the stretcher. Both the plaintiff and Ms. Sha said that it was Ms. Sha and not the nurse who helped the plaintiff onto the commode. Ms. Sha then left, standing just outside the curtain for a few minutes. The plaintiff said that relief came in such an explosive gush that she did not notice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Sha then helped her mother from the commode back to the stretcher, closing the commode as she did so. Ms. Sha said that she noticed a fair amount of red in the commode but did not think about what it was. It did not occur to her to raise it with the doctor. The plaintiff also said that she noticed bright red in the commode before her daughter replaced the lid.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waited with her daughter for another twenty minutes. Both said that no nurse returned to the cubicle during this time. The plaintiff said that Nurse Edmonds did not return at any time to remove the commode. Although she said in discovery that the nurse came in after she used the commode, she said that she was mistaken at trial. It was not suggested to Ms. Sha that the commode had been removed while she was there. As nobody came, the plaintiff put on her clothes.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Nurse Edmonds said that she returned to the cubicle several times before removing the commode to the service room. She said that she observed the contents of the commode. It contained eight to ten hard balls of stool with some soft stool and water. She testified that there was absolutely no blood in the commode. Dr. Long testified that nurses do not always empty the commode, as there are others to do this. However, the nurse generally observes the contents before it is disposed of. If there is blood, the practice is to report it to the doctor. If this had been done on February 17, Dr. Long said that he would have re-examined the plaintiff. Hospital policy required the nurse to document the amount, colour and consistency of returns after administration of an enema. Nurse Edmonds noted "large constipated stool" at 11:00 a.m. She agreed in cross-examination that the record was incomplete but explained that it was just an emergency record and detail was not required.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is difficult to understand why neither the plaintiff nor her daughter mentioned the red contents to anyone. The plaintiff knew that it was important to tell someone if she saw blood. She said, however, that all that she wanted to do was go home at that point. She also said that she figured that someone would call her if there was concern. She also said that she just doesn't know why she did not say anything. Ms. Sha did not realize the significance of the observation. It is even more difficult to understand why the plaintiff and her daughter would say there was blood if there was none.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two departed the cubicle and stopped at the emergency desk to speak to Dr. Long as they left. He gave some advice. Neither the plaintiff nor Ms. Sha mentioned the contents of the commode. Neither the plaintiff nor Ms. Sha saw Nurse Edmonds again after she administered the enema. However, Nurse Edmonds said that she returned to the cubicle again and talked to the plaintiff about diet and other things that she could do. The plaintiff denied that the nurse had given them information before leaving the hospital. However, Nurse Edmonds did confirm in cross-examination that the plaintiff spoke with Dr. Long before she left and told him that she had pain in the anal area. The plaintiff and her daughter departed the hospital.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was uncomfortable upon her return to her house and was unable to sit. She said that her "bottom" hurt after the enema and she felt pretty rough. Her daughter put her to bed and left. Neither the plaintiff nor her daughter noticed any blood on clothing or bedsheets. However, the plaintiff was too ill to take notice and there is no evidence that Ms. Sha had opportunity to notice. The plaintiff related what had happened at the hospital to her daughter, Barbara, that night. She told her that she had been administered three enemas and that the third had hurt and the nurse told her not to be a cry baby.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Post February 17, 1998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testified that the next thing that she really remembered was pain in her stomach and her daughter asking her who she was talking to. Five days had gone by with the plaintiff mostly bedridden and feeling very ill. She next remembered waking after surgery with all of her family present beside her hospital bed.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Both daughters testified that the plaintiff was ill ever since she returned from the hospital on February 17th. Barbara Robinson said that her mother was up from bed at first when she went to work, but spent more and more time in bed, complaining that her bottom hurt. Ms. Sha saw the plaintiff daily until February 22, 1998 when the plaintiff returned to the hospital. On the morning of February 22, the plaintiff was obviously hallucinating, not making sense and the daughters were worried that she had had a stroke. They took their mother to Lions Gate Hospital around eight that morning.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was not coherent and was hallucinating when she was admitted to hospital on February 22, 1998. Any information that she would have given was unreliable. She could not have been expected to recount the blood in the commode five days earlier. Nor could she give an accurate estimate of when her problems started, nor an accurate description of rectal discharge for the past three weeks. Her daughters informed Dr. Queh, the attending general surgeon, that she had been treated with three enemas for constipation five days earlier.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Queh saw the plaintiff on February 24, 1998. She was suffering from sepsis with confusion and hallucination among the symptoms. Although Dr. Queh noted a history of two weeks of abdominal pain, the patient related the onset to the enema. Dr. Queh was not aware of when the enema had been administered and reference to two weeks was obviously an error in the information given by the plaintiff. All of the plaintiff's symptoms followed administration of the enema.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underwent a laparotomy, drainage of abscess, and a colonoscopy on February 25, 1998. Dr. Queh, assisted by the plaintiff's general practitioner, found a hole in the rectum, approximately five to ten centimeters from the anal verge or sphincter. Dr. Queh could not conclude on the cause of the perforation, which he preferred to call an ischeorectal abscess at trial. An ischeorectal abscess by definition involves a break in the cavity. Dr. Queh was not so timid in his description of a "perforation" in his hospital notes. Dr. Queh had written that he suspected a perforated rectum with abscess formation in his consultation report prior to surgery. He said at trial that the abscess was possibly caused by the enema. He had found no evidence of underlying bowel disease during the surgery. He would not expect a digital rectal examination to have caused damage to the rectal wall. There was no discharge from the vagina.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plaintiff's general practitioner was interested to know the cause of the plaintiff's abdominal infection. She felt a defect "several" inches in from the anus, up from the anal sphincter. She said that there was normal tissue and then it stopped with a hole in the rectum. In her discharge summary, the assisting doctor noted that there was a large ischid rectal abscess "as a result of traumatic perforation of the rectum following enemas". The general practitioner was not, however, called to give an expert opinion as to the cause of the perforation at trial and deferred to Dr. Queh as to cause.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was discharged from hospital on March 9, 1998. She was still ill and very tender. Her two daughters undertook her full care, moving her bed to the main floor, and caring for the colostomy because the plaintiff was too weak. The plaintiff remained bedridden for three weeks. Her daughter, Barbara, took over her intimate care. The plaintiff was embarrassed that her daughters had to look after the colostomy. The plaintiff did finally manage to change the bag herself after three months, but never did master the flange. She developed a rash from the glue for the flange which took four months to clear up. She took codeine for pain. She saw a psychologist to deal with her anger.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Queh continued to see the plaintiff after her discharge from hospital. In October 1998, the plaintiff complained of pain in her rectum and discharge from her anus. A sigmoidoscopy and proctoscopy was performed. There was purulent material found above the perforation and the rectum appeared very swollen, consistent with someone with a perforated rectum and colostomy. The perforation had healed. No underlying disease was found. Dr. Queh saw the plaintiff again in late October 1998 for follow up to her "perforated rectum and pelvic abscess". The plaintiff was experiencing nausea, weakness, fatigue, unsteadiness, and hallucinations. A gastroscopy revealed no underlying disease. During Dr. Queh's course of treatment of the plaintiff, he had found no abnormality of the bowel except perforation leading to abscess.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had been unable to manage all of the care of her colostomy prior to the reversal by surgery in July 1999. She was dependent on her daughters. There were embarrassing accidents with the equipment that caused the plaintiff to return home if she was out. She was unable to fully resume her activities during this time and lost weight. She continued to use non-prescriptive pain relievers.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remains frail and has lost the confidence to go out on her own except occasionally. She still has troubles around her anus with pain and discharge. Sitz baths help. The plaintiff still uses protective panties. She has tried to gain weight with the use of supplements but without much success. She has continued to see the psychologist occasionally.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Expert Opinion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Gregor McGregor, a general surgeon, was qualified to express an opinion in the area of rectal perforation, pelvic abscesses and colostomies. He testified as to the cause of the rectal perforation suffered by the plaintiff. He found that that there was no evidence of a pre-existing disorder, disease, or condition that could have been responsible for the rectal perforation. The location of the perforation, close to the anal verge below the peritoneal reflection, was not suggestive of cryptoglandular disease. The plaintiff's use of calcium created a possibility of ulceration. However, if any such disorder, disease or condition had existed, Dr. Long would have noted it in his thorough examination of the patient on February 17, 1998. Dr. McGregor said that the perforation was almost certainly caused when the enema was administered. The evidence that the plaintiff cried out in pain as the enema was administered and the chronology of events from February 17-22 also supported his conclusion. He expressed this opinion with compelling certainty whilst acknowledging that the likelihood of such an event is small. He also said that it was so unlikely as to be impossible that by sheer coincidence, an infection occurred between February 17-22, and developed so rapidly as to cause complete rectal perforation by February 22nd.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James Okamura, a general surgeon with a sub-specialty in colon and rectal surgery, also testified. He said that perforation of the rectum at the time of the enema was a possibility but, in his opinion, the plaintiff had a pre-existing abscess prior to February 17th likely caused by cryptoglandular disease or other conditions. This was based upon the notes in the February 22nd hospitalization indicating a three-week history of discharge, a two-week history of abdominal pain, and pain and chills prior to administration of the enema. Dr. Okamura was not aware that the plaintiff gave this history when she was admitted on February 22nd suffering from hallucinations and sepsis. In cross-examination, the doctor said that his opinion would change if the examining doctor on February 17th did not find evidence of rectal discharge or chills. His opinion changed when the February 17th medical record was put before him and was not suggestive of any of these conditions. He was apparently not aware that there had been an exclamation by the plaintiff suggestive of pain when the enema was administered. He formed his opinion initially under the impression that the plaintiff had been taking steroids that would mask any pain associated with an abscess. He revised his opinion to delete reference to steroids when he realized that this was in error. He acknowledged that five days would be generally the expected time within which a patient would exhibit symptoms following perforation of the bowel.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basis of difference between the two doctors is whether the plaintiff was suffering from a pre-existing abscess when the enema was administered on February 17th. Dr. Okamura agreed that a perforation at the time of enema would be the most likely source of the infection if there were no pre-existing abscess. Neither doctor expressed the view that the perforation occurred prior to administration of the enema but was asymptomatic on February 17th. Nor did either suggest that the explosive bowel movement of the plaintiff on February 17th cause the perforation.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McGregor also testified that a rectal perforation could occur with a properly administered enema. However, he also said that insertion of the enema tube three or four inches is beyond the anal wall and would be a cause for worry. Dr. Okamura opined " ...Gentle, limited, careful insertion of an enema tip rarely results in a perforation in a normal healthy bowel". It was apparent from the testimony of both doctors that the enema that each was referring to was the mayo enema and not the microlax enema. The latter is a manufactured unit with a clearly marked tip that allows administration only to 5.5 centimeters.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Two nurse experts testified. Nurse McLeod was qualified to testify with respect to the standards expected of a registered nurse in the examination of a patient and in the administration of an enema, specifically a microlax and carminative enema. Nurse McMahon was specifically qualified as an emergency nurse. The main points of expert nursing testimony concerned the appropriateness of the use of a mayo or carminative enema by Nurse Edmonds, the documentation done or not and its significance, the failure or not to perform a proper nursing assessment, the standard for depth of insertion of the enema tube, the placement of a patient and direction for insertion of the enema tube, and the risks of administration of an enema. Generally, I prefer the evidence of Nurse McLeod. Nurse McMahon went beyond her expertise in suggesting that the plaintiff was inaccurate or unreliable in her recollection of the events of February 17th either because of dementia or the effects of pain on memory, in offering an opinion that the plaintiff possibly suffered from an ischiorectal abscess prior to her attendance at the hospital on February 17th, and in suggesting that the plaintiff's insertion of a suppository had caused the perforation. I also find that Nurse McLeod incorporated the hospital policy and directive more accurately into her assessment of charting requirements. I found Nurse McMahon to be evasive, argumentative and confusing in her answers. She used her subjective evaluation of the expertise of Nurse Edmonds when she was critical generally of the subjective evaluation of others. Her quotes were sometimes incomplete or unreferenced, rendering them unreliable. Finally, the facts as found do not support the conclusions of Nurse McMahon.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Nurse McLeod outlined the defendant hospital standard that a physician order is required for administration of an enema and that if a physician does not specify the solution to be used, tap water is to be used for a cleansing enema. If the nurse disagrees with this solution, she should consult the physician. Within the directive of the defendant hospital policy, a carminative or mayo enema is to be given for intestinal distension and flatulence even though it could also be used as a cleansing enema generally within nursing practice. This established that the standard within the defendant hospital for a cleansing enema, in the absence of a doctor's order as to solution, was tap water. Nurse Edmonds did not administer tap water, but a carminative or mayo enema. Both nurse experts agreed that there was no diagnosis from either Dr. Long or Nurse Edmonds that the plaintiff was suffering from distention or flatulence. Ultimately, Nurse McMahon agreed that hospital policy required a tap water enema in this circumstance. Administration of the mayo enema did not meet the standard of care required by hospital directive.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Nurse McLeod also said that volume of fluid is not determinative of the type of enema to be used as it is the purpose of the enema that is significant, given that any enema can have its volume reduced if the patient does not tolerate the procedure.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standards for documentation at the hospital required the nurse to document the type of enema given, the amount, colour and consistency of returns, and patient tolerance of the procedure. The nurse experts disagreed as to whether this was required only if normal expectations were not met within the practice of charting by exception. The form for documentation of these observations was narrative. Nurse McLeod said that Nurse Edmonds failed to document the amount, colour or consistency of returns, and patient tolerance within the charting by exception standard as tempered in this case by hospital directive. Nurse McMahon said that if the findings were within normal expectations, this was not required. This would imply, for example in this case, that the plaintiff received all of the standard volume of fluid in a mayo enema, namely 240 millilitres because nothing was otherwise charted. However, Nurse McMahon was inconsistent in her approach upon cross-examination, saying that textbook requirements to chart the type and amount of solution used, the colour, consistency and amount of returns, and client self-reports depended upon hospital policy. Also, the characteristics of charting by exception described in professional nursing standards recognize that if narrative forms are used, documentation of findings that fall outside of expected ranges "...identified in the protocols and standards" is required. "Protocols" in this case refers to the hospital directive on documentation. Documentation was required when the hospital directive gave no standard expectation of amount or tolerance and on a plain interpretation of the directive itself. By either expert interpretation of charting by exception, the amount of fluid, character of returns, and patient tolerance should have been noted.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There was disagreement as to whether there should have been notation of the patient's exclamation when the tube was inserted. Nurse McMahon eventually agreed, however, that if the patient cried out in pain, this should have been noted. Nurse McLeod also was critical that the nurse did not document that she had administered two microlax enemas. Nurse McMahon, however, said that she was not required to note this because it was equivalent to a wasted cannula used to start an intravenous. She did agree, however, that microlax is a drug.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Nurse McMahon said that it was not necessary for the nurse to have further assessed the plaintiff's reaction to the enema because it did not fall outside of the expected reaction. She also said that she would have expected others to come round if the patient screamed loudly. However, in cross-examination, she said that a nurse cannot make assumptions from a moan or groan and that an assessment is required to determine whether the noise is significant. She agreed that if the plaintiff did cry out in pain, then the nurse did not respond according to the standard of care expected. Nurse McLeod said that a nurse should not assume that a patient's reaction is normal when a patient exclaims during a procedure until a pain assessment is done, given that a patient's reaction is subjective. She made no assumptions about whether others could have heard. Apparently, Nurse McMahon accepted that the patient's response was minimal. Neither commented upon the nurse's statement about the plaintiff being a "cry baby".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Both agreed that further assessment and notification of medical staff was required if a patient complained of rectal bleeding.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Both nurses agreed that it would be below the expected standard of care to administer a microlax enema to the plaintiff in a standing position in a washroom.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Nurse McLeod said that the standard for insertion of an enema tube is two inches for an adult with lubrication of the tip to two to three inches. She said that the defendant hospital standard suggesting three to four inches was wrong and not in accord with the literature reference provided in the policy itself. She said that the safest insertion is two inches based upon the length of the anal canal. Nurse McMahon testified that the standard was three to four inches and provided textbook and journal support for this assertion. However, Nurse McMahon also said that the microlax insertion depth of 5.5 centimeters "...supports the expected standard of care in enema administration...". From all of this, I conclude that there is controversy in the literature as to the correct standard for depth of insertion of the enema tube. However, the preferred, careful, safe standard is two inches, just past the anal sphincter.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Both nursing experts agreed that perforation of the rectal wall could occur during administration of an enema. This can occur if the tube is inserted too deeply, if the fluid is released too quickly and under excessive high pressure, if too much force is used upon insertion, or if it is inserted at the wrong angle. Nurse McLeod said that potential complications from rushing insertion of an enema tube include rectal injury. Success depends upon relaxation of the patient as influenced by the nurse's approach, skill and manner. Rough administration has the portent for damage. Both nursing experts agreed that the risk of perforation is always present. The person administering the enema needs to be appreciative of the angle between the direction of the anal canal and the umbilicus. Nurse McMahon said that pain or bleeding upon administration could be indicative of inappropriate positioning of the enema tip and rectal injury. Because the procedure is considered simple, basic principles of administration are often ignored.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Analysis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Generally, I prefer the evidence of the plaintiff and Ms. Sha as to what occurred in the emergency department on February 17, 1998. Both were consistent in their evidence and complemented the evidence of each other. There were no significant inconsistencies in their evidence. Each expressed a clear recollection of a significant event in their lives. The plaintiff was competent, clear and coherent in all communications with medical and nursing personnel. She was not so overburdened with pain that she could not accurately recollect what had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Nurse Edmonds could not remember the plaintiff herself but said that she remembered the events because within "a few days", she was asked to give a summary of events. This, however, would have been at least after the surgery on February 24th, so at least seven days after events of February 17th. Her early summary of events and the date of that summary were not in evidence. She prepared it from nurses' notes. The quality of her notes indicated a certain cursory attitude towards events because some parts were not filled in and there were errors. The nurse was unclear as to whether the notes were prepared chronologically or afterwards. Given the arbitrary blocks of time and errors in the chart, I conclude that they were written up after the patient had departed. Nurse Edmonds was inconsistent in her approach to charting by exception. At times in her evidence, the nurse could not remember what was said unless she referred to the nursing notes. She could only refer to her chart to remember what assessment she had done. She also could not remember who had said something and often referred to her general practice or what she 'would have done' for a recollection of what had occurred. This was specifically so when she described administration of the enema itself. She also said that it was extremely difficult to remember from five years ago, eventually saying that she remembered being at the bedside. The nurse could not remember any other patient that she saw in the emergency that day or in the following week. There was a significant inconsistency in her evidence about whether she heard the plaintiff complain of anal pain upon departing from the hospital.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nurse had recorded that the patient reported a history of rectal bleeding. The plaintiff denied this. There was no evidence of rectal or any other bleeding found by anyone before the enema was administered on February 21, 1998. Dr. Long testified that if there had been such bleeding of any significance, he would have expected the nurse to inform him. He also said that he would have charted rectal bleeding if there was any at all or if the nurse had reported it to him. Nurse Edmonds said that she did not make the same note in the medical history, suggesting that the report was not of a present complaint. However, I reject that explanation because if the plaintiff had reported this at all, it would have been covered again in the full medical history given its potential significance and the fact that there was a specific place to record such information on the medical history sheet. Nurse Edmonds also explained that some insignificant bleeding was common with hemorrhoids at the plaintiff's age so she expected Dr. Long to check this out when he saw her. However, the timing of Dr. Long's examination was before Nurse Edmonds would have observed a hemorrhoid herself. The plaintiff had not told Nurse Edmonds that she had hemorrhoids and the nurse would not have seen Dr. Long's notation of a hemorrhoid while she was caring for the plaintiff. Nurse Edmonds did not note the observation of a hemorrhoid herself despite three administrations of an enema. In these circumstances, I reject the nurse's testimony that she observed a hemorrhoid or that this was part of any reason for failure to provide a full or accurate medical history in the chart. Any expectation that others would have pursued bleeding due to hemorrhoids was an after the fact reconstruction of a reason why Nurse Edmonds did not include it in the medical history or in her progress/examination notes. Nurse Edmonds also could not recall whether she asked any further questions about rectal bleeding. This would have been required for a proper nursing assessment of the statement. In these circumstances, I conclude that Nurse Edmonds was in error in her recording of this history from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nurse did not perform a proper nursing assessment of the patient. She relied only upon offered information, with little follow up questioning. She relied upon the fact that she knew that Dr. Long would examine and assess the patient later. Parts of the nursing assessment were incomplete. The nurse did not assess the plaintiff's pain response to the enema and did not assess or report her notation of a history of rectal bleeding. The lack of a proper assessment is relevant to the choice of enemas, a choice dependent in part upon a thorough nursing assessment. In this case, the nurse said that she chose the mayo enema over tap water because she concluded that the patient would not withstand the fluid volume of a tap water enema. However, she administered less of the mayo enema than prepared and agreed in cross-examination that she could also have administered less of the tap water enema if the patient was not tolerating more. The failure to properly and continually assess is indicative generally of the quality and haste of the nursing care given.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nurse testified that the plaintiff went to the bathroom twice while at the emergency ward but that she did not administer the microlax there. She admitted, however, that she might have gone into the washroom while the plaintiff was in there. Both the plaintiff and Ms. Sha were very clear that the nurse had administered the microlax in the washroom. It is not surprising that Nurse Edmonds would deny this event. It is surprising that the plaintiff would make up such a story. I conclude that the microlax was indeed administered in the washroom. It was never put to Ms. Sha that the microlax had been given in the cubicle as the nurse testified. All agreed that Ms. Sha had remained with her mother the whole time. If the nurse had brought the pad and other equipment to the cubicle as she said, then Ms. Sha would have seen it and she would have been aware of it. Also, the timing of the nurse's notes indicates a half hour elapsed before the plaintiff went to the washroom after administration of the microlax enema. The nurse had told her to wait ten minutes. The plaintiff was not asked about this time lag. I think it unrealistic that the plaintiff would have waited that long. The nurse also failed to record that she administered two microlax enemas and that the first had failed. While she equated this with a dropped Tylenol in explanation, she failed to appreciate that the first enema was an invasive procedure involving administration of a drug as the tip had been inserted into the plaintiff's anus and some fluid was discharged.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reaction of the plaintiff when the mayo enema tube was inserted and the fluid administered was one of pain. I accept the plaintiff's evidence that she experienced pain at this point, that she cried out, and that the nurse told her not to be a "cry baby". Nurse Edmonds did not make any notes about the patient's tolerance of the procedure. While this could indicate that the patient tolerated the procedure within expectations, there was no evidence as to what normal tolerance was and because Nurse Edmonds was inconsistent in her documentation procedure, I cannot conclude that this was so. From these circumstances, I conclude that the nurse knew that the patient had experienced pain but did not record or assess it. I also accept that the plaintiff reported anal pain to Dr. Long upon departing from the hospital and that Nurse Edmonds was aware of this at a time when she was unaware of a hemorrhoid which could have otherwise explained this comment.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preponderance of medical opinion is that the plaintiff was not suffering from an abscess or any rectal or bowel disease on February 17, 1998 before the enema was administered. Dr. Long had just given the plaintiff a thorough abdominal and rectal examination. Based on his record, orders, and diagnosis, he was satisfied that the plaintiff had no such condition when he examined her. Further, he testified that the condition of the patient five days later, on February 22, 1998, was inconsistent with his findings on the 17th. The history given by the plaintiff on February 22nd cannot support a conclusion that she was suffering from chills, anal or rectal pain, or discharge prior to February 17th. She was in no condition to give an accurate history. The observations of Nurse Edmonds on February 17th also do not support the presence of an abscess or rectal or bowel disease at this time. There was no nursing diagnosis or supposition of a pre-existing abscess or any other condition that could have caused the perforation.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these circumstances, I accept the opinion of Dr. McGregor that the plaintiff's rectum was perforated when the enema was administered. Dr. Okamura agreed with this opinion if there was no pre-existing abscess on February 17th. The perforation was small so that all of the fluid from the enema would have gone into the bowel. However, over the course of the next five days, the perforation caused inflammation, swelling, pain and sepsis, consistent with the plaintiff's deteriorating condition during this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conclude that the perforation occurred from administration of the mayo enema. Perforation occurred either from the tip of the tube hitting the wall of the rectum, or from the fluid being administered at such a rate as to cause perforation.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Perforation of the bowel upon administration of an enema is a rare occurrence. I accept that perforation is not indicative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per se. However, careless administration of an enema without due regard to acceptable standards can be negligent. Dr. Okamura and the nursing experts described the gentle, careful insertion and administration generally expected. In this case, I conclude that the nurse failed to meet the standard of care of a careful, prudent nurse of average competence. The facts as found support the opinion of Nurse McLeod that the defendant hospital nurse acted below the standard of care in her treatment of the plaintiff. Nurse McMahon had agreed that if these facts were found, she, too, agreed with this assessment. The defendant hospital has not argued that it is not vicariously liable if the nurse is found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Nurse Edmonds said that she inserted the enema tube "about" three inches. This indicated that she was not certain just how far she did, in fact, insert the tube. Certainly, it was beyond two inches and within the range of the perforation found in the plaintiff's bowel. While the safe standard is two inches insertion as preferred by Dr. McGregor and Nurse McLeod, I accept that the standard is not certain and that insertion up to three or four inches is still acceptable. However, the problem in this case is not the depth of insertion of the tube but the manner of insertion and administration of the fluid.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nurse administered less fluid than she prepared. Why? Most probably, it is because she was aware that the patient could not tolerate any more. How would she have been aware of this? I conclude that she stopped administration because of the plaintiff's exclamation and her stated urgent need to defecate. The cry from the plaintiff was one of pain and not just the usual reaction to insertion of the tube. Nurse Edmonds had already administered two enemas to this lady, one of which had spilled out over her hand. She, along with others in the emergency department, was concerned that the patient had come to emergency with constipation. The plaintiff described her as "rough". The plaintiff cried out when the tube was inserted and complained of anal pain when she left the hospital. The nurse did not note this lack of tolerance or the amount of fluid administered. The fact that less was administered than prepared indicates in itself that the patient did not tolerate the procedure as usually expected, thus requiring a notation of tolerance below expectations.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plaintiff's response also leads to the conclusion that the fluid was administered too rapidly. Nurse Edmonds could not recall how long the procedure took. She said that the patient expressed an urgent need to defecate. This indicates that the flow was too fast. The nurse did not then stop and slow the flow to administer all of the fluid. Rather, she ended the procedure.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nurse did not testify as to the direction of insertion of the tube except that it was up into the rectum. Standards require that the tube be inserted in the direction of the umbilicus. Although the nurse testified that she placed the patient on her left lateral side, she did not indicate that consideration was given to the direction of the tube. The fact that the nurse did not notice a large external hemorrhoid indicated that she did not carefully position the patient so to observe the anal opening and carefully direct the tube towards the umbilicus.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these circumstances, I conclude that the nurse roughly and quickly administered the enema without careful consideration as to the direction of the tube, the length of insertion, or rate of flow of the fluid. She used too much force. She ignored and was disrespectful of the patient's pain response. Her negligent action caused perforation of the plaintiff's rectum.</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Prior to February 17th, 1998, the plaintiff was a confident, elderly woman who had raised her family herself after the death of her husband. She had retired as a loans officer at a bank and was enjoying her retirement before her bowel was perforated. She suffered through two operations and three hospitalizations over a year and a half. Between these, she had recurring problems and incapacity that required repeat medical assistance and personal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 has had ongoing discomfort in the anal area that has been treated by her general practitioner and requires her to wear an adult diaper. She cannot sit for long. She is still unable to get out of the bath on her own. She is unable to participate in household and personal chores as before. Her financial independence is gone as she now relies entirely on her daughter to control her finances. She has poor endurance and gets tired when she walks too far. She generally feels insecure physically and restricts herself from "going too far" or "staying too long". She uses a walker. She no longer uses public transport. She can no longer walk a dog. Once an avid reader, her attention span is diminished as she cannot sit for long. She returned to monthly lunches with her friends in June 2002. Although her confidence and stamina have been improving, it is apparent that the feisty vitality of her older age is gone.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 has gone from a size 14 to size 6 and cannot keep her weight or strength up despite the use of boosters. These cost about $25 per week.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There is a suggestion in the cases that the age of the plaintiff should be cause to reduce the award of non-pecuniary damages because of the limited duration of future suffering (Olesik v. Mackin, </w:t>
      </w:r>
      <w:hyperlink r:id="rId272" w:history="1">
        <w:r>
          <w:rPr>
            <w:rFonts w:ascii="arial" w:eastAsia="arial" w:hAnsi="arial" w:cs="arial"/>
            <w:i/>
            <w:color w:val="0077CC"/>
            <w:sz w:val="20"/>
            <w:u w:val="single"/>
            <w:shd w:val="clear" w:color="auto" w:fill="FFFFFF"/>
            <w:lang w:val="en-US" w:eastAsia="en-US" w:bidi="ar-SA"/>
          </w:rPr>
          <w:t>[1987] B.C.J. No. 229</w:t>
        </w:r>
      </w:hyperlink>
      <w:r>
        <w:rPr>
          <w:rFonts w:ascii="arial" w:eastAsia="arial" w:hAnsi="arial" w:cs="arial"/>
          <w:color w:val="000000"/>
          <w:sz w:val="20"/>
          <w:lang w:val="en-US" w:eastAsia="en-US" w:bidi="ar-SA"/>
        </w:rPr>
        <w:t xml:space="preserve">; Giles v. Canada (Attorney General), </w:t>
      </w:r>
      <w:hyperlink r:id="rId273" w:history="1">
        <w:r>
          <w:rPr>
            <w:rFonts w:ascii="arial" w:eastAsia="arial" w:hAnsi="arial" w:cs="arial"/>
            <w:i/>
            <w:color w:val="0077CC"/>
            <w:sz w:val="20"/>
            <w:u w:val="single"/>
            <w:shd w:val="clear" w:color="auto" w:fill="FFFFFF"/>
            <w:lang w:val="en-US" w:eastAsia="en-US" w:bidi="ar-SA"/>
          </w:rPr>
          <w:t>[1994] B.C.J. No. 3212</w:t>
        </w:r>
      </w:hyperlink>
      <w:r>
        <w:rPr>
          <w:rFonts w:ascii="arial" w:eastAsia="arial" w:hAnsi="arial" w:cs="arial"/>
          <w:color w:val="000000"/>
          <w:sz w:val="20"/>
          <w:lang w:val="en-US" w:eastAsia="en-US" w:bidi="ar-SA"/>
        </w:rPr>
        <w:t xml:space="preserve"> (rev'd on other grounds </w:t>
      </w:r>
      <w:hyperlink r:id="rId274" w:history="1">
        <w:r>
          <w:rPr>
            <w:rFonts w:ascii="arial" w:eastAsia="arial" w:hAnsi="arial" w:cs="arial"/>
            <w:i/>
            <w:color w:val="0077CC"/>
            <w:sz w:val="20"/>
            <w:u w:val="single"/>
            <w:shd w:val="clear" w:color="auto" w:fill="FFFFFF"/>
            <w:lang w:val="en-US" w:eastAsia="en-US" w:bidi="ar-SA"/>
          </w:rPr>
          <w:t>(1996), 21 B.C.L.R. (3d) 190</w:t>
        </w:r>
      </w:hyperlink>
      <w:r>
        <w:rPr>
          <w:rFonts w:ascii="arial" w:eastAsia="arial" w:hAnsi="arial" w:cs="arial"/>
          <w:color w:val="000000"/>
          <w:sz w:val="20"/>
          <w:lang w:val="en-US" w:eastAsia="en-US" w:bidi="ar-SA"/>
        </w:rPr>
        <w:t xml:space="preserve"> (B.C.C.A.), </w:t>
      </w:r>
      <w:hyperlink r:id="rId274" w:history="1">
        <w:r>
          <w:rPr>
            <w:rFonts w:ascii="arial" w:eastAsia="arial" w:hAnsi="arial" w:cs="arial"/>
            <w:i/>
            <w:color w:val="0077CC"/>
            <w:sz w:val="20"/>
            <w:u w:val="single"/>
            <w:shd w:val="clear" w:color="auto" w:fill="FFFFFF"/>
            <w:lang w:val="en-US" w:eastAsia="en-US" w:bidi="ar-SA"/>
          </w:rPr>
          <w:t>71 B.C.A.C. 319</w:t>
        </w:r>
      </w:hyperlink>
      <w:r>
        <w:rPr>
          <w:rFonts w:ascii="arial" w:eastAsia="arial" w:hAnsi="arial" w:cs="arial"/>
          <w:color w:val="000000"/>
          <w:sz w:val="20"/>
          <w:lang w:val="en-US" w:eastAsia="en-US" w:bidi="ar-SA"/>
        </w:rPr>
        <w:t>). However, Fraser, J. in Giles identified another view that impairment of life's pleasures and activities in advanced age is all the more serious just because of the limited time left to enjoy life. He said that the one view must be balanced against the other. I agree with this approach. Counsel was otherwise unable to provide me with a close precedent in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has suffered loss of physical capacity, loss of confidence so important in later years, and loss of enjoyment of activities. General damages are assessed at $80,000.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Special damages are awarded at $5,630 for costs of the nutritional supplement. Future expenses for adult diapers and nutritional supplements are assessed at $5,000 over five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Costs are awarded to the plaintiff on the scale of 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DILLON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1" style="position:absolute;z-index:2518292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75"/>
          <w:headerReference w:type="default" r:id="rId276"/>
          <w:footerReference w:type="even" r:id="rId277"/>
          <w:footerReference w:type="default" r:id="rId278"/>
          <w:headerReference w:type="first" r:id="rId279"/>
          <w:footerReference w:type="first" r:id="rId28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81" w:history="1">
        <w:r>
          <w:rPr>
            <w:rFonts w:ascii="arial" w:eastAsia="arial" w:hAnsi="arial" w:cs="arial"/>
            <w:b/>
            <w:bCs/>
            <w:i/>
            <w:color w:val="0077CC"/>
            <w:kern w:val="32"/>
            <w:sz w:val="28"/>
            <w:szCs w:val="32"/>
            <w:u w:val="single"/>
            <w:shd w:val="clear" w:color="auto" w:fill="FFFFFF"/>
            <w:lang w:val="en-US" w:eastAsia="en-US" w:bidi="ar-SA"/>
          </w:rPr>
          <w:t>Schaffer v. Murphy, [2000] B.C.J. No. 618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Powers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14,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22,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27711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618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501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Christopher Paul Schaffer, plaintiff, and Morris Murphy and the Estate of Morris Murphy,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2"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1" w:name="Keywords_17"/>
      <w:bookmarkEnd w:id="121"/>
      <w:r>
        <w:rPr>
          <w:rFonts w:ascii="arial" w:eastAsia="arial" w:hAnsi="arial" w:cs="arial"/>
          <w:b/>
          <w:color w:val="000000"/>
          <w:sz w:val="20"/>
          <w:lang w:val="en-US" w:eastAsia="en-US" w:bidi="ar-SA"/>
        </w:rPr>
        <w:t>Damages — Torts causing death — Particular damage claims — Nervous shock.</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2" w:name="Case Summary_17"/>
            <w:bookmarkEnd w:id="12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Murphy to dismiss Schaffer's action for damages for personal injuries. Schaffer claimed damages arising out of a motor vehicle accident in which he was involved. He was not advancing a claim for physical personal injuries, but solely for psychological distress. The emotional distress was alleged to have arisen from the death of the defendant driver. Murphy, in the accident. Murphy, by his estate, claimed that a plaintiff could not make a claim for post-traumatic stress disorder or other emotional stress when that claim arose out of the death of the tortfeasor himself.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3" w:name="Holdings of Court_15"/>
            <w:bookmarkEnd w:id="123"/>
            <w:r>
              <w:rPr>
                <w:rFonts w:ascii="arial" w:eastAsia="arial" w:hAnsi="arial" w:cs="arial"/>
                <w:color w:val="000000"/>
                <w:sz w:val="20"/>
                <w:lang w:val="en-US" w:eastAsia="en-US" w:bidi="ar-SA"/>
              </w:rPr>
              <w:t>HELD: Motion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rule, and no reason in logic, why a plaintiff could not recover when the death in issue giving rise to the alleged shock was the death of the tortfeasor. It was clear that such a claim was possible if it was one of the passengers who died. It remained to be determined whether the alleged psychiatric injury was caused by Murphy's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whether the injury was reasonably foreseeable.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4" w:name="Legislation Cited_11"/>
      <w:bookmarkEnd w:id="1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3"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18A, 32, 34.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5" w:name="Counsel_18"/>
      <w:bookmarkEnd w:id="12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4" style="position:absolute;z-index:2517800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G.C. Lazin, for the plaintiff. L.A. Pedersen,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6" w:name="Judgment_18"/>
      <w:bookmarkEnd w:id="126"/>
      <w:r>
        <w:pict>
          <v:line id="_x0000_s1115" style="position:absolute;z-index:25183027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7" w:name="POWERS J._0"/>
            <w:bookmarkEnd w:id="127"/>
            <w:r>
              <w:rPr>
                <w:rFonts w:ascii="arial" w:eastAsia="arial" w:hAnsi="arial" w:cs="arial"/>
                <w:b/>
                <w:color w:val="000000"/>
                <w:sz w:val="30"/>
                <w:lang w:val="en-US" w:eastAsia="en-US" w:bidi="ar-SA"/>
              </w:rPr>
              <w:t>POWERS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notice of motion seeks an order that the plaintiff's action be dismissed with costs pursuant to Rules 34 and 18A. Both counsel agree that there was insufficient material for this matter to be dealt with pursuant to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Rule 34 provides:</w:t>
      </w:r>
      <w:r>
        <w:rPr>
          <w:rFonts w:ascii="arial" w:eastAsia="arial" w:hAnsi="arial" w:cs="arial"/>
          <w:sz w:val="20"/>
          <w:lang w:val="en-US" w:eastAsia="en-US" w:bidi="ar-SA"/>
        </w:rPr>
        <w:cr/>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point of law arising from the pleadings may, by consent of the parties or by order of the court, be set down by praecipe for hearing and disposed of at any time before the trial.</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in the opinion of the court, the decision on the point of law substantially disposes of the whole action or of any distinct claim, ground of defence, set-off, counterclaim or reply, the court may dismiss the action or make any order it thinks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dealing with the point of law raised all of the facts alleged in the statement of claim are assumed to be true. (British Columbia Teachers Federation v. British Columbia (Attorney General), </w:t>
      </w:r>
      <w:hyperlink r:id="rId282" w:history="1">
        <w:r>
          <w:rPr>
            <w:rFonts w:ascii="arial" w:eastAsia="arial" w:hAnsi="arial" w:cs="arial"/>
            <w:i/>
            <w:color w:val="0077CC"/>
            <w:sz w:val="20"/>
            <w:u w:val="single"/>
            <w:shd w:val="clear" w:color="auto" w:fill="FFFFFF"/>
            <w:lang w:val="en-US" w:eastAsia="en-US" w:bidi="ar-SA"/>
          </w:rPr>
          <w:t>[1987] 1 W.W.R. 527</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principles applicable to Rule 32 were also discussed in Alcan Smelters &amp; Chemicals Ltd. v. Canada Assoc. of Smelter &amp; Allied Workers, Local 1 </w:t>
      </w:r>
      <w:hyperlink r:id="rId283" w:history="1">
        <w:r>
          <w:rPr>
            <w:rFonts w:ascii="arial" w:eastAsia="arial" w:hAnsi="arial" w:cs="arial"/>
            <w:i/>
            <w:color w:val="0077CC"/>
            <w:sz w:val="20"/>
            <w:u w:val="single"/>
            <w:shd w:val="clear" w:color="auto" w:fill="FFFFFF"/>
            <w:lang w:val="en-US" w:eastAsia="en-US" w:bidi="ar-SA"/>
          </w:rPr>
          <w:t>(1977), 3 B.C.L.R. 163</w:t>
        </w:r>
      </w:hyperlink>
      <w:r>
        <w:rPr>
          <w:rFonts w:ascii="arial" w:eastAsia="arial" w:hAnsi="arial" w:cs="arial"/>
          <w:color w:val="000000"/>
          <w:sz w:val="20"/>
          <w:lang w:val="en-US" w:eastAsia="en-US" w:bidi="ar-SA"/>
        </w:rPr>
        <w:t xml:space="preserve"> referred to in "British Columbia Annual Practice 2000" at p. SC-168 for the following propositions: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point of law to be decided must be raised and clearly defined in the pleadings.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rule is appropriate only to cases where, assuming allegations in a pleading of an opposite party are true, a question arises as to whether such allegations raise and support a claim or a defence in law.</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facts relating to the point of law must not be in dispute and the point of law must be capable of being resolved without hearing evidence.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point of law ought to be decided before the trial of the action is discretionary, and it must appear that the determination of the question will be decisive of the litigation or a substantial issue raised in it.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deciding whether the question is one which ought to be determined before trial, the court will consider whether the effect of such a decision will immeasurably shorten the trial, or result in a substantial saving or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"British Columbia Annual Practice 2000" also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decision has been described by the Court of Appeal as the "leading authority": see Can-Dive Services Ltd. v. Pacific Coast Energy Corp. </w:t>
      </w:r>
      <w:hyperlink r:id="rId284" w:history="1">
        <w:r>
          <w:rPr>
            <w:rFonts w:ascii="arial" w:eastAsia="arial" w:hAnsi="arial" w:cs="arial"/>
            <w:i/>
            <w:color w:val="0077CC"/>
            <w:sz w:val="20"/>
            <w:u w:val="single"/>
            <w:shd w:val="clear" w:color="auto" w:fill="FFFFFF"/>
            <w:lang w:val="en-US" w:eastAsia="en-US" w:bidi="ar-SA"/>
          </w:rPr>
          <w:t>(1993), 77 B.C.LR. (2d) 128</w:t>
        </w:r>
      </w:hyperlink>
      <w:r>
        <w:rPr>
          <w:rFonts w:ascii="arial" w:eastAsia="arial" w:hAnsi="arial" w:cs="arial"/>
          <w:color w:val="000000"/>
          <w:sz w:val="20"/>
          <w:lang w:val="en-US" w:eastAsia="en-US" w:bidi="ar-SA"/>
        </w:rPr>
        <w:t xml:space="preserve"> at 133.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statement of claim alleges that on November 4, 1995 a vehicle driven by the defendant Murphy collided with the plaintiff's motor vehicle. Murphy's vehicle crossed the centre line and it is alleged that Murphy was negligent and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statement of claim also says that as a result of the collision and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Murphy the plaintiff sustained physical injuries and other loss and damage and in particular:</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distress;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injuries;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Nervous shock;</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Back injury;</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other injuries as may be proven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was admitted during argument that the plaintiff did not suffer any physical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Liability for the accident has been admitted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affidavit filed in support of the defendants' notice of motion was an affidavit of an adjuster of the Insurance Corporation of British Columbia. Attached to that affidavit were medical reports from the plaintiff's physicians confirming that the plaintiff suffered an anxiety reaction to the accident, suffered acute adjustment reaction secondary to extreme emotional trauma, and a major effective disorder with anxiety and suffered post-traumatic stress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was killed in the accident and passengers in his vehicle suffered some injuries although it is not clear the extent of those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affidavit filed in support of the defendants' motion goes on to talk about what the plaintiff may or may not have been able to see at the time of or after the accident, given the lighting conditions and makes allegations of no immediate trauma but all of those matters are irrelevant to an application under Rule 34. The references to the examinations for discovery are also irrelevant to an application under Rule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says that the question which is raised by the pleadings and should be answered pursuant to Rule 34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Whether or not the plaintiff can make a claim for post-traumatic stress disorder or some other emotional distress when that claim arises out of the actions and subsequent death of the tortfeasor, the Defendant, Morris Murphy. (para. 12 Defendant's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defendant relies on a decision Cady v. Fowler, </w:t>
      </w:r>
      <w:hyperlink r:id="rId285" w:history="1">
        <w:r>
          <w:rPr>
            <w:rFonts w:ascii="arial" w:eastAsia="arial" w:hAnsi="arial" w:cs="arial"/>
            <w:i/>
            <w:color w:val="0077CC"/>
            <w:sz w:val="20"/>
            <w:u w:val="single"/>
            <w:shd w:val="clear" w:color="auto" w:fill="FFFFFF"/>
            <w:lang w:val="en-US" w:eastAsia="en-US" w:bidi="ar-SA"/>
          </w:rPr>
          <w:t>[1992] B.C.J. No. 2555</w:t>
        </w:r>
      </w:hyperlink>
      <w:r>
        <w:rPr>
          <w:rFonts w:ascii="arial" w:eastAsia="arial" w:hAnsi="arial" w:cs="arial"/>
          <w:color w:val="000000"/>
          <w:sz w:val="20"/>
          <w:lang w:val="en-US" w:eastAsia="en-US" w:bidi="ar-SA"/>
        </w:rPr>
        <w:t>, (26 November 1992), Kamloops Registry, No. 17765, S.C.B.C. The Cady case involved a single vehicle accident, the defendant was the driver was the plaintiff's fianc , and was killed. The plaintiff had been in the vehicle being operated by the defendant when it began to slide down an icy incline. The defendant told the plaintiff to jump clear of the vehicle and she did but the defendant himself did not jump from the vehicle which tumbled down a 200' embankment. The plaintiff scrambled down the embankment and found the defendant dead amongst the wreckage. The plaintiff sought damages for the psychological trauma suffered as a result of this accident. The court found that, at p. 5, line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cannot be compensated for post-traumatic shock because: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not demonstrated that she suffers from a recognizable psychiatric or emotional illness;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 bars an action for psychiatric or emotional illness when these result from the death, injury or peril of the tortfeasor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At page 6, line 27, the court referred to Beecham v. Hughes </w:t>
      </w:r>
      <w:hyperlink r:id="rId286" w:history="1">
        <w:r>
          <w:rPr>
            <w:rFonts w:ascii="arial" w:eastAsia="arial" w:hAnsi="arial" w:cs="arial"/>
            <w:i/>
            <w:color w:val="0077CC"/>
            <w:sz w:val="20"/>
            <w:u w:val="single"/>
            <w:shd w:val="clear" w:color="auto" w:fill="FFFFFF"/>
            <w:lang w:val="en-US" w:eastAsia="en-US" w:bidi="ar-SA"/>
          </w:rPr>
          <w:t>(1998), 27 B.C.L.R. (2d) 1</w:t>
        </w:r>
      </w:hyperlink>
      <w:r>
        <w:rPr>
          <w:rFonts w:ascii="arial" w:eastAsia="arial" w:hAnsi="arial" w:cs="arial"/>
          <w:color w:val="000000"/>
          <w:sz w:val="20"/>
          <w:lang w:val="en-US" w:eastAsia="en-US" w:bidi="ar-SA"/>
        </w:rPr>
        <w:t xml:space="preserve"> (B.C.C.A.):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also seems that Taggart J.A., albeit in obiter, accepted the principle that a person cannot recover damages for psychiatric or emotional illness resulting from the death, injury or peril of the tortfeasor himself. Taggart J.A. appeared to accept that overriding limitation on the reasonable foreseeability test when he, at page 15, referred to the speech of Lord Scarman in McLaughlin v. O'Brian [1983] 1 A.C. 410, at page 460, who among other things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...on the present state of the law, such a duty of care will not exist unless the reasonable foreseeable psychiatric injury was sustained as a result of the death, injury or peril of someone other than the person whose carelessness is alleged to have caused the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reference to page 15 should be to page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have referred to the report of the McLaughlin decision in 1983 1 A.C. at p. 410 and find that it only goes to p. 443. I have also referred to the report at 1982 All E.R. Vol. 2 p. 298. I have read the speech of Lord Scarman and have been unable to find the quote referred to. I have referred to the Beecham decision and agree that the quote from Beecham referred to in the Cady decision is in accurate quote of what was said in Beecham.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It appears that the court in Cady was not referred to the decision Rhodes Estate v. C.N.R. </w:t>
      </w:r>
      <w:hyperlink r:id="rId287" w:history="1">
        <w:r>
          <w:rPr>
            <w:rFonts w:ascii="arial" w:eastAsia="arial" w:hAnsi="arial" w:cs="arial"/>
            <w:i/>
            <w:color w:val="0077CC"/>
            <w:sz w:val="20"/>
            <w:u w:val="single"/>
            <w:shd w:val="clear" w:color="auto" w:fill="FFFFFF"/>
            <w:lang w:val="en-US" w:eastAsia="en-US" w:bidi="ar-SA"/>
          </w:rPr>
          <w:t>(1990), 50 B.C.L.R. (2d) 273</w:t>
        </w:r>
      </w:hyperlink>
      <w:r>
        <w:rPr>
          <w:rFonts w:ascii="arial" w:eastAsia="arial" w:hAnsi="arial" w:cs="arial"/>
          <w:color w:val="000000"/>
          <w:sz w:val="20"/>
          <w:lang w:val="en-US" w:eastAsia="en-US" w:bidi="ar-SA"/>
        </w:rPr>
        <w:t xml:space="preserve"> (B.C.C.A.). Since Cady our Court of Appeal has again dealt with the issue of claims for psychiatric injury in Devji v. Burnaby (District), </w:t>
      </w:r>
      <w:hyperlink r:id="rId100" w:history="1">
        <w:r>
          <w:rPr>
            <w:rFonts w:ascii="arial" w:eastAsia="arial" w:hAnsi="arial" w:cs="arial"/>
            <w:i/>
            <w:color w:val="0077CC"/>
            <w:sz w:val="20"/>
            <w:u w:val="single"/>
            <w:shd w:val="clear" w:color="auto" w:fill="FFFFFF"/>
            <w:lang w:val="en-US" w:eastAsia="en-US" w:bidi="ar-SA"/>
          </w:rPr>
          <w:t>[1999] B.C.J. No. 2320</w:t>
        </w:r>
      </w:hyperlink>
      <w:r>
        <w:rPr>
          <w:rFonts w:ascii="arial" w:eastAsia="arial" w:hAnsi="arial" w:cs="arial"/>
          <w:color w:val="000000"/>
          <w:sz w:val="20"/>
          <w:lang w:val="en-US" w:eastAsia="en-US" w:bidi="ar-SA"/>
        </w:rPr>
        <w:t>, Vancouver Registry No. CA24643. In Devji Chief Justice McEachern dealt with the Rhodes decision and stated at para. 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fair to say that the judgment of this Court in Rhodes decides that damages for nervous shock cannot be recovered without exposure to a "shocking" experience arising from exposure to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rather than just to one of its consequences. The plaintiff's injury from learning about the death of her son in a train crash and from the run-around she experienced was found to be insufficiently connected to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be reasonably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Chief Justice also referred to Rhodes in para. 37 and 38:</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generally be said that all five judges in Rhodes were of the view that the plaintiff's shock was not reasonably foreseeable. There are passages in the various reasons that suggest that in addition to proximity, exposure to some experience of alarming, horrifying, shocking or frightening nature, rather than misfortune, annoyance, sorrow or grief is necessary for the recovery of damages.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292 Wallace J.A.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the proximity relationship of the claimant to the defendant's conduct which provides the evidentiary base from which the court may conclude, as a question of law, that a reasonable person should foresee that his conduct, in such circumstances, could create a risk of "direct" psychiatric injury and so give rise to a duty of care to avoid such a result.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Wallace J.A. stressed the importance of the proximity of the claimant's injury to the conduct of the defendant as the basis for the determination of what a reasonable person should foresee as a consequence of such conduct. These hallmarks of proximity described by Lord Wilberforce were re-stated by Wallace J.A. at 292-3: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requisite proximity relationship is made up of a combination of various relational elements or factors. These include, inter alia, relational proximity (the closeness of the relationship between the claimant and the victim of the defendant's conduct); locational proximity (being at the scene and observing the shocking event); temporal proximity (the relation between the time of the event and the onset of the psychiatric illness).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Wallace J.A. did not adopt Lord Wilberforce's "casual proximity", but I believe it was included in what the former referred to as "locational proximity". It is significant, however, that Wallace J.A. said that in order to recover, the plaintiff must have witnessed the "shocking" event, whereas Lord Wilberforce (and almost all the English and Australian judges) decided it was sufficient if the shock was caused (by the defendant) in the "immediate aftermath" of the casualty.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Chief Justice further referred to Beecham and to Rhodes at para. 55 and 56:</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further view expressed by Lambert J.A. in his concurring judgment in Beecham v. Hughes (supra). At 42, he stated that the question in cases of this kind 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Would a reasonable person in the position of the defendant, at the time the defendant committed the allegedly negligent conduct, have had the risk of the type of injury that actually occurred, to the class of plaintiff who actually suffered it, in his or her mind?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Then, at 43, he continued: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questions of foreseeability, proximity, causation and remoteness are interlocked. There are not four answers to four questions, but one composite answer to one composite question...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do not consider that there is any one key which opens the door to a simple and straightforward answer. The plaintiff does not have to be present at the time of the event which triggered his psychological inquiry; the psychological inquiry does not have to arise from direct observation of an event by the plaintiff; the plaintiff does not have to be closely related to a person in danger or injured, nor does he have to be emotionally dependent on that person; the psychological injury does not have to be linked to a physical injury to the same person or any other person; and the psychological injury does not have to arise from a specific "shock". There is no single question which solves the problem. There is no single limiting factor other than the composite answer, based on foreseeability, proximity, causation and remoteness, to the composite question set out (above)...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would not put the entire emphasis on "causal proximity", to the exclusion of "temporal proximity", "geographical proximity" or "emotional proximity". I would try to balance them all.</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 of the foregoing views have been superseded in this province by the decision of this Court in Rhodes, and possibly by the Supreme Court of Canada. While it is not necessary to attempt to resolve this uncertainty, I have mentioned them only for the purpose of identifying a question that may have to be resolved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And the Chief Justice found that the law in the Province of British Columbia dealing with nervous shock requires the following (at paragraphs 65 to 67):</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the end of all this, I find that we are thrown back to the conventional approach approved by the Supreme Court of Canada in City of Kamloops v. Nielsen, </w:t>
      </w:r>
      <w:hyperlink r:id="rId288"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(recently affirmed in Dobson v. Dobson et al., </w:t>
      </w:r>
      <w:hyperlink r:id="rId289" w:history="1">
        <w:r>
          <w:rPr>
            <w:rFonts w:ascii="arial" w:eastAsia="arial" w:hAnsi="arial" w:cs="arial"/>
            <w:i/>
            <w:color w:val="0077CC"/>
            <w:sz w:val="20"/>
            <w:u w:val="single"/>
            <w:shd w:val="clear" w:color="auto" w:fill="FFFFFF"/>
            <w:lang w:val="en-US" w:eastAsia="en-US" w:bidi="ar-SA"/>
          </w:rPr>
          <w:t>[1999] S.C.J. No. 41</w:t>
        </w:r>
      </w:hyperlink>
      <w:r>
        <w:rPr>
          <w:rFonts w:ascii="arial" w:eastAsia="arial" w:hAnsi="arial" w:cs="arial"/>
          <w:color w:val="000000"/>
          <w:sz w:val="20"/>
          <w:lang w:val="en-US" w:eastAsia="en-US" w:bidi="ar-SA"/>
        </w:rPr>
        <w:t>, (9 July 1999), N.B. 26152 (S.C.C.) that assuming reasonable foreseeability, the tests to be applied are whether there is a sufficiently close relationship between plaintiff and defendant to establish a duty of care, and, if so, whether any public policy negates such duty.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other words, the Supreme Court of Canada has authorized the imposition of policy-based control mechanisms in proper cases. In Rhodes, this Court actually did so in connection with nervous shock.</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case, we are not required to express a view on the true nature of reasonable foreseeability because we are bound at least in part by Rhodes. It clearly requires not merely foreseeability but also proximity and something more. I have already said that I do not consider Rhodes to require that the alleged psychological injury have occurred at the scene of the accident. In proper cases the aftermath of the accident may be extended to the hospital immediately after the casualty.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Most of the cases referred to in argument dealt with the situation where the plaintiff was not immediately involved in the accident. However, in Cady the plaintiff was immediately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is my view that the court in Cady would not have concluded that a plaintiff could not recover simply because it was the defendant that died in the accident which led to the plaintiff suffering psychological injury, if the court had been referred to Rhodes and particularly the decisions of Wallace J.A. and Lambert J.A., and the benefit of Devji.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 is no reason in logic why a plaintiff would be able to recover if one of the defendant's passengers had been killed in the accident and this caused a psychiatric injury to the plaintiff but not recover if the person killed was the defendant himself. To decide otherwise would be inconsistent with the analysis in Rhodes and Devji.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the present case it must still be determined whether the plaintiff's psychiatric injury was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whether that was reasonably foreseeable. However, I am not satisfied that the law prevents the plaintiff from recovering simply because the defendant was the person killed in the accident. Therefore, I would find that the plaintiff can make a claim for post-traumatic stress disorder or some other emotional distress when the claim arises out of the actions and subsequent death of the tortfeasor, the defendant, Morris Murphy.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parties did not argue the issue of costs, they may do so if they wish. Otherwise, costs will follow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POWERS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6"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96" w:history="1">
        <w:r>
          <w:rPr>
            <w:rFonts w:ascii="arial" w:eastAsia="arial" w:hAnsi="arial" w:cs="arial"/>
            <w:b/>
            <w:bCs/>
            <w:i/>
            <w:color w:val="0077CC"/>
            <w:kern w:val="32"/>
            <w:sz w:val="28"/>
            <w:szCs w:val="32"/>
            <w:u w:val="single"/>
            <w:shd w:val="clear" w:color="auto" w:fill="FFFFFF"/>
            <w:lang w:val="en-US" w:eastAsia="en-US" w:bidi="ar-SA"/>
          </w:rPr>
          <w:t>Segal v. Frimer, [2002] B.C.J. No. 2027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Dillon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7 - 11, 14, 15, 17, 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21 - 25,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9,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C966611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2027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1303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116 A.C.W.S. (3d) 458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Laurence Segal, plaintiff, and Dr. M.L. Frimer,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7"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8" w:name="Keywords_18"/>
      <w:bookmarkEnd w:id="128"/>
      <w:r>
        <w:rPr>
          <w:rFonts w:ascii="arial" w:eastAsia="arial" w:hAnsi="arial" w:cs="arial"/>
          <w:b/>
          <w:color w:val="000000"/>
          <w:sz w:val="20"/>
          <w:lang w:val="en-US" w:eastAsia="en-US" w:bidi="ar-SA"/>
        </w:rPr>
        <w:t xml:space="preserve">Medicine — Liability of practitioners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fault — Standard of care — Failure to diagnose an illness.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9" w:name="Case Summary_18"/>
            <w:bookmarkEnd w:id="12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Segal for damages against Frimer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failing to properly diagnose Segal with appendicitis. Segal had presented himself to the emergency department with abdominal pain. The admitting physician had provisionally diagnosed appendicitis and admitted Segal for further tests. He did not have some of the key symptoms associated with appendicitis. Frimer was a surgeon with the hospital and was asked to examine Segal. He examined Segal and concluded that his symptoms were not consistent with appendicitis. He diagnosed Segal with irritable bowel syndrome. Two weeks later, Segal presented himself again with significantly more severe symptoms. The doctors discovered that he had suffered a perforated appendix.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0" w:name="Holdings of Court_16"/>
            <w:bookmarkEnd w:id="130"/>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medical evidence suggested that Frimer's care met the standard required of a reasonable, competent surgeon given the symptoms presented at the time of Segal's care by Frimer.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1" w:name="Counsel_19"/>
      <w:bookmarkEnd w:id="13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8"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L.J. Mackoff, for the plaintiff. P.T. McGivern and B. Stock,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2" w:name="Judgment_19"/>
      <w:bookmarkEnd w:id="132"/>
      <w:r>
        <w:pict>
          <v:line id="_x0000_s1119" style="position:absolute;z-index:25178112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November 7, 2002. The corrections have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3" w:name="DILLON J._0"/>
            <w:bookmarkEnd w:id="133"/>
            <w:r>
              <w:rPr>
                <w:rFonts w:ascii="arial" w:eastAsia="arial" w:hAnsi="arial" w:cs="arial"/>
                <w:b/>
                <w:color w:val="000000"/>
                <w:sz w:val="30"/>
                <w:lang w:val="en-US" w:eastAsia="en-US" w:bidi="ar-SA"/>
              </w:rPr>
              <w:t>DILLON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Laurence Segal,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Dr. Michael Frimer, for damages caused to the plaintiff as a result of the failure of the defendant to physically examine and properly diagnose the plaintiff with appendicitis on December 19-20, 1994. The plaintiff seeks damages in excess of 13 million dollars for the consequences of undiagnosed appendicitis and delay in treatment caused by the defendant. The defendant says that he did examine Mr. Segal, that he came to a reasonably competent diagnosis and that it was unlikely that a diagnosis of appendicitis would have been made during the period that Mr. Segal was under Dr. Frimer's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Lawrence Segal was a thirty six year old successful businessman, president of a company selling drapery hardware and involved in real estate, when he began experiencing abdominal pain around December 13, 1994. The pain in his lower right side and nausea worsened on the evening of December 17, 1994 and continued throughout the night, such that Mr. Segal drove himself to the emergency department of Richmond Hospital at 6:00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 nurse and then the emergency room physician initially saw Mr. Segal. The nurse recorded that Mr. Segal said that his pain had been ongoing for four days and that the left flank pain radiated to the front. The patient reported a history of panic attack for which he carried nitroglycerin that he had never used. He also was prescribed medication for heartburn. The emergency nursing assessment record also noted that the patient reported right flank pain radiating to the front left side. Mr. Segal said that he accurately described his pain to the nurses. He was given Gravol and Demerol intravenously at 9:30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Dr. Donald Brown, a surgeon, examined Mr. Segal in the emergency room about noon on December 18, 1994. The patient again reported that his abdominal pain had started four days earlier. He said that the pain started in mid-abdomen, less on the left than on the right, and that it extended to the right costovertebral or back area. He said that the pain had been worse the day before. He reported a history of panic attack and ulcer.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Based upon right lower quadrant tenderness that extended laterally into the flank, interference with movement, possible intermittent fever, nausea, and a mildly abnormal (11.47) white blood cell count, Dr. Brown provisionally diagnosed retrocecal appendicitis and admitted Mr. Segal for continued observation and diagnostic testing by ultrasound. He ruled out renal disease by the intravenous pyelogram and gastrointestinal problems from the history of onset of abdominal pain. He knew that the ultrasound was not helpful in half of retrocecal appendicitis cases. Nonetheless, he concluded that there was no indication for surgery at the time because there had been a four-day history, and, notwith-standing a worsening the day before coming to hospital, normal temperature and no deterioration to acute status. In fact, Dr. Brown noted that there was some improvement on the day that he saw Mr. Segal. He ordered nothing by mouth after 4:00 a.m. just in case surgery was required. He also ordered a gastrointestinal antibiotic although he did not think that there was a significant degree of peritonitis developing. There was also an order for sleeping, pain, and anti-nausea medication. These orders were made to keep things under control until a significant diagnosis could be made the following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Segal said that Dr. Brown told him that he had retrocecal appendicitis, and that surgery was inevitable because no chance could be taken if that was the case. He described the surgical procedure and said that Mr. Segal could expect to stay in hospital overnight following surgery. The doctor said that he intended to do an ultrasound. He also said that he would not be the surgeon doing the surgery as he was going to be on holiday. From this, Mr. Segal concluded that it had been determined that he had appendicitis and that he would have surgery the next day. Mrs. Segal also testified that Dr. Brown said that Mr. Segal should have his appendix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However, Dr. Brown had not come to a conclusive diagnosis as he had found some unusual aspects to Mr. Segal's presentation. The ordering of an ultrasound for the next day, along with the fact that Dr. Brown did not schedule surgery immediately, confirms that Dr. Brown wanted further observation of Mr. Segal. The doctor said that while he probably had told Mr. Segal that he suspected appendicitis, and that he would have surgery the next day if his symptoms remained the same or worsened, he did not tell him that he certainly would have surgery. Dr. Brown did not obtain consent to surgery. The nurses did no preparation, and did not obtain a written consent either that day or the following day. Obviously, the patient heard the worst and expected surgery even though a firm diagnosis had not been made. Mr. Segal told the nurses around 7:00 p.m. on December 19th that the doctor thought that he would have to take out his appendix. This is not as certain as Mr. Segal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Because there was no hospital bed immediately available, Mr. Segal asked whether he could attend his son's hockey game in an arena very close to the hospital. Dr. Brown permitted him to do so because he was clinically stable. Before leaving the hospital at around 1:00 p.m., Mr. Segal told the nurses that he was not experiencing pain. Nurses also recorded that Mr. Segal stated that he had a blackish-green stool. His intravenous was disconnected. Mr. Segal drove the short distance to the game, not taking any further pain medication because he was driving. He testified that he continued to feel nauseous and that the pain in his right side remained continuous, worse if he moved. After about three hours, he returned to the hospital, first stopping at home to pack a bag and to have his wife drive him. He was given pain medication at around 7:00 p.m. The nursing history and assessment record written up from information obtained from the patient around this time on December 18, 1994 recorded that the pain was right across the abdomen and that it was a dull ache. Mr. Segal agreed at trial that this was probably accurate and that the pain was not unbearable when he was lying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His intravenous was reconnected at 10:00 p.m. He was given more pain medication and antibiotics at 11:00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Segal said in his direct examination that he did not sleep that night because the pain was severe. The pain and anti-nausea medications that he was receiving provided only short periods of relief. However, nursing notes from the same night record that Mr. Segal slept soundly all night and that he awoke only once with spasmodic pain in the right lower quadrant. This was relieved by pain medication and the patient went right back to sleep. The pain medication was given at 2:30 a.m. When asked about the notes, Mr. Segal said that he could not recall but that the pain was tolerable as long as he remained flat in 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Mr.Segal said that a surgeon never examined him on December 19, 1994. He said that he and his wife waited for the surgeon to come but that never happened. He specifically recollected that he did not meet Dr. Frimer on that day and denied that he spoke to Dr. Frimer on two occasions that day. Mrs. Segal had arrived to see her husband around 9:00 a.m. and left for a brief period to have supper with their children. She also said that no physician came to see her husband on December 19. Neither Mr. nor Mrs. Segal appears to have asked the nurses what was going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Dr. Frimer, the defendant, is a general surgeon who was on call for all general surgeons at Richmond Hospital on December 19, 1994. He had no specific memory of Mr. Segal. He had, however, sworn to having a specific recollection in an affidavit to support summary judgment that he testified at trial was incorrect. At trial, he testified as to his usual practice. He was not the consulting surgeon and so would not have taken a full history nor done a complete examination. Dr. Frimer said that he would have addressed the specific problem at hand. In the early morning, he reviewed the lists of patients left under his care that was left in his mail slot. He would then pull all of the charts and consider the diagnoses and information therein. If necessary, he would talk to the nurses about specific problems. He would then go from room to room attending to each patient and check the names off his list as he went through. When he had finished seeing all of the patients, he went back to the nurses' desk to go through the charts again, writing notes on his observations and making any orders. From a review of Mr. Segal's chart, Dr. Frimer understood that Dr. Brown suspected a retrocecal appendicitis but had decided not to operate and did not consider the matter urgent as an ultrasound had not been ordered for the previous day. Dr. Frimer concluded that the patient was admitted for abdominal pain and that he was to rule out retrocecal appendicitis.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Frimer said that he did see Mr. Segal that morning but failed to note his findings of an examination. He thought that he would have examined and spoken to Mr. Segal because of the serious nature of the suspected diagnosis made by Dr. Brown. He said that he would have done an abdominal examination to check for tenderness. Dr. Frimer did note: "Doubt appendicitis. Says had melena. Has ulcer disease. Continue conservative treatment". This note was written around 9:00 a.m. after Dr. Frimer had completed seeing all of the patients and most probably before the extensive consultation report of Dr Brown or the lowered white blood cell count report of 9.84 was on the chart. He said that he would not have made such a note without going in to assess Mr. Segal. He doubled appendicitis because of the then five day history of abdominal pain, a normal temperature, almost normal white blood cell count, normal pulse, variously described pattern of pain and the progression to improvement rather than a worsening of symptoms. Dr. Frimer considered that the patient had gone many hours without analgesia the day before and had slept soundly with lesser pain medication after 2:30 a.m. He thought it highly unusual that after a five-day history of abdominal pain, an appendicitis patient would have only a borderline elevated high white blood count. He agreed on cross-examination that Mr. Segal had presented with numerous symptoms consistent with retrocecal appendicitis. However, he said that he considered the probability of appendicitis highly unlikely. He admitted that he did not come up with a formal differential diagnosis. He did, however, consider other possible causes for Mr. Segal's condition. It is not contested that all appropriate investigative means were undertaken to determine the nature of Mr. Segal's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Frimer said that it was his practice to note important features from his examinations only when something out of the ordinary or a change in condition occurred, the amount of detail depending on the limited time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Frimer made extensive orders demonstrating his plan for Mr. Segal's care. This plan reflected his doubt of appendicitis, in that it included allowing Mr. Segal to eat, and recommended continued hospitalization for observation for 24 hours. He followed up on possibilities other than appendicitis with more tests. He was aware that Dr. Brown had ordered an antibiotic, but thought that this would not have changed the white blood cell count very much and did not cover all of the range of antibodies that should be covered before surgery. Dr. Frimer cancelled further antibiotics so as not to mask any symptoms. He also ordered nothing by mouth after midnight just in case the patient worsened and he had to operate the following day. Because of pain throughout the abdomen and tests that revealed a moderate amount of stool throughout the abdomen, he ordered a laxative. Dr. Frimer agreed that the prescription of a laxative would have indicated his conclusion that the probability of appendicitis was 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During the day of December 19, 1994, Mr. Segal went to the cafeteria before noon, and requested pain medication around 1:00 p.m. He had not had pain medication since 2:30 a.m. when he had complained of right lower quadrant pain. At around 2:00 p.m., the nurses noted pain in the right and left lower quadrants on palpitation. This was the last report of right lower quadrant pain. Mr. Segal repeated his request for analgesics for abdominal pain at around 2:30 p.m., but was not given any more medication other than Tylenol throughout the day. He also had an abdominal sonogram, during which the technologist noted that there was no tenderness in the right lower quadrant. During the ensuing conversation with the technologist, Mr. Segal also told of a "history of ulcer disease" and that he had a lot of gas. Significantly, the nurses made no preparations for surgery that day and there is no evidence that consent was ever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 evening around 6:00 p.m., Mr. Segal complained of upper gastric pain in his chest and expressed anxiety over the possibility of a bleeding ulcer. The registered nurse contacted Dr. Frimer because the pattern of pain reported by the patient had changed. Dr. Frimer verbally ordered Ativan and an antacid, both of which the patient refused to take. Dr. Frimer said that he would have expected another medication that he had ordered earlier that day to control the gastric burning but it apparently had not. The nurse then noted: "Dr. Frimer in to see". The nurse testified that this meant that Dr. Frimer went into the patient's room to see him. She also said that it was not standard practice to note such a visit. Dr. Frimer had no specific recollection of this. However, he said that he would not have done a further examination if the symptoms were unchanged and he would have reviewed the patient's chart at this time. His interpretation of "in to see" was that he had physically come into the patient's room and seen him. At that time, he made further medication orders for the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Segal stated that Dr. Frimer did not see him on the evening of December 19. He agreed, however, with the balance of the nursing notes of that day describing his complaint of continuing heartburn just before midnight, and that he was given Maalox with some relief. Mr. Segal responded to the nursing note, "No specific complaint of [right lower quadrant] pain this evening", by saying that he had ceased to complain about the pain because there was no point; everyone knew that he was having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the morning of December 20, 1994, Mr. Segal attended to his own morning care and complained only of upper gastric pain. Both he and the nurse reported no abnormal stools. Mr. Segal was released from hospital on December 20, 1994. Dr. Frimer said that he ordered the patient discharged because the blood results were normal (9.84), there were no complaints of pain, and the temperature was normal. Although Dr. Frimer said on discovery that he examined Mr. Segal before discharging him on the 20th as per his usual practice, he admitted at trial that he had not actually done so. Dr. Frimer did not complete his discharge summary for three months. His final diagnosis was "abdominal pain". Mr. Segal had been instructed to contact Dr. Frimer or his family doctor if the blackened stools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Mr. Segal left the ward, a nurse handed him a note with the name of "Dr. Fishman" whom she recommended that Mr. Segal see. Mr. Segal said that the pain and nausea were still present when he left hospital. However, the nursing notes indicate that he was walking and voiced no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Segal requested through his general practitioner to see Dr. Fishman, a gastroenterologist, because the right lower quadrant abdominal pain had continued and he was unable to sleep. The general practitioner told Dr .Fishman about Mr. Segal's history of abdominal pain and blackened stools. He expressed concern that the problem could be a bleeding ulcer.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Fishman saw Mr. Segal on December 21, 1994 in the emergency room of Richmond Hospital where he was once again admitted overnight. Although Mr. Segal could not recall the details of his conversation with Dr. Fishman, he agreed that Dr. Fishman had been thorough, that he had answered all of Dr. Fishman's questions and that he had told the doctor everything about his history and his present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From the medical records of the December 21, 1994 admission and Dr. Fishman's evidence, it is apparent that Mr. Segal told doctors that he had blackened stools that day and a history of ulcers with upper gastric pain since his teenage years. He continued to complain of abdominal pain. He described that the lower abdominal pain had lessened with pain medication and that he had no flank pain at present but had moderate tenderness in both right and left lower quadrants and upper gastric region.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Fishman reviewed the clinical records from Mr. Segal's recent hospitalization. He gave him a complete abdominal examination and took a complete history for his consultation report. He did not find Mr. Segal to be acutely ill although he was in pain and anxious. His temperature was normal. There was tenderness at several different areas of the abdomen without specific localization. Mr. Segal did not present with a specific complaint of right lower quadrant pain. There was no guarding or rebound tenderness indicative of inflammation or peritonitis. Dr. Fishman specifically palpated in the costovertebral angle for tenderness, which would be indicative of retrocecal appendicitis. The white blood count was normal. Dr. Fishman said that the two doses of antibiotic given during the previous hospitalization would not have affected the white blood cell count. Mr. Segal told Dr Fishman that he was not nauseous. Dr.Fishman was aware of Dr. Brown's diagnosis of retrocecal appendicitis and considered appendicitis as a possibility. He was aware of Dr. Frimer's assessment but said that he would not have dismissed appendicitis on that opinion alone. Dr. Fishman assumed from Dr. Frimer's documentation on the clinical record that he had examined Mr. Segal and reviewed the information available to him. According to Dr. Fishman, Mr. Segal did not present with any clinical features suggestive of appendicitis. He considered appendicitis to be unlikely. He admitted Mr. Segal to hospital to rule out the possibility of a bleeding ulcer even though he did not think that this was the cause of Mr. Segal's abdominal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Segal refused supper that evening and was unable to sleep that night until given sleeping and pain medication for abdominal discomfort. Even then, the relief was short and another dose was given in the middle of the night. Dr. Fishman was aware of Mr. Segal's requests for pain medication but did not consider them out of keeping with his clinical presentation. Dr. Fishman performed an upper gastrointestinal endoscopy the next day. He diagnosed Mr. Segal with irritable bowel syndrome. The blackened stools were explained by medication taken by Mr. Segal. The patient was discharged from hospital on December 22, 1994. Dr. Fishman had concluded that Mr. Segal's abdominal pain was functional and did not consider continued narcotic pain medication beneficial.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Segal said that the pain worsened from December 23-30 until it got so dramatically worse that he telephoned Dr. Fishman on December 30. There was a long conversation around 10:00 p.m. during which Mr. Segal said that the doctor forbade him to go to the hospital because he would likely just receive morphine and that he had to learn to live with the pain. Although Dr. Fishman could not recall the details of this conversation, he did not think that he would have forbidden Mr. Segal to go to hospital, although he would have advised him not to do so. He also recalled that the conversation was lengthy and that it occurred during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any event, some hours after this conversation, the plaintiff drove himself to the hospital in the early hours of December 31, 1995. He was very upset. He recalled being seen by a doctor in emergency but then has no memory of events for a number of days. The emergency doctor called in Dr. Fishman who saw Mr. Segal on December 31. At that time, Mr. Segal had a low-grade fever, an elevated white blood count, severe right lower quadrant pain and slight guarding. Dr. Fishman still doubted appendicitis because of the long history of abdominal pain, but it was now more of a consideration because of the clinical symptoms. Mr. Segal had complained for the last ten days of right lower abdominal pain and now complained specifically and primarily of right lower abdominal pain. Dr. Fishman admitted him because he suspected organic disease and considered obtaining a surgical opinion with respect to appendicitis. The doctor testified that if he had thought appendicitis was the likely diagnosis, he would have referred Mr. Segal to a surgeon immediately. Instead, he admitted Mr. Segal suspecting Crohn's disease.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By January 1, 1995, Mr. Segal's temperature was higher, there was considerable tenderness in the right lower abdomen, mild rebound, and slight guarding. Dr. Fishman called in Dr. Houston, a surgeon. The decision about whether to operate was left to Dr. Houston, who found Mr. Segal difficult to assess. He said that it was unclear what was going on and that he did not know what to make of it. However, he noted that the patient reported acute exacerbation of right lower quadrant pain in the last evening. This was in addition to reports of pain in the right upper quadrant. There was a temperature but no costovertebral angle tenderness. White blood count was elevated. Dr. Houston's large differential diagnosis was appendicitis or Crohn's disease. He thought that the patient needed further investigation and ordered a repeat of blood tests and a CAT scan.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January 2, 1995, Dr. Houston reassessed Mr. Segal. His condition had worsened. His temperature was higher. He was confused. His abdomen was extremely tender. This was a change from the night before. Dr. Houston found that Mr. Segal's condition had worsened and that he showed signs of peritonitis. At this point, Mr. Segal had clinical indications for surgery. Dr. Houston was still uncertain about appendicitis but booked the operating room for a laparoscopy to have a closer look to see what was going on. Dr Fishman agreed with Dr. Houston's opinion at this stage. Dr. Houston operated and found a significant localized abscess in the right lower quadrant, secondary to a perforated appendix. There had been no generalized peritonitis. An epigastric hernia was also repaired. Dr. Houston was of the opinion that the appendix had perforated four or five days prior to the time that Dr. Houston first saw Mr. Segal. At that time, his clinical situation became significantly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Segal remained in hospital for seventeen days. Both Drs. Fishman and Brown came to see him during this time. Dr. Fishman was interested to see whether any of the earlier symptoms remained after surgery because he still considered Mr. Segal's earlier symptoms as not suggestive of appendicitis. He did not, however, have an opportunity to follow up with this patient. Mr. Segal was subsequently admitted on January 24, 1995 with a bowel obstruction consequent upon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Frimer's billing for medical services rendered to Mr. Segal on December 19-20, 1994 was inaccurate and irregular. He had billed for a consultation when none was done and for daily care on December 21st when the patient had already been discharged. Dr. Frimer was unaware of these errors until many years later and attributed them to clerical error. He stated that these errors did not represent his usual billing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Medical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Brown initially said that the clinical improvement of Mr. Segal on December 19, 1994 warranted conservative treatment and no surgery. This was based upon a review of the clinical records, particularly the normal white blood cell count and lack of specific complaint of right lower quadrant pain. However, Dr. Brown changed his view upon cross-examination by plaintiff's counsel. He concluded that there had not been significant clinical improvement because the complaints of pain, nausea, and interrupted sleep continued despite medications on the night of December 18. Nursing notes of left quadrant pain on December 19 could have been accounted for within the retrocecal appendicitis diagnosis. Dr. Brown now said that the same complaints persisted as on December 18 without improvement. Dr. Brown ended by saying that he would have operated on December 19 notwithstanding the normal white blood cell count and normal temperature because he would have relied upon abdominal findings. He said that there was nothing in the records to indicate that Dr. Frimer had performed a physical examination because the results of palpitation of the abdomen and patient complaints were not noted. He also could tell that Dr. Frimer did not know about the normal white blood cell count test result when he made his notation of "doubt appendicitis" on the morning of December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Both Drs. Fishman and Houston, however, said that a detailed note of a physical examination is not always made. Dr. Fishman said that summary impressions are always documented but physical findings are not. Based upon Dr. Frimer's notes, he assumed that Dr. Frimer had performed a physical examination. Dr. Houston said that there is a difference between the consultation of the first attending physician and the attendance of the physician doing rounds on the weekend. The latter may see twenty patients and detailed reports are not always done, especially when there will not be no other physicians reading the report. He said that short notes of a physical examination are often not written.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Jack Amar, a gastroenterologist, testified on behalf of the defendant. He used a summary of facts and assumptions that had been prepared by counsel when preparing his report. These facts and assumptions were in error in several respects particularly in that the white blood count was 9.84 when Dr. Frimer first saw Mr. Segal and that Dr. Frimer noted that Mr. Segal had no rebound pain. Dr. Amar also said that counsel had drafted his report based upon a letter that he had written, but that he had changed the wording to reflect what he intended. Dr. Amar also extensively reviewed the clinical records to come to his conclusions and to support his answers in testimony. Particularly, he said that Dr. Frimer's notation that he doubted appendicitis supports the conclusion that Dr. Frimer had examined the patient even though he was told to assume this as a fact. He said that the length of the note varies greatly depending on how busy the doctor is. In the end, Dr. Amar's reliance on clinical records to support his opinion makes his testimony worthwhile and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Amar said that the early and correct diagnosis of appendicitis is often difficult because the symptoms can mimic other conditions, all of which were examined here. The diagnosis of appendicitis is one of exclusion, so it was proper to admit Mr. Segal for observation. He said that Mr. Segal's symptoms would lead to a diagnosis of abdominal pain without conclusion, prior to a differential diagnosis with appendicitis near the top for exclusion. He acknowledged that some of Mr. Segal's symptoms were typical for retrocecal appendicitis. However, this was one of several possible differential diagnoses which may change as each day goes by. He concluded that Mr. Segal's presentation from December 18-20, 1994 was atypical for the diagnosis of appendicitis because of the four day history of pain, lack of specific physical findings supportive of this diagnosis, the patient's report of symptoms in different areas of the abdomen at different times, the clinical stability that allowed Mr. Segal to leave hospital with a pass, the normal white blood cell count, and eventual settling of abdominal pain. He said that the administration of a laxative when appendicitis is not highly suspected is appropriate to rule out other causes of the pain, but not if the patient is nauseous, anorexic or tender on palpitation. He did not consider that the administration of an antibiotic would affect the white blood cell count within twenty-four hours. The fact that Dr. Brown ordered only one antibiotic indicates that he had only a medium suspicion of appendicitis. He said that the decision to operate for appendicitis is for the surgeon and that he would defer to the surgeon's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Amar noted that a discharge is often made without seeing the patient after obtaining information from nurses as to the patient's condition, but not if the patient is receiving narcotic medication every three or four hours. He also said that it is not uncommon to discharge without a firm diagnosis, provided that the physician is confident that he has ruled out appendicitis. At the end of the day after going through the voluminous records, Dr. Amar said that the appropriate diagnosis of Mr. Segal on December 21, 1994 was abdominal pain without a specific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Laurence Turner, a general surgeon, also testified on behalf of the defendant. Dr. Turner is head of the Department of Surgery at Royal Columbian Hospital in New Westminster, B.C., an assistant clinical professor of surgery at the University of British Columbia, and head of the section of community surgery at the University of British Columbia. He also assumed the same facts that were assumed by Dr. Amar. Dr. Turner was not cross-examined on his opinion. The plaintiff appeared to have determined that the assumed facts were so in error that they completely negated the doctor's opinion. This, no doubt, is largely based upon the assumed fact that Dr. Frimer examined Mr. Segal on December 19,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Turner agreed with Dr. Amar that appendicitis is often a difficult diagnosis to make. Admission for observation pending a firm diagnosis is the standard of care. Dr. Turner agreed with Dr. Frimer's assessment that Mr. Segal had shown significant improvement on December 19, 1994 and that there was no indication that Mr. Segal required surgery. He considered it completely appropriate to have doubted appendicitis in all of the circumstances. Dr. Turner did not think that either the antibiotic or pain medication would have masked Mr. Segal's symptoms. Having reviewed the clinical chart, Dr. Turner opined that Mr. Segal's course on December 19 and 20, 1994 was inconsistent with appendicitis. Conservative treatment, as ordered by Dr. Frimer, was appropriate. Further, it was appropriate in the circumstances to have discharged Mr. Segal over the telephone on December 20, 1994. Finally, Dr. Turner said that there were no symptoms suggestive of appendicitis on Mr. Segal's subsequent hospitalization with Dr. Fishman.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Ormond Panton, a general surgeon, testified for the plaintiff. He is also an assistant clinical professor of general surgery at the University of British Columbia. He practices at Vancouver Hospital and Health Sciences Centre. He reviewed the clinical records, the examinations for discovery of numerous doctors initially involved as defendants in this case, as well as affidavits in support of summary judgment. Needless to say, not all of this evidence is before me. Dr. Panton was aware that Dr. Frimer had billed for a consultation report although none was done. He said that the documentation he reviewed led to his conclusion that Dr. Frimer did not conduct a proper physical examination of the patient's abdomen. However, it was unclear whether this conclusion was based upon Dr. Frimer as the consulting surgeon, or Dr. Frimer as the on-call physician in the circumstances described by Drs. Fishman and Houston. He said that there was no documentation by Dr. Frimer to substantiate his decision to discharge the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Panton was also of the view that the diagnosis of retrocecal appendicitis is a very challenging diagnosis to make. As he put it: "...the right lower quadrant of the abdomen is definitely a diagnostic minefield for surgeons and physicians". Retrocecal appendicitis is atypical in symptomology. He concluded that Dr. Brown had properly made a working diagnosis of retrocecal appendicitis and had properly admitted Mr. Segal for observation with the plan to await the results of the ultrasound, and to reassess the next day. If a firm diagnosis of appendicitis had been made, the standard is to immediately operate. He said that a doctor taking over from Dr. Brown would be expected to exercise his own professional judgment. He agreed on cross-examination that different clinicians may differ in terms of a differential diagnosis, and that in less than clear cases of suspected appendicitis, the standard of care is to admit, observe, re-evaluate and exclude. He said that a firm diagnosis is required before surgery. He said that Dr. Frimer fell below the standard of care of a general surgeon by discharging Mr. Segal with acute appendicitis, leading to the subsequent life-threatening intra-abdominal sepsis. The proper diagnosis and treatment of Mr. Segal was markedly delayed by Dr. Frimer's discharge of Mr. Segal on December 20, 1994. This conclusion was based upon the subsequent confirmed diagnosis of retrocecal appendicitis.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However, Dr. Panton agreed that the patient with appendicitis usually gets worse over time. He reluctantly agreed that attending a hockey game would normally be considered indicative of improvement, as would other symptoms exhibited by Mr. Segal as noted by the nurses. He acknowledged that Dr. Brown's admission of Mr. Segal for observation was in keeping with the four-day history of pain and the patient's recollection that the pain was better today than yesterday. He said that the twenty-four hours of antibiotics given to Mr. Segal would not usually result in clinical improvement. However, a reasonable physician still might discontinue the antibiotics and pain medication to ensure that clinical improvement had actually occurred once appendicitis had been ruled out. A normal temperature and a white blood cell count of less than twelve are to be taken into account in the overall clinical picture, but are generally not indicative of appendicitis. A white blood count of 9.84 is normal. He agreed that the location of pain is an important clinical indicator, and that non-localized abdominal pain is an important factor as appendicitis pain is usually in the right lower quadrant, although not necessarily with retrocecal appendicitis. Other important indicators include rebound pain. Epigastric pain is indicative of a patient with multiple abdominal problems, not all consistent with appendicitis, which poses a diagnostic dilemma. Dr. Panton ultimately agreed that if these symptoms existed, and if Dr. Frimer had examined the patient, then it was reasonable to have come to the conclusion that the patient did not have appendicitis. Dr. Panton agreed in cross-examination that a discharge diagnosis of abdominal pain not yet diagnosed is common provided that the surgeon has concluded, based upon professional expertise and after careful evaluation, that the patient does not have appendicitis.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Dr. Panton thought that Dr. Fishman's diagnosis at Mr. Segal's subsequent hospitalization was an available interpretation, but obviously wrong in retrospect. Dr. Panton's tendency to judge the opinions of both Drs. Frimer and Fishman by the subsequent retrospective diagnosis of retrocecal appendicitis colours his opinion. He disregarded evidence of clinical improvement on December 18-20. Dr. Frimer's decision should be assessed having regard only to the signs and symptoms that were or should have been known to him at the time, and not on what became apparent later (Ter Neuzen v. Korn </w:t>
      </w:r>
      <w:hyperlink r:id="rId254" w:history="1">
        <w:r>
          <w:rPr>
            <w:rFonts w:ascii="arial" w:eastAsia="arial" w:hAnsi="arial" w:cs="arial"/>
            <w:i/>
            <w:color w:val="0077CC"/>
            <w:sz w:val="20"/>
            <w:u w:val="single"/>
            <w:shd w:val="clear" w:color="auto" w:fill="FFFFFF"/>
            <w:lang w:val="en-US" w:eastAsia="en-US" w:bidi="ar-SA"/>
          </w:rPr>
          <w:t>(1995), 11 B.C.L.R. (3d) 201</w:t>
        </w:r>
      </w:hyperlink>
      <w:r>
        <w:rPr>
          <w:rFonts w:ascii="arial" w:eastAsia="arial" w:hAnsi="arial" w:cs="arial"/>
          <w:color w:val="000000"/>
          <w:sz w:val="20"/>
          <w:lang w:val="en-US" w:eastAsia="en-US" w:bidi="ar-SA"/>
        </w:rPr>
        <w:t xml:space="preserve"> at 214 (S.C.C.); Heidebrecht v. Fraser-Burrard Hospital Society </w:t>
      </w:r>
      <w:hyperlink r:id="rId297" w:history="1">
        <w:r>
          <w:rPr>
            <w:rFonts w:ascii="arial" w:eastAsia="arial" w:hAnsi="arial" w:cs="arial"/>
            <w:i/>
            <w:color w:val="0077CC"/>
            <w:sz w:val="20"/>
            <w:u w:val="single"/>
            <w:shd w:val="clear" w:color="auto" w:fill="FFFFFF"/>
            <w:lang w:val="en-US" w:eastAsia="en-US" w:bidi="ar-SA"/>
          </w:rPr>
          <w:t>[1996] B.C.J. No. 3042</w:t>
        </w:r>
      </w:hyperlink>
      <w:r>
        <w:rPr>
          <w:rFonts w:ascii="arial" w:eastAsia="arial" w:hAnsi="arial" w:cs="arial"/>
          <w:color w:val="000000"/>
          <w:sz w:val="20"/>
          <w:lang w:val="en-US" w:eastAsia="en-US" w:bidi="ar-SA"/>
        </w:rPr>
        <w:t xml:space="preserve"> at para. 72 (S.C.); Chattu v. Pankratz </w:t>
      </w:r>
      <w:hyperlink r:id="rId298" w:history="1">
        <w:r>
          <w:rPr>
            <w:rFonts w:ascii="arial" w:eastAsia="arial" w:hAnsi="arial" w:cs="arial"/>
            <w:i/>
            <w:color w:val="0077CC"/>
            <w:sz w:val="20"/>
            <w:u w:val="single"/>
            <w:shd w:val="clear" w:color="auto" w:fill="FFFFFF"/>
            <w:lang w:val="en-US" w:eastAsia="en-US" w:bidi="ar-SA"/>
          </w:rPr>
          <w:t>[1990] B.C.J. No. 704</w:t>
        </w:r>
      </w:hyperlink>
      <w:r>
        <w:rPr>
          <w:rFonts w:ascii="arial" w:eastAsia="arial" w:hAnsi="arial" w:cs="arial"/>
          <w:color w:val="000000"/>
          <w:sz w:val="20"/>
          <w:lang w:val="en-US" w:eastAsia="en-US" w:bidi="ar-SA"/>
        </w:rPr>
        <w:t xml:space="preserve"> at 6 (S.C.)). I also think that the billing errors of Dr. Frimer caused Dr. Panton to take a dim view of Dr. Frimer's documentation from the outset, causing him to have a closed mind as to the significance of what Dr. Frimer actually wrote.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From a review of all of these opinions, it is apparent that the diagnosis of appendicitis is not easy. It is also apparent that Mr. Segal did not present with the usual symptoms, of appendicitis and that he showed signs of clinical improvement throughout his December 19-20 hospitalization. The symptoms that he exhibited and of which he complained were indicative of multiple abdominal problems, calling for investigation, but not immediate surgery. Investigation included physical examination by Dr. Frimer in order to meet the required standard of care. It also included re-evaluation of the patient, obtaining a history and applying professional judgment to the situation. All other appropriate investigative tools were used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questions are whether Dr. Frimer performed a physical examination of the patient, and whether he exercised the required care and skill in the diagnosis of Mr. Segal's problem. The exercise of professional diagnostic skill was required in a perplexing situation that could have resulted in varied reasonable opinions as to the cause of Mr. Segal's problems. All experts who testified agreed that if presented with the clinical status of no rebound tenderness, spasmodic abdominal pain, blackish stool, history of ulcers, four-day history of abdominal pain, and improvement, along with a normal temperature and white blood cell count, a reasonable, competent surgeon could have concluded that this patient did not have appendicitis. Conservative treatment was warranted until a firm diagnosis of appendicitis had been made. No such firm diagnosis was made until January 2, 1995. Ultimately, it appears that all of Dr. Frimer's conclusions could be considered reasonable, provided that he had physically examined Mr. Segal on December 19, 1994, and that the clinical presentation could not support a firm diagnosis of appendicitis.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With respect to documentation, the notes of Dr.Frimer on December 19, 1994 do not report the detailed results of a physical examination. However, I accept that a full notation is not always made when a physician is not the consulting surgeon. The notations that were made, including orders, were sufficient to make others aware of Dr. Frimer's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There are two issues as to liability in this case. The first and central issue is whether Dr. Frimer examined the plaintiff on December 19, 1994. The second is whether Dr. Frimer applied the requisite standard of care in the diagnosis of Mr. Segal on that date.</w:t>
      </w:r>
      <w:r>
        <w:rPr>
          <w:rFonts w:ascii="arial" w:eastAsia="arial" w:hAnsi="arial" w:cs="arial"/>
          <w:sz w:val="20"/>
          <w:lang w:val="en-US" w:eastAsia="en-US" w:bidi="ar-SA"/>
        </w:rPr>
        <w:cr/>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Frimer perform a physical examination of the plaintiff on December 19,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must prove on a balance of probabilities that Dr. Frimer did not examine him on December 19, 1994. Mr. Segal was certain that he did not. He said that Dr. Frimer did not come into his room on December 19, 1994. His wife supported this testimony. However, Mrs. Segal was most probably not at the hospital during the times that Dr. Frimer would have attended upon Mr. Segal. This was before 9:00 a.m. and then again sometime around 6:00 p.m. Mr. Segal was also firm that his complaints were of continuous lower right abdominal pain throughout the day. However, nursing notes and other hospital records confirmed that he complained of other areas of pain and that it was not continuous. Mr. Segal agreed that he told the nurses where his pain was and that the notes were probably accurate. He could not recall whether he knew the name of Dr. Frimer on December 19,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Frimer had no specific recollection of Mr. Segal. However, he testified as to his usual practice. This practice was to review the clinical records of each patient under his care, to make a list of the patients, to go door to door on the ward to see each patient, checking each off the list as he went, and then returning to the nurses station to note the results of his visits on each patient's chart. There was a notation of impressions made with respect to Mr. Segal at around 9:00 a.m. on December 19, 1994. The content of the notation, including "says had melena", supports the conclusion that this information was obtained by the patient, albeit not in those words. There were also orders made at the same time that significantly changed the treatment regimen that Dr. Brown had ordered. Dr. Frimer was aware of the serious nature of the diagnosis made by Dr. Brown, and that his role was to specifically rule out retrocecal appendicitis. The orders reflected a possible differential diagnosis of Mr. Segal's problem, although a formal differential diagnosis was not made. These notations were made contemporaneously with events on December 19. Dr. Frimer presented his evidence in a straightforward manner, was responsive to questions, and candidly admitted when he had no specific recall, that he did not fully chart his examination of Mr. Segal, and that his billings were in error. He also acknowledged that his statements in an affidavit, including that he found Mr. Segal to have been a difficult patient, were not based upon recollection. His practice in the circumstance of doing clinical rounds was to record important impressions for his own use. The timing and content of his 9:00 a.m. notation, supports the conclusion that Dr. Frimer followed his usual practice. This is not a situation of no notation at all, but of incomplete notation.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evidence of the nurse on evening duty who recorded "doctor in to see" also supports the conclusion that Dr. Frimer attended upon Mr. Segal on December 19. Mr. Segal testified that Dr. Frimer did not see him at all on December 19, 1994. However, the interpretation of the nurse's note at 6:00 p.m. was not contested. It was unusual for her to have noted that the doctor went into the room to see the patient. She had done so presumably because the patient had refused to take the medication that had been ordered. In this circumstance, I prefer the nurse's notation of events to the recollection of the plaintiff. This undermines the testimony of the plaintiff as to whether Dr. Frimer examined Mr. Segal on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Belknap v. Meakes, </w:t>
      </w:r>
      <w:hyperlink r:id="rId251" w:history="1">
        <w:r>
          <w:rPr>
            <w:rFonts w:ascii="arial" w:eastAsia="arial" w:hAnsi="arial" w:cs="arial"/>
            <w:i/>
            <w:color w:val="0077CC"/>
            <w:sz w:val="20"/>
            <w:u w:val="single"/>
            <w:shd w:val="clear" w:color="auto" w:fill="FFFFFF"/>
            <w:lang w:val="en-US" w:eastAsia="en-US" w:bidi="ar-SA"/>
          </w:rPr>
          <w:t>(1989), 64 D.L.R. (4th) 452</w:t>
        </w:r>
      </w:hyperlink>
      <w:r>
        <w:rPr>
          <w:rFonts w:ascii="arial" w:eastAsia="arial" w:hAnsi="arial" w:cs="arial"/>
          <w:color w:val="000000"/>
          <w:sz w:val="20"/>
          <w:lang w:val="en-US" w:eastAsia="en-US" w:bidi="ar-SA"/>
        </w:rPr>
        <w:t xml:space="preserve"> (B.C.C.A.), Dr. Meakes was unable to say what he did before an operation but the pre-operative assessment was a standard part of his practice from which he did not waiver. The court said at 465-466: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person can say of something he regularly does in his professional life that he invariably does it in a certain way, that surely is evidence and possibly convincing evidence that he did it in that way on the day in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Wigmore on Evidence, vol. IA (Tillers rev. 1983), states that there is no reason why habit should not be used as evidence either of negligent action or of careful action (para. 97), and that habit should be admissible as a substitute for present recollection. Phipson on Evidence, 13th ed. (1982), paras. 9-22, reaches a similar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Belknap has been followed on the issue of usual practice in: King v. Leete, </w:t>
      </w:r>
      <w:hyperlink r:id="rId299" w:history="1">
        <w:r>
          <w:rPr>
            <w:rFonts w:ascii="arial" w:eastAsia="arial" w:hAnsi="arial" w:cs="arial"/>
            <w:i/>
            <w:color w:val="0077CC"/>
            <w:sz w:val="20"/>
            <w:u w:val="single"/>
            <w:shd w:val="clear" w:color="auto" w:fill="FFFFFF"/>
            <w:lang w:val="en-US" w:eastAsia="en-US" w:bidi="ar-SA"/>
          </w:rPr>
          <w:t>[1994] B.C.J. No. 1667</w:t>
        </w:r>
      </w:hyperlink>
      <w:r>
        <w:rPr>
          <w:rFonts w:ascii="arial" w:eastAsia="arial" w:hAnsi="arial" w:cs="arial"/>
          <w:color w:val="000000"/>
          <w:sz w:val="20"/>
          <w:lang w:val="en-US" w:eastAsia="en-US" w:bidi="ar-SA"/>
        </w:rPr>
        <w:t xml:space="preserve"> at para. 25 (S.C.); Kroll v. Eli Lilly Canada Inc., </w:t>
      </w:r>
      <w:hyperlink r:id="rId300" w:history="1">
        <w:r>
          <w:rPr>
            <w:rFonts w:ascii="arial" w:eastAsia="arial" w:hAnsi="arial" w:cs="arial"/>
            <w:i/>
            <w:color w:val="0077CC"/>
            <w:sz w:val="20"/>
            <w:u w:val="single"/>
            <w:shd w:val="clear" w:color="auto" w:fill="FFFFFF"/>
            <w:lang w:val="en-US" w:eastAsia="en-US" w:bidi="ar-SA"/>
          </w:rPr>
          <w:t>[1995] B.C.J. No. 1355</w:t>
        </w:r>
      </w:hyperlink>
      <w:r>
        <w:rPr>
          <w:rFonts w:ascii="arial" w:eastAsia="arial" w:hAnsi="arial" w:cs="arial"/>
          <w:color w:val="000000"/>
          <w:sz w:val="20"/>
          <w:lang w:val="en-US" w:eastAsia="en-US" w:bidi="ar-SA"/>
        </w:rPr>
        <w:t xml:space="preserve"> at para. 10 (S.C.); Tucker v. Jamieson, </w:t>
      </w:r>
      <w:hyperlink r:id="rId301" w:history="1">
        <w:r>
          <w:rPr>
            <w:rFonts w:ascii="arial" w:eastAsia="arial" w:hAnsi="arial" w:cs="arial"/>
            <w:i/>
            <w:color w:val="0077CC"/>
            <w:sz w:val="20"/>
            <w:u w:val="single"/>
            <w:shd w:val="clear" w:color="auto" w:fill="FFFFFF"/>
            <w:lang w:val="en-US" w:eastAsia="en-US" w:bidi="ar-SA"/>
          </w:rPr>
          <w:t>[1995] B.C.J. No. 2369</w:t>
        </w:r>
      </w:hyperlink>
      <w:r>
        <w:rPr>
          <w:rFonts w:ascii="arial" w:eastAsia="arial" w:hAnsi="arial" w:cs="arial"/>
          <w:color w:val="000000"/>
          <w:sz w:val="20"/>
          <w:lang w:val="en-US" w:eastAsia="en-US" w:bidi="ar-SA"/>
        </w:rPr>
        <w:t xml:space="preserve"> at para. 38 (S.C.); Ralston v. Morris, </w:t>
      </w:r>
      <w:hyperlink r:id="rId302" w:history="1">
        <w:r>
          <w:rPr>
            <w:rFonts w:ascii="arial" w:eastAsia="arial" w:hAnsi="arial" w:cs="arial"/>
            <w:i/>
            <w:color w:val="0077CC"/>
            <w:sz w:val="20"/>
            <w:u w:val="single"/>
            <w:shd w:val="clear" w:color="auto" w:fill="FFFFFF"/>
            <w:lang w:val="en-US" w:eastAsia="en-US" w:bidi="ar-SA"/>
          </w:rPr>
          <w:t>[1996] B.C.J. No. 3125</w:t>
        </w:r>
      </w:hyperlink>
      <w:r>
        <w:rPr>
          <w:rFonts w:ascii="arial" w:eastAsia="arial" w:hAnsi="arial" w:cs="arial"/>
          <w:color w:val="000000"/>
          <w:sz w:val="20"/>
          <w:lang w:val="en-US" w:eastAsia="en-US" w:bidi="ar-SA"/>
        </w:rPr>
        <w:t xml:space="preserve"> at para. 23 (S.C.); Tateman v. Fisher, </w:t>
      </w:r>
      <w:hyperlink r:id="rId303" w:history="1">
        <w:r>
          <w:rPr>
            <w:rFonts w:ascii="arial" w:eastAsia="arial" w:hAnsi="arial" w:cs="arial"/>
            <w:i/>
            <w:color w:val="0077CC"/>
            <w:sz w:val="20"/>
            <w:u w:val="single"/>
            <w:shd w:val="clear" w:color="auto" w:fill="FFFFFF"/>
            <w:lang w:val="en-US" w:eastAsia="en-US" w:bidi="ar-SA"/>
          </w:rPr>
          <w:t>[1997] B.C.J. No. 529</w:t>
        </w:r>
      </w:hyperlink>
      <w:r>
        <w:rPr>
          <w:rFonts w:ascii="arial" w:eastAsia="arial" w:hAnsi="arial" w:cs="arial"/>
          <w:color w:val="000000"/>
          <w:sz w:val="20"/>
          <w:lang w:val="en-US" w:eastAsia="en-US" w:bidi="ar-SA"/>
        </w:rPr>
        <w:t xml:space="preserve"> at para. 36 (S.C.); Hanvold v. Speiss, </w:t>
      </w:r>
      <w:hyperlink r:id="rId304" w:history="1">
        <w:r>
          <w:rPr>
            <w:rFonts w:ascii="arial" w:eastAsia="arial" w:hAnsi="arial" w:cs="arial"/>
            <w:i/>
            <w:color w:val="0077CC"/>
            <w:sz w:val="20"/>
            <w:u w:val="single"/>
            <w:shd w:val="clear" w:color="auto" w:fill="FFFFFF"/>
            <w:lang w:val="en-US" w:eastAsia="en-US" w:bidi="ar-SA"/>
          </w:rPr>
          <w:t>[1999] B.C.J. No. 1573</w:t>
        </w:r>
      </w:hyperlink>
      <w:r>
        <w:rPr>
          <w:rFonts w:ascii="arial" w:eastAsia="arial" w:hAnsi="arial" w:cs="arial"/>
          <w:color w:val="000000"/>
          <w:sz w:val="20"/>
          <w:lang w:val="en-US" w:eastAsia="en-US" w:bidi="ar-SA"/>
        </w:rPr>
        <w:t xml:space="preserve"> at para. 39 (S.C.); Jantzen v. Hobbs, </w:t>
      </w:r>
      <w:hyperlink r:id="rId305" w:history="1">
        <w:r>
          <w:rPr>
            <w:rFonts w:ascii="arial" w:eastAsia="arial" w:hAnsi="arial" w:cs="arial"/>
            <w:i/>
            <w:color w:val="0077CC"/>
            <w:sz w:val="20"/>
            <w:u w:val="single"/>
            <w:shd w:val="clear" w:color="auto" w:fill="FFFFFF"/>
            <w:lang w:val="en-US" w:eastAsia="en-US" w:bidi="ar-SA"/>
          </w:rPr>
          <w:t>[2001] B.C.J. No. 2049</w:t>
        </w:r>
      </w:hyperlink>
      <w:r>
        <w:rPr>
          <w:rFonts w:ascii="arial" w:eastAsia="arial" w:hAnsi="arial" w:cs="arial"/>
          <w:color w:val="000000"/>
          <w:sz w:val="20"/>
          <w:lang w:val="en-US" w:eastAsia="en-US" w:bidi="ar-SA"/>
        </w:rPr>
        <w:t xml:space="preserve"> at para. 24 (P.C.); McLeod v. Ridyard, </w:t>
      </w:r>
      <w:hyperlink r:id="rId306" w:history="1">
        <w:r>
          <w:rPr>
            <w:rFonts w:ascii="arial" w:eastAsia="arial" w:hAnsi="arial" w:cs="arial"/>
            <w:i/>
            <w:color w:val="0077CC"/>
            <w:sz w:val="20"/>
            <w:u w:val="single"/>
            <w:shd w:val="clear" w:color="auto" w:fill="FFFFFF"/>
            <w:lang w:val="en-US" w:eastAsia="en-US" w:bidi="ar-SA"/>
          </w:rPr>
          <w:t>[2001] B.C.J No. 155</w:t>
        </w:r>
      </w:hyperlink>
      <w:r>
        <w:rPr>
          <w:rFonts w:ascii="arial" w:eastAsia="arial" w:hAnsi="arial" w:cs="arial"/>
          <w:color w:val="000000"/>
          <w:sz w:val="20"/>
          <w:lang w:val="en-US" w:eastAsia="en-US" w:bidi="ar-SA"/>
        </w:rPr>
        <w:t xml:space="preserve"> at para. 23 (S.C.); Brandon v. Jordon, </w:t>
      </w:r>
      <w:hyperlink r:id="rId307" w:history="1">
        <w:r>
          <w:rPr>
            <w:rFonts w:ascii="arial" w:eastAsia="arial" w:hAnsi="arial" w:cs="arial"/>
            <w:i/>
            <w:color w:val="0077CC"/>
            <w:sz w:val="20"/>
            <w:u w:val="single"/>
            <w:shd w:val="clear" w:color="auto" w:fill="FFFFFF"/>
            <w:lang w:val="en-US" w:eastAsia="en-US" w:bidi="ar-SA"/>
          </w:rPr>
          <w:t>[2001] B.C.J. No. 308</w:t>
        </w:r>
      </w:hyperlink>
      <w:r>
        <w:rPr>
          <w:rFonts w:ascii="arial" w:eastAsia="arial" w:hAnsi="arial" w:cs="arial"/>
          <w:color w:val="000000"/>
          <w:sz w:val="20"/>
          <w:lang w:val="en-US" w:eastAsia="en-US" w:bidi="ar-SA"/>
        </w:rPr>
        <w:t xml:space="preserve"> at para. 27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evidence of usual practice can be extrapolated to the particular facts of this case. The documentation of Dr. Frimer and the nurse's notation on the evening of December 19, 1994 are to be preferred over the evidence of the plaintiff, who is recollecting events eight years after the fact. It is also significant that the failure of Dr. Frimer to examine Mr. Segal was not alleged in the statement of claim until 2001. In these circumstances, the preponderance of probability is not harmonious with the plaintiff's recollection. I do not find that the plaintiff has proven on a balance of probabilities that Dr. Frimer did not examine him on December 19, 1994.</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Frimer apply the requisite standard of care in the diagnosis of Mr. Segal on December 19-20,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Dr. Frimer must have applied the skill, care and learning ordinarily possessed by other general surgeons placed in similar circumstances. Rand, J. described the standard of care imposed upon a physician in the position of Dr. Frimer in Wilson v. Swanson, </w:t>
      </w:r>
      <w:hyperlink r:id="rId308"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xml:space="preserve"> at 811-812 (S.C.C.):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presence of such a delicate balance of factors, the surgeon is placed in a situation of extreme difficulty; whatever is done runs many hazards from causes which may only be guessed at; what standard does the law require of him in meeting it? What the surgeon by his ordinary engagement undertakes with the patient is that he possesses the skill, knowledge and judgment of the generality or average of the special group or class of technicians to which he belongs and will faithfully exercise them. In a given situation some may differ from others in that exercise, depending on the significance they attribute to the different factors in the light of their own experience. The dynamics of the human body of each individual are themselves individual and there are lines of doubt and uncertainty at which a clear course of action may be precluded.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here only the question of judgment; what of that? The test can be no more than this: was the decision the result of the exercise of the surgical intelligence professed? Or was what was done such that, disregarding it may be the exceptional case or individual, in all the circumstances, at least the preponderant opinion of the group would have been against it? If a substantial opinion confirms it, there is no breach or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It is recognized that differences of opinion and practice exist. A physician is not negligent merely because his conclusion differs from that of other professional people provided that he exercised the ordinary skill of his specialty (Belknap, supra at 474; Dudas v. Munro, </w:t>
      </w:r>
      <w:hyperlink r:id="rId309" w:history="1">
        <w:r>
          <w:rPr>
            <w:rFonts w:ascii="arial" w:eastAsia="arial" w:hAnsi="arial" w:cs="arial"/>
            <w:i/>
            <w:color w:val="0077CC"/>
            <w:sz w:val="20"/>
            <w:u w:val="single"/>
            <w:shd w:val="clear" w:color="auto" w:fill="FFFFFF"/>
            <w:lang w:val="en-US" w:eastAsia="en-US" w:bidi="ar-SA"/>
          </w:rPr>
          <w:t>[1997] B.C.J. No. 774</w:t>
        </w:r>
      </w:hyperlink>
      <w:r>
        <w:rPr>
          <w:rFonts w:ascii="arial" w:eastAsia="arial" w:hAnsi="arial" w:cs="arial"/>
          <w:color w:val="000000"/>
          <w:sz w:val="20"/>
          <w:lang w:val="en-US" w:eastAsia="en-US" w:bidi="ar-SA"/>
        </w:rPr>
        <w:t xml:space="preserve">, April 2, 1997, Vancouver Registry No. C908043 at paras. 4-5 (B.C.S.C.)). There is a distinction between error and fault.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only be found if generally accepted rules of medicine are not followed. Courts are generally not to become involved in controversial questions of assessment having to do with diagnosis or the treatment of preference (Ter Neuzen supra at 216).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However, doctors are under a duty to diagnose. The choice of diagnoses must be based upon an evaluation of all of the facts available to the doctor and all of the methods available to check the accuracy of those facts with a conclusory diagnosis of the most probable diagnosis of all (Laden v. Cope </w:t>
      </w:r>
      <w:hyperlink r:id="rId310" w:history="1">
        <w:r>
          <w:rPr>
            <w:rFonts w:ascii="arial" w:eastAsia="arial" w:hAnsi="arial" w:cs="arial"/>
            <w:i/>
            <w:color w:val="0077CC"/>
            <w:sz w:val="20"/>
            <w:u w:val="single"/>
            <w:shd w:val="clear" w:color="auto" w:fill="FFFFFF"/>
            <w:lang w:val="en-US" w:eastAsia="en-US" w:bidi="ar-SA"/>
          </w:rPr>
          <w:t>(1984), 52 A.R. 70</w:t>
        </w:r>
      </w:hyperlink>
      <w:r>
        <w:rPr>
          <w:rFonts w:ascii="arial" w:eastAsia="arial" w:hAnsi="arial" w:cs="arial"/>
          <w:color w:val="000000"/>
          <w:sz w:val="20"/>
          <w:lang w:val="en-US" w:eastAsia="en-US" w:bidi="ar-SA"/>
        </w:rPr>
        <w:t xml:space="preserve"> at 75-76 (Alta. Q.B.); Chow (Litigation Guardian of) v. Wellesley Hospital, </w:t>
      </w:r>
      <w:hyperlink r:id="rId311" w:history="1">
        <w:r>
          <w:rPr>
            <w:rFonts w:ascii="arial" w:eastAsia="arial" w:hAnsi="arial" w:cs="arial"/>
            <w:i/>
            <w:color w:val="0077CC"/>
            <w:sz w:val="20"/>
            <w:u w:val="single"/>
            <w:shd w:val="clear" w:color="auto" w:fill="FFFFFF"/>
            <w:lang w:val="en-US" w:eastAsia="en-US" w:bidi="ar-SA"/>
          </w:rPr>
          <w:t>[1999] O.J. No. 279</w:t>
        </w:r>
      </w:hyperlink>
      <w:r>
        <w:rPr>
          <w:rFonts w:ascii="arial" w:eastAsia="arial" w:hAnsi="arial" w:cs="arial"/>
          <w:color w:val="000000"/>
          <w:sz w:val="20"/>
          <w:lang w:val="en-US" w:eastAsia="en-US" w:bidi="ar-SA"/>
        </w:rPr>
        <w:t xml:space="preserve"> at para. 191; Dowhan v. Coates </w:t>
      </w:r>
      <w:hyperlink r:id="rId312" w:history="1">
        <w:r>
          <w:rPr>
            <w:rFonts w:ascii="arial" w:eastAsia="arial" w:hAnsi="arial" w:cs="arial"/>
            <w:i/>
            <w:color w:val="0077CC"/>
            <w:sz w:val="20"/>
            <w:u w:val="single"/>
            <w:shd w:val="clear" w:color="auto" w:fill="FFFFFF"/>
            <w:lang w:val="en-US" w:eastAsia="en-US" w:bidi="ar-SA"/>
          </w:rPr>
          <w:t>[2000] O.J. No. 2343</w:t>
        </w:r>
      </w:hyperlink>
      <w:r>
        <w:rPr>
          <w:rFonts w:ascii="arial" w:eastAsia="arial" w:hAnsi="arial" w:cs="arial"/>
          <w:color w:val="000000"/>
          <w:sz w:val="20"/>
          <w:lang w:val="en-US" w:eastAsia="en-US" w:bidi="ar-SA"/>
        </w:rPr>
        <w:t xml:space="preserve"> at para. 5 (Ont. Sup. Crt.)). Failure to correctly diagnose a patient is not automatic proof of breach of the standard of care (Leaker v. Porter </w:t>
      </w:r>
      <w:hyperlink r:id="rId313" w:history="1">
        <w:r>
          <w:rPr>
            <w:rFonts w:ascii="arial" w:eastAsia="arial" w:hAnsi="arial" w:cs="arial"/>
            <w:i/>
            <w:color w:val="0077CC"/>
            <w:sz w:val="20"/>
            <w:u w:val="single"/>
            <w:shd w:val="clear" w:color="auto" w:fill="FFFFFF"/>
            <w:lang w:val="en-US" w:eastAsia="en-US" w:bidi="ar-SA"/>
          </w:rPr>
          <w:t>[2001] B.C.J. No. 1602</w:t>
        </w:r>
      </w:hyperlink>
      <w:r>
        <w:rPr>
          <w:rFonts w:ascii="arial" w:eastAsia="arial" w:hAnsi="arial" w:cs="arial"/>
          <w:color w:val="000000"/>
          <w:sz w:val="20"/>
          <w:lang w:val="en-US" w:eastAsia="en-US" w:bidi="ar-SA"/>
        </w:rPr>
        <w:t xml:space="preserve"> at para. 73 (S.C.); Webb. V. Motta </w:t>
      </w:r>
      <w:hyperlink r:id="rId314" w:history="1">
        <w:r>
          <w:rPr>
            <w:rFonts w:ascii="arial" w:eastAsia="arial" w:hAnsi="arial" w:cs="arial"/>
            <w:i/>
            <w:color w:val="0077CC"/>
            <w:sz w:val="20"/>
            <w:u w:val="single"/>
            <w:shd w:val="clear" w:color="auto" w:fill="FFFFFF"/>
            <w:lang w:val="en-US" w:eastAsia="en-US" w:bidi="ar-SA"/>
          </w:rPr>
          <w:t>[1998] A.J. No. 1329</w:t>
        </w:r>
      </w:hyperlink>
      <w:r>
        <w:rPr>
          <w:rFonts w:ascii="arial" w:eastAsia="arial" w:hAnsi="arial" w:cs="arial"/>
          <w:color w:val="000000"/>
          <w:sz w:val="20"/>
          <w:lang w:val="en-US" w:eastAsia="en-US" w:bidi="ar-SA"/>
        </w:rPr>
        <w:t xml:space="preserve"> at para. 88 (Alta. S.C.); Grennan Estate v. Alton </w:t>
      </w:r>
      <w:hyperlink r:id="rId315" w:history="1">
        <w:r>
          <w:rPr>
            <w:rFonts w:ascii="arial" w:eastAsia="arial" w:hAnsi="arial" w:cs="arial"/>
            <w:i/>
            <w:color w:val="0077CC"/>
            <w:sz w:val="20"/>
            <w:u w:val="single"/>
            <w:shd w:val="clear" w:color="auto" w:fill="FFFFFF"/>
            <w:lang w:val="en-US" w:eastAsia="en-US" w:bidi="ar-SA"/>
          </w:rPr>
          <w:t>[2001] Y.J. No. 3</w:t>
        </w:r>
      </w:hyperlink>
      <w:r>
        <w:rPr>
          <w:rFonts w:ascii="arial" w:eastAsia="arial" w:hAnsi="arial" w:cs="arial"/>
          <w:color w:val="000000"/>
          <w:sz w:val="20"/>
          <w:lang w:val="en-US" w:eastAsia="en-US" w:bidi="ar-SA"/>
        </w:rPr>
        <w:t xml:space="preserve"> at para. 51 (Yuk.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Frimer was bound to exercise judgment as to the source of Mr. Segal's problems. This implied a responsibility to weigh, assess, and evaluate such information as was, or should have been available. Because I have concluded that Dr. Frimer conducted a physical examination of Mr. Segal on December 19, 1994 with a mind turned to the determination of retrocecal appendicitis, and because it has not been suggested that any other procedure or test should have been done at the time that was not done, it follows that Dr. Frimer exercised his judgment based upon full information. There was nothing about Mr. Segal at the time that would have been discoverable on examination that went undetected by Dr. Frimer. Any doubt about this is confirmed by the findings of Dr. Fishman on December 10, 1994 upon his physical examination, which all agreed was full and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question then becomes whether Dr. Frimer's failure to detect appendicitis and the discharge with a diagnosis of abdominal pain not yet diagnosed was negligent. Significant to this determination is the fact that Drs. Brown, Fishman and Houston, who did thorough examinations, did not make a firm diagnosis of retrocecal appendicitis when they examined Mr. Segal on December 18, December 21 and January 1, respectively. Dr. Brown made a provisional diagnosis of retrocecal appendicitis but did not consider Mr. Segal's situation acute so as to warrant a firm diagnosis. He admitted Mr. Segal for observation and more tests. Dr. Fishman diagnosed functional abdominal pain after consideration of several options including appendicitis. Dr. Houston was so uncertain about the diagnosis of acute appendicitis that he too admitted Mr. Segal for observation pending a firm diagnosis that would warrant surgical intervention. He did not operate immediately even when there were clear signs of sepsis.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All doctors agreed that the diagnosis of appendicitis can be difficult. All also agreed that Mr. Segal did not present with classic symptoms, even for retrocecal appendicitis, and that he was not in an acute phase on December 19-20, 1994. It was also apparent from the expert's testimony that different physicians could interpret clinical notations by other health care professionals differently. Mr. Segal demonstrated clinical signs of improvement that would not have been expected in a patient with appendicitis. This included a normal temperature, near normal white blood cell count, variable location of abdominal pain, no rebound tenderness, and a five-day history of abdominal pain with a history of ulcer disease. He was able to move about, sleep reasonably well, and look after his own care. The experts agreed that if a physical examination had been done and if the physician's examination confirmed these findings, then this patient did not present with a "surgical abdomen" requiring immediate intervention. Based upon Dr. Frimer's documented impression "doubt appendicitis", I conclude that his physical assessment of Mr. Segal confirmed these findings. In the circumstances that existed on December 19-20, 1994, the true physical condition of Mr. Segal was not so firmly apparent that appendicitis could have been recognized by the exercise of reasonable care and skill. The other alternatives considered by Dr. Frimer were all reasonable and there is no suggestion that he did not follow up those alternatives carefully.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discharge summary prepared by Dr. Frimer was three months after the fact, indicative of poor practice. However, the discharge diagnosis was not unreasonable in the circumstances. Both Dr. Amar and Dr. Panton testified that unspecified abdominal pain can be an appropriate discharge diagnosis provided that appendicitis has been ruled out. Dr. Frimer had exercised reasonable judgment in his decision that Mr. Segal did not have appendicitis. In this circumstance, the discharge diagnosis was also reasonable given that other probable causes of Mr. Segal's pain had also been considered, tested, and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has failed to prove that Dr. Frimer was negligent in failing to diagnose appendicitis on December 19-20,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It is indeed unfortunate that Mr. Segal's symptoms were not clearer in the early stages of his appendicitis. However, this misfortune cannot be laid upon Dr. Frimer who exercised reasonable care in the diagnosis and treatment of the plaintiff. The plaintiff's action is dismissed. The defendants are entitled to costs on the scale of 3: however, the plaintiff may apply to speak to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DILLON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November 7,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With respect to my Reaons for Judgment in Segal v. Frimer, 2002 BCSC 1303, dated September 9, 2002, the initials of Mr. McGivern should be "P.T." in place of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With respect to p. 24, para. 37, lines 8 and 9, the phrase "The defence appeared to have determined..." should read "The plaintiff appeared to have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DILLON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0" style="position:absolute;z-index:2518312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22" w:history="1">
        <w:r>
          <w:rPr>
            <w:rFonts w:ascii="arial" w:eastAsia="arial" w:hAnsi="arial" w:cs="arial"/>
            <w:b/>
            <w:bCs/>
            <w:i/>
            <w:color w:val="0077CC"/>
            <w:kern w:val="32"/>
            <w:sz w:val="28"/>
            <w:szCs w:val="32"/>
            <w:u w:val="single"/>
            <w:shd w:val="clear" w:color="auto" w:fill="FFFFFF"/>
            <w:lang w:val="en-US" w:eastAsia="en-US" w:bidi="ar-SA"/>
          </w:rPr>
          <w:t>Strata Plan VR 2402 v. R. 118 Developments Inc., [2004] B.C.J. No. 1393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Baker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26 and March 2,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6,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C996431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1393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903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35 C.L.R. (3d) 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132 A.C.W.S. (3d) 24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Owners, Strata Plan VR 2402, plaintiff, and R. 118 Developments Inc., R. 120 Developments Inc. and Grand Adex Developments Ltd. doing business as The Grand Adex Group, R. 120 Developments Inc., Grand Adex Developments Ltd., Polygon Ventures Limited, Cheung Kong Real Estate Agency Limited, Lawrence Doyle doing business as Hamilton Doyle &amp; Associates, the said Lawrence Doyle, Paul Loewen &amp; Associates Ltd., Pro Pacific Management Ltd., Starline Windows Ltd., CMJ Heating Ltd. and 191766 Holdings Ltd. previously known as Seymour Drywall (1979) Ltd., defendants, and Peter Ross Limited and John-Charles Ltd.,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1"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4" w:name="Keywords_19"/>
      <w:bookmarkEnd w:id="134"/>
      <w:r>
        <w:rPr>
          <w:rFonts w:ascii="arial" w:eastAsia="arial" w:hAnsi="arial" w:cs="arial"/>
          <w:b/>
          <w:color w:val="000000"/>
          <w:sz w:val="20"/>
          <w:lang w:val="en-US" w:eastAsia="en-US" w:bidi="ar-SA"/>
        </w:rPr>
        <w:t xml:space="preserve">Civil procedure — Parties — Adding or substituting — Necessary or proper — Limitation of actions — Statutory limitation periods — Adding party after expiry of — Real property law — Condominiums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5" w:name="Case Summary_19"/>
            <w:bookmarkEnd w:id="13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Strata Corporation for an order adding several companies as defendants in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relating to construction deficiencies in a condominium complex. The members of the corporation owned units in the condominium complex. The building experienced significant water penetration into the walls, leading to structural damage. The corporation commenced an action and was now seeking to add other parties. Some of the proposed defendants opposed the application on the grounds that the limitation period had expired and there was delay in bringing the application.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6" w:name="Holdings of Court_17"/>
            <w:bookmarkEnd w:id="136"/>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proposed defendant Vancouver Foundation and Waterproofing did not appear or oppose the application and was, therefore, added. To ease concerns about prejudice to the existing defendants, the corporation was allowed to add the John Doe defendants on condition they identified them and filed a substitution application by the court specified date. The limitation period issue was better decided at trial rather than at this early stage. In these types of cases, it took time to identify all players in the construction as they included contractors, subcontractors, architects, engineers, suppliers and others. Often, they were identified during discovery. It was preferable to have all possible defendants added to facilitate fault allocation. At this early stage of the proceedings, the proposed defendants were in the same position as the existing defendants. The proposed defendants Mara Properties and Polygon Services were added because they were members of the same corporate group as one current defendant and had the same counsel. Accordingly, identifying any relevant documents or witnesses was not difficult. The proposed defendants John Charles and Peter Ross were already third parties and prejudice to them was limited. It was also just and convenient to add them as their work related to key areas of the alleged deficiencies, such as waterproofing. It was also just and convenient to add the last two proposed defendants, Pacific Skylights and Marzon Artistic as they were also related to current defendants and were necessary to address all allegations of construction and material deficiencies.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7" w:name="Legislation Cited_12"/>
      <w:bookmarkEnd w:id="13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2"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15(5).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8" w:name="Counsel_20"/>
      <w:bookmarkEnd w:id="13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3" style="position:absolute;z-index:2517821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Robert L. Lesperance and Sandra Stolz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 118 Developments Inc., R. 120 Developments Inc. and Grand Adex Developments Ltd.: Charles F. Hough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Peter Ross Limited: Patrick T. Gordon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Respondents, Pacific Skylights Ltd. and Marzen Artistic Aluminum Limited: David J. Bilkey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Polygon Ventures Limited and the Respondents, Mara Properties Ltd. and Polygon Services Ltd.: Elizabeth Lui and Terence W. Yu</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9" w:name="Judgment_20"/>
      <w:bookmarkEnd w:id="139"/>
      <w:r>
        <w:pict>
          <v:line id="_x0000_s1124" style="position:absolute;z-index:25183232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0" w:name="BAKER J."/>
            <w:bookmarkEnd w:id="140"/>
            <w:r>
              <w:rPr>
                <w:rFonts w:ascii="arial" w:eastAsia="arial" w:hAnsi="arial" w:cs="arial"/>
                <w:b/>
                <w:color w:val="000000"/>
                <w:sz w:val="30"/>
                <w:lang w:val="en-US" w:eastAsia="en-US" w:bidi="ar-SA"/>
              </w:rPr>
              <w:t>BAKER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applies to add the following 10 companies or businesses as defendants in this action: Peter Ross Limited, Vancouver Foundation Spray and Waterproofing Ltd., Marzen Artistic Aluminum Ltd., Pacific Skylights Ltd., Viron Construction Ltd., Mara Properties Limited, Polygon Services Ltd., John Doe Flashing Installer, John Doe Window Installer and John Doe Caulking Contractor. The plaintiff also seeks to amend the statement of claim to include claims against these proposed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relies on Rule 15(5) of the Rules of Court. The relevant subsections are 5(a)(ii) and (iii) which provide:</w:t>
      </w:r>
      <w:r>
        <w:rPr>
          <w:rFonts w:ascii="arial" w:eastAsia="arial" w:hAnsi="arial" w:cs="arial"/>
          <w:sz w:val="20"/>
          <w:lang w:val="en-US" w:eastAsia="en-US" w:bidi="ar-SA"/>
        </w:rPr>
        <w:cr/>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state of a proceeding, the court on application by any person may</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who ought to have been joined as a party or whose participation in the proceeding is necessary to ensure that all matters in the proceeding may be effectually adjudicated upon, be added or substituted as a party, and</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where there may exist, between the person and any party to the proceeding, a question or issue relating to or connection</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any relief claimed in the proceeding,</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or</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subject matter of the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which in the opinion of the court is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this application, the plaintiff relies primarily on sub-rule 15(5)(a)(iii).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Of the existing defendants, only R. 118 Developments Inc., R. 120 Developments Inc, Grand Adex Developments Ltd., and Starline Windows Ltd. appeared through counsel. Counsel for R. 118, R. 120 and Grand Adex took no position on the application. Counsel for Starline also appeared on behalf of proposed defendants Pacific Skylights Ltd. and Marzen Artistic Aluminum Ltd. Starline took no position on the application to add those defendants, although both of the proposed defendants oppose the joinder application. No other defendants appeared and those who filed written responses indicated they took no position on the application. I presume, therefore, that none of the existing defendants are concerned that the addition of these new defendants will adversely affect the proper and timely conduct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One of the proposed defendants - Vancouver Foundation Spray and Waterproofing Ltd. - did not appear and did not oppose the application and I order that it be joined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No one appeared, of course, on behalf of the three proposed "John Doe" defendants. If and when an application is made to substitute an identified party for a John Doe party, submissions may be made by any proposed substituted defendant. Therefore, the primary issue on this motion is whether the addition of "John Doe" defendants is likely to prejudice efforts by the present defendants to get this action to trial in an efficient and timely manner. Plaintiff's counsel said that the plaintiff expects to identify the John Doe defendants from the documents of the other proposed defendants. To address the concern that the later substitution of identified parties for the John Doe defendants might delay the trial, I order the addition of the John Doe parties, but on the basis that the John Doe parties must be identified and an application brought to substitute any identified party no later than October 31, 2004. That date should give the plaintiff sufficient time to identify the John Doe defendants if they exist, and bring an application for substitution.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remaining six proposed defendants oppose the plaintiff's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members of the plaintiff strata corporation are the owners of units in a condominium complex known as "The Regatta" in Vancouver, British Columbia. Construction of the complex was completed in 1989 and owners moved into units starting in 1989. The complex is composed of two four-storey wood frame buildings.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Water ingress problems were reported by some residents soon after the complex was occupied, and repairs were effected at various times over a period of several years. In 1995, the owners passed a special resolution to assess a special levy of $150,000 to paint the interior and exterior of the buildings, and upgrade the lobbies. Mr. Church, a representative of the plaintiff deposed that this was considered routine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were a series of problems with the building after 1995 - including roof bubbling, deteriorating deck membranes, cracking caulking and stucco cracks. In 1996, there were problems with water leaking into 4th floor units and further roof repairs were done. In January 1998, walls adjacent to the 4th floor walkways were opened up and dry rot was discovered in many areas. It was at this point that it was recommended to the owners that a building envelope review be done by a structural engineer. An engineering firm was retained to investigate the cause of water ingress and a Building Envelope Condition Assessment Report was prepared on March 10, 1998. The plaintiff says that it was this report that told the owners that the problems they had been experiencing were caused by construction deficiencies and that the deficiencies had led to structural damage to the buildings. This report stated that there had been significant water penetration into the exterior walls of the buildings. The report attributed the water ingress to deficiencies in the design and construction of the buildings. Between March and September 1998, further investigations were done, and the owners were advised that the extent of the deficiencies and damage was greater than originally anticipated. A permit to do remedial work on the building was obtained from the City of Vancouver on July 14, 1998 and the permit was amended later that year. The remedial work commenced in November 1998 and was completed in July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says that it was not until the owners received the March 10, 1998 assessment report, and had an opportunity to consider its ramifications, and obtain legal advice, that the limitation period began to run. The defendants submit that the limitation period began to run earlier, when problems with water ingress in some parts of the building were first identified and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December 7, 1999, the plaintiff filed a writ of summons and statement of claim naming as defendants, R. 118 Developments Inc., R. 120 Developments Inc. and Grand Adex Developments Ltd. doing business as the Grand Adex Group, R. 120 Developments Inc., Grand Adex Developments Inc., Polygon Ventures Limited, Cheung Kong Real Estate Agency Limited, Lawrence Doyle doing business as Hamilton Doyle &amp; Associates and the said Lawrence Doyle.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John Church, one of the owners of a strata unit in the building, provided an affidavit on behalf of the plaintiff in support of the joinder application. He deposed that when the action was commenced, the plaintiff did not know that the stucco contractor, flashing installer, membrane installer, inspectors, caulking contractors, mechanical contractor, window supplier, window installer, structural engineer, or framing contractor, were responsible for the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Church deposed that the plaintiff learned of the identity of many of the subcontractors and suppliers from documents disclosed by defendants R. 118, R. 120 and Grand Adex. The first list of documents provided by these defendants is dated October 7,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February 13, 2003, the plaintiff received a further report from structural engineers, setting out particulars of the water damage and the engineers' assessment of who was responsible for the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March 18, 2003, plaintiff's previous counsel sought and obtained an order adding as defendants Paul Loewen &amp; Associates Ltd., Pro Pacific Management Ltd., Starline Windows Ltd., CMJ Heating Ltd., and 191766 Holdings Ltd. previously known as Seymour Drywall (1979)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March 2003, previous counsel for the plaintiff obtained a further engineering assessment report from Morrison Hershfield. The report is dated March 14, 2003. The evidence does not disclose whether plaintiff's counsel had a copy of this report before the hearing of the motion on March 18,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Present counsel for the plaintiffs were retained on October 15, 2003. They obtained their predecessors' files and in late 2003 reviewed documents and identified the seven identified parties, and three "John Doe" parties that they now seek to add as defendants. They sought instructions from the plaintiff to bring this joinder application, and received those instructions in December 2003. They prepared the necessary material and the notice of motion dated January 20, 2004, and then sought a hearing date suitable to the proposed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After the hearing of this application concluded on March 2, 2004 I reserved judgment. In order to preserve the plaintiff's position, counsel for the plaintiff subsequently commenced a fresh action against the parties it seeks to add as defendants in this action. A mediation scheduled for June 2004 has been adjourned to September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MacMillan Bloedel Limited v. Binstead </w:t>
      </w:r>
      <w:hyperlink r:id="rId323" w:history="1">
        <w:r>
          <w:rPr>
            <w:rFonts w:ascii="arial" w:eastAsia="arial" w:hAnsi="arial" w:cs="arial"/>
            <w:i/>
            <w:color w:val="0077CC"/>
            <w:sz w:val="20"/>
            <w:u w:val="single"/>
            <w:shd w:val="clear" w:color="auto" w:fill="FFFFFF"/>
            <w:lang w:val="en-US" w:eastAsia="en-US" w:bidi="ar-SA"/>
          </w:rPr>
          <w:t>(1981), 58 B.C.L.R. 173</w:t>
        </w:r>
      </w:hyperlink>
      <w:r>
        <w:rPr>
          <w:rFonts w:ascii="arial" w:eastAsia="arial" w:hAnsi="arial" w:cs="arial"/>
          <w:color w:val="000000"/>
          <w:sz w:val="20"/>
          <w:lang w:val="en-US" w:eastAsia="en-US" w:bidi="ar-SA"/>
        </w:rPr>
        <w:t xml:space="preserve"> (C.A.), Justice McFarlane outlined the issues to be addressed on an application such as this.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one of the functions of the chambers judge hearing an application under this rule must be to decide whether there may exist between the appropriate parties a question which can be answered or an issue which can be decided by a court of law ... and to see ... that the question or issue is a real one in the sense that it is not entirely frivolous and would result in courts wasting judicial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second issue - whether it is just and convenient to add the proposed defendants as parties - involves a consideration of various factors that may arise, depending on the circumstances of the application, including whether a limitation period has expired; whether any postponement provisions may apply to postpone the running of time; whether it would be just to add the defendants notwithstanding the expiry of a limitation period; the nature of any prejudice to the proposed defendants occasioned by the passage of time; whether there has been undue delay in bringing the application and any explanation for that delay; whether existing parties may be prejudiced by the addition of new parties; and the impact, if any, on an existing trial date and the efficient and timely resolution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this case, all of the proposed defendants who appeared argued that the limitation period in this case has expired and that they should therefore not be added as defendants. Alternatively, they submitted that any order adding them as defendants should preserve their right to establish a limitation defence based on the date of joinder rather than the date of commencement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After the hearing of this application, the British Columbia Court of Appeal brought down its decision in The Owners, Strata Plan LMS 1463 v. 449258 B.C. Ltd., Fred Krahn and Jacob Redekop, </w:t>
      </w:r>
      <w:hyperlink r:id="rId324" w:history="1">
        <w:r>
          <w:rPr>
            <w:rFonts w:ascii="arial" w:eastAsia="arial" w:hAnsi="arial" w:cs="arial"/>
            <w:i/>
            <w:color w:val="0077CC"/>
            <w:sz w:val="20"/>
            <w:u w:val="single"/>
            <w:shd w:val="clear" w:color="auto" w:fill="FFFFFF"/>
            <w:lang w:val="en-US" w:eastAsia="en-US" w:bidi="ar-SA"/>
          </w:rPr>
          <w:t>[2004] B.C.J. No. 646</w:t>
        </w:r>
      </w:hyperlink>
      <w:r>
        <w:rPr>
          <w:rFonts w:ascii="arial" w:eastAsia="arial" w:hAnsi="arial" w:cs="arial"/>
          <w:color w:val="000000"/>
          <w:sz w:val="20"/>
          <w:lang w:val="en-US" w:eastAsia="en-US" w:bidi="ar-SA"/>
        </w:rPr>
        <w:t xml:space="preserve">, </w:t>
      </w:r>
      <w:hyperlink r:id="rId324" w:history="1">
        <w:r>
          <w:rPr>
            <w:rFonts w:ascii="arial" w:eastAsia="arial" w:hAnsi="arial" w:cs="arial"/>
            <w:i/>
            <w:color w:val="0077CC"/>
            <w:sz w:val="20"/>
            <w:u w:val="single"/>
            <w:shd w:val="clear" w:color="auto" w:fill="FFFFFF"/>
            <w:lang w:val="en-US" w:eastAsia="en-US" w:bidi="ar-SA"/>
          </w:rPr>
          <w:t>2004 BCCA 190</w:t>
        </w:r>
      </w:hyperlink>
      <w:r>
        <w:rPr>
          <w:rFonts w:ascii="arial" w:eastAsia="arial" w:hAnsi="arial" w:cs="arial"/>
          <w:color w:val="000000"/>
          <w:sz w:val="20"/>
          <w:lang w:val="en-US" w:eastAsia="en-US" w:bidi="ar-SA"/>
        </w:rPr>
        <w:t xml:space="preserve">, which deals with the limitation issue in a joinder application. That decision reviewed and applied the law as set out in Lui v. West Granville Manor Ltd. (No. 2) </w:t>
      </w:r>
      <w:hyperlink r:id="rId325" w:history="1">
        <w:r>
          <w:rPr>
            <w:rFonts w:ascii="arial" w:eastAsia="arial" w:hAnsi="arial" w:cs="arial"/>
            <w:i/>
            <w:color w:val="0077CC"/>
            <w:sz w:val="20"/>
            <w:u w:val="single"/>
            <w:shd w:val="clear" w:color="auto" w:fill="FFFFFF"/>
            <w:lang w:val="en-US" w:eastAsia="en-US" w:bidi="ar-SA"/>
          </w:rPr>
          <w:t>(1987), 11 B.C.L.R. (2d) 273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court stated, in paragraphs 32 and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other words, if the court has concluded that it would not be just and convenient to add a party if the limitation period has expired, and where the limitation issue cannot be resolved on the application for joinder, the party seeking joinder should be given an opportunity to establish that the limitation has not expired, since that may tip the balance in favour of joinder. If the limitation period has not expired then, as Mr. Justice Lambert stated "there would be no harm in permitting the new party to enter the action and, in the usual course, the new party would be permitted into the action."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where it would not otherwise be just and convenient to add a party, but that party is joined solely for the purpose of determining whether the limitation period has expired, the party added should be given the benefit of the limitation defence if successful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response to the plaintiff's application, the proposed defendants submitted that the limitation period has expired, and that therefore they should not be added as parties, or, if added, that the court should make an order preserving the proposed defendants' limitation defences. The proposed defendants submitted that the proposed amended statement of claim does not sufficiently identify a cause of action against the proposed defendants. They also submitted that the plaintiff has not adequately explained its delay in bringing this joinder application, particularly in view of the earlier application to join other defendants, brought in May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This is one of those cases in which there is a live issue about whether the limitation period has expired. If the limitation period did not begin to run until after the plaintiff received the report it commissioned on the state of the building envelope, then the period had not expired when the plaintiff applied to join the proposed defendants. If, as the defendants submit, the plaintiff was in possession of the relevant facts and had obtained the necessary advice at an earlier date, then the limitation period had expired before the bringing of this joinder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If it were necessary for me to decide the issue based only on the material placed before me on the hearing of this application, I would lean in favour of the conclusion that the limitation period had not expired when this application was heard. However, it would be preferable, in my view, for the limitation issue to be decided at trial, based on a thorough review of all of the evidence in relation to each individual defendant, rather than at this point, when the court has had limited exposure to the facts, there have been no examinations for discovery and counsel had limited time to refer to those documents that were included in the chambers brief. I shall therefore consider whether it would be just and convenient to add each of the proposed defendants, even if the limitation period has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raised with counsel for the plaintiff the impact that the late joinder of any new defendants might have on the proposed spring 2005 trial date. Plaintiff's counsel pointed out that although several years have passed since the commencement of this action, examinations for discovery had not yet commenced, and the parties had not yet gone to an intended mediation, that is now scheduled for September 2004. In other words, if parties are added, all parties, including those who have been defendants for some time, will be at the same stage in the litigation process, with the exception of the disclosure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outlined above, this is one of many lawsuits that have come to be known as "leaky condo cases". As is often the case in these type of lawsuits, it often takes some time for the plaintiff owners to ascertain the identities of all the contractors, subcontractors, architects, engineers, material suppliers and other players who were involved in the construction of the building. Very often, it is through the examination of documents disclosed by defendants, and the examination for discovery process that the identity of subcontractors and material suppliers is discovered.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As in many of these cases, there is little dispute that there have been water ingress problems and damages suffered as a result. The issues are whether the water ingress problems were caused or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one or more parties, and if so, who those parties are; the allocation of fault among the negligent parties; if any, and the quantum of damages. In general, and with particular reference to authorities cited by counsel featuring similar types of lawsuits, it seems preferable that all possible defendants be involved in the lawsuit, to prevent problems of trying to determine whether non-parties caused or contributed to losses, and the difficult allocation of damages issues that then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shall begin by considering the application to add Mara Properties Limited and Polygon Services Ltd. Polygon Services Ltd. used to be called Polygon Construction Ltd. It was struck from the Register of Companies for failure to file annual reports, but was restored on February 24, 2004. Mara Properties Limited was formerly called Polygon Properties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Both of these proposed defendants are members of the same group of companies as the existing defendant Polygon Ventures Limited. On this application, the proposed defendants were represented by counsel who are already acting on behalf of Polygon Ventures Limited in this action. The three companies are members of the same group of companies. Documents disclosed during the discovery process, and referred to during the hearing of this application appear to indicate that at the time the complex was being designed, financed and developed, all three companies were involved in some aspects of the design, development, financing or construction of the complex. The companies, or at least some of them, shared senior executive officers. For example, Mr. Northey appears to have been the Vice-President of development for both Polygon Ventures Limited (which is currently a defendant) and Polygon Properties Limited, which became the proposed defendant Mara Properties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pointed to correspondence that appears to indicate that both Polygon Ventures Limited and Polygon Properties Limited (now Mara Properties Limited) were giving instructions to the architects who designed the project. Mr. Northey authored such communications in his capacity as Vice-President of development for both proposed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plaintiff says that the claims against these two proposed defendants relate to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design of the buildings in the complex, and also a negligent failure to warn of the potential design defects. In effect, the plaintiff says that the claims already advanced against the existing Polygon defendant should also be advanced against the two proposed defendants, because the inter-relationships among the various Polygon companies at the time, and their involvement with this property development make it impossible at this time to sort out which one or more of the various Polygon companies engaged in the acts or omissions that the plaintiff says caused or contributed to the problems with water ingress.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While the court might prefer that the claims against the proposed defendants be more specific, I am satisfied that the pleadings do disclose a cause of action that ought properly to be explored at the same time as the claims against the existing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Counsel for the proposed defendants pointed out, correctly, that many years have passed since completion of the construction of the building. That is true. However, it is also clear that the first, sporadic, and presumed to be isolated, problems with water ingress occurred fairly soon after occupation of the building and that these defendants were likely aware of those problems at the time. The Polygon group of companies continues to be active, and, as I earlier noted, one of that group of companies has been a defendant from the outset of these proceedings, and has been represented by the same counsel who appeared on behalf of the proposed defendants. There should be little difficulty in identifying the relevant documents and witnesses to be produced on behalf of the new defendants, given the relationship to existing defendants and representation by counsel who have been involved in this lawsuit from the outset.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am satisfied that these two proposed defendants should be added as parties. The limited evidence available to me on this application indicates that this group of corporations chose to allocate various functions to various corporate entities in an overlapping fashion. There have been several changes of name, which adds to the difficulty of identifying which entity or entities were involved in the planning, development and construction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It is just, in my view, that the plaintiff have an opportunity to explore the allocation of responsibilities and to determine which one or more of the existing and proposed defendants carried out the various tasks, or made the decisions, that are alleged to be negligent. If there is evidence that two new defendants had no involvement with the design, development or construction of the plaintiff's building, then that evidence is in the possession and control of the defendants. There is no affidavit from an officer of these companies denying involvement in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Even if the limitation period has expired, I consider it would be just and convenient for these defendants to be added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Proposed defendant Peter Ross Limited is already a third party in the action, having been added by a third party notice issued by 191766 Holdings Ltd. (formerly Seymour Drywall) in 2003. The plaintiff intends to allege that Peter Ross Limited was involved in or carried out installation of waterproofing membranes in a negligent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Peter Ross Limited submitted that the plaintiff knew of its involvement in the project by 1999, or, if not then, by December 2002 at the latest, but took no steps to add them as defendants until this application was filed in January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Proposed defendants John Charles Ltd. took much the same position as Peter Ross Limited. They are also third parties. It is conceded that John Charles Ltd. did stucco work on the project. They submit that the plaintiff must have known of their involvement for some time, and that the plaintiff has failed to adequately explain its delay in applying to join it as a defendant. The plaintiff responds that the entire building is clad in stucco; that there were some stucco problems identified in 1995, but that the extent of the problem and the alleged stucco deficiencies did not become known to the plaintiff until it received the envelope assessment in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obtained confirmation on February 13, 2004 of the involvement of John Charles Ltd. in the construction of at least one of the two buildings in the complex.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evidence indicates that in December 2002, previous counsel for the plaintiff - Clark Wilson - notified the plaintiff that it had a conflict of interest as it also represented Peter Ross Limited. Therefore it is clear that the plaintiff knew, by December 2002, of Peter Ross Limited's involvement in the project, and the potential for Peter Ross Limited to be added as a defendant. Nevertheless, plaintiff's counsel did not apply to add Peter Ross Limited as a defendant in its application heard on March 14,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It must be said that the plaintiff's explanation for delay was not as comprehensive as the court would wish. Essentially, counsel for the plaintiff pointed to the fact that it has not been counsel throughout, and that a deadline having been set for joinder applications, it waited to bring this application until after it had identified all of the potential defendants that it could. Counsel also suggested that Peter Ross Limited was not added earlier as previous counsel for the plaintiff hoped to be able to sort out its conflict of interest and continue to act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While the court might hope for better evidence on this point, I nevertheless have concluded that it is just and convenient for Peter Ross Limited and John Charles Ltd. to be added as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Both have had some involvement in the lawsuit for some time and so the prejudice to them in becoming defendants as well as third parties will be limited. There is a live limitations issue, but given that they allege that the limitation period had expired before the commencement of the action itself, the late date of joinder is largely irrelevant. Since their work on the project related to key areas of alleged deficiencies - waterproofing membranes, and stucco failure - it is best that any claims against them be explored in this action, and not in the separate action the plaintiff has now commenced. I consider, therefore, that it is just and convenient to add these defendants, even if the limitation period has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turn next to the proposed defendants Pacific Skylights Ltd. and Marzen Artistic Aluminum Ltd. These two defendants are represented by the same counsel as Starline Windows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 its name suggests, Pacific Skylights Ltd. supplied and/or installed skylights. Marzen Artistic Aluminum Ltd. is alleged to have manufactured windows. The plaintiff alleges that Marzen is a related company to the present defendant Starline Windows Ltd. and that Pacific Skylights Ltd. is also a related company. Marzen and Starline have the same President. Pacific Skylights has a different President, but a company search of the three companies revealed that the same address is given for both Presidents.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One of the owners of the building reported that on windows in his unit, the name Marzen appeared. The engineering report prepared in March 2003 for the plaintiffs identified Marzen as the manufacturer of at least some of the windows installed in the complex. The name "Pacific Skylights" was given to the plaintiff by counsel for R. 118, R. 120 and Grand Adex in a letter dated January 26, 2003, and the letter indicates that "Pacific Skylights" was responsible for installing skylights for the building known as the Regatta. However, the letter also indicates that the developer's counsel does not know the correct corporate name of Pacific Skylights. After obtaining this information, counsel for the plaintiff initiated corporate record searches and other searches to determine the correct identity and records office of the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Counsel for Marzen and Pacific Skylights submitted that the plaintiff had not satisfactorily explained the delay in bringing this application to join them as defendants. While it is possible that the plaintiff could have acted more expediently, I am satisfied that the process of identification of potential defendants and the locating of those defendants has been an ongoing process, complicated by the fact that plaintiff's previous counsel were forced to withdraw because of a conflict of interest related to their representation, on other matters, of the third party (and now defendant) Peter Ross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No real prejudice to these defendants has been identified, other than the possible loss of a limitations defence. Notwithstanding that potential prejudice, I am satisfied that it is just and convenient to have these defendants added to this action so that all the issues relating to the alleged construction and material deficiencies may be dealt with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Accordingly, there will be an order that all of the proposed defendants be added as defendants in this action. The proposed further amended statement of defence shall be amended as proposed. The plaintiff need not serve the further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Costs shall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5"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32" w:history="1">
        <w:r>
          <w:rPr>
            <w:rFonts w:ascii="arial" w:eastAsia="arial" w:hAnsi="arial" w:cs="arial"/>
            <w:b/>
            <w:bCs/>
            <w:i/>
            <w:color w:val="0077CC"/>
            <w:kern w:val="32"/>
            <w:sz w:val="28"/>
            <w:szCs w:val="32"/>
            <w:u w:val="single"/>
            <w:shd w:val="clear" w:color="auto" w:fill="FFFFFF"/>
            <w:lang w:val="en-US" w:eastAsia="en-US" w:bidi="ar-SA"/>
          </w:rPr>
          <w:t>Thiessen v. Kover, [2008] B.C.J. No. 2032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E.G. Chamberlist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9-12, 16-27 and August 21-22,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2007; written submissions, October 5 and December 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2007 (Plaintiff) and November 23, 2007 (Defendant).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29,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14028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Prince George</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2032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2008 BCSC 1445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61 C.C.L.T. (3d) 250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2008 CarswellBC 2262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172 A.C.W.S. (3d) 804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Loretta Thiessen, Plaintiff, and Shawn William Thomas Kover, Gerald Robert Thiessen and Cora Thiessen,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6"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1" w:name="Keywords_20"/>
      <w:bookmarkEnd w:id="141"/>
      <w:r>
        <w:rPr>
          <w:rFonts w:ascii="arial" w:eastAsia="arial" w:hAnsi="arial" w:cs="arial"/>
          <w:b/>
          <w:color w:val="000000"/>
          <w:sz w:val="20"/>
          <w:lang w:val="en-US" w:eastAsia="en-US" w:bidi="ar-SA"/>
        </w:rPr>
        <w:t xml:space="preserve">Damages — For torts — Direct causal connection or link — Action for damages for injuries resulting from a motor vehicle accident allowed in part — The plaintiff relied on the thin-skull principle and argued that due to her internal psychological makeup, the accident had catastrophic emotional results — Plaintiff sought substantial non-pecuniary damages — Plaintiff did not establish that, but for the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the defendant the psychiatric or psychological conditions now experienced by her would not have occurred - Plaintiff had pre-existing psychiatric illness — The quantum of damages were restricted to the physical injuries established at trial as being caused by the accident.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2" w:name="Case Summary_20"/>
            <w:bookmarkEnd w:id="14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injuries resulting from a motor vehicle accident. The defendant admitted liability for the accident, but objected to the claim for damages. The plaintiff claimed that she has suffered ongoing physical and emotional damage and sought substantial non-pecuniary damages, loss of income to the trial date, loss of earning capacity, cost of future care, and in trust claims for her two daughters. The plaintiff relied on the thin-skull principle in that she claimed that the accident left her with chronic pain and debilitating post-traumatic stress disorder which has not responded to over eight years of psychiatric treatment. The plaintiff submitted that because of her internal makeup the accident left her unable to cope with life.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3" w:name="Holdings of Court_18"/>
            <w:bookmarkEnd w:id="143"/>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totality of the evidence made it inescapable that the plaintiff was untruthful and her credibility was in question. The burden or onus of proof was on the plaintiff to show that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the psychiatric or psychological conditions now experienced by her would not have occurred. The plaintiff did not meet this onus. Given her history of pre-existing psychiatric illnesses, it was likely that her psychiatric or psychological conditions would have evolved from the other stressors in her life other than stress related to the motor vehicle accident. As a result, the quantum of damages were restricted to the physical injuries established at trial as being caused by the motor vehicle accident which amounted to $14,634.25.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4" w:name="Legislation Cited_13"/>
      <w:bookmarkEnd w:id="14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7"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Evidence Act, </w:t>
      </w:r>
      <w:hyperlink r:id="rId334" w:history="1">
        <w:r>
          <w:rPr>
            <w:rFonts w:ascii="arial" w:eastAsia="arial" w:hAnsi="arial" w:cs="arial"/>
            <w:i/>
            <w:color w:val="0077CC"/>
            <w:sz w:val="20"/>
            <w:u w:val="single"/>
            <w:shd w:val="clear" w:color="auto" w:fill="FFFFFF"/>
            <w:lang w:val="en-US" w:eastAsia="en-US" w:bidi="ar-SA"/>
          </w:rPr>
          <w:t>RSBC 1996, CHAPTER 124, s. 42</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5" w:name="Counsel_21"/>
      <w:bookmarkEnd w:id="14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8"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J.S. Voss.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Shawn Kover: L.A.J. Dunn.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6" w:name="Judgment_21"/>
      <w:bookmarkEnd w:id="146"/>
      <w:r>
        <w:pict>
          <v:line id="_x0000_s1129" style="position:absolute;z-index:2518333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7" w:name="E.G. CHAMBERLIST J."/>
            <w:bookmarkEnd w:id="147"/>
            <w:r>
              <w:rPr>
                <w:rFonts w:ascii="arial" w:eastAsia="arial" w:hAnsi="arial" w:cs="arial"/>
                <w:b/>
                <w:color w:val="000000"/>
                <w:sz w:val="30"/>
                <w:lang w:val="en-US" w:eastAsia="en-US" w:bidi="ar-SA"/>
              </w:rPr>
              <w:t>E.G. CHAMBERLIST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these proceedings the plaintiff claims damages resulting from a motor vehicle accident that occurred July 23, 1999, when the plaintiff, a passenger in a motor vehicle owned by her then mother-in-law, Cora Thiessen, and driven by her husband, Gerald Thiessen, was involved in a two car collision with the motor vehicle driven by the defendant Shawn Kover.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for the accident is admitted by Shawn Kover. The action was discontinued against the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claims that she has suffered ongoing physical and emotional damage as a result of the accident and submits that the motor vehicle collision was an event that has changed her life dramatically over the 9+ years since the accident and seeks substantial non-pecuniary damages, loss of income to the trial date, loss of earning capacity, cost of future care, and in trust claims for her two daughters Tysheina and Kailein and a family friend, Major Deol.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 relies heavily on the thin skull rule as enunciated in various cases including </w:t>
      </w:r>
      <w:r>
        <w:rPr>
          <w:rFonts w:ascii="arial" w:eastAsia="arial" w:hAnsi="arial" w:cs="arial"/>
          <w:b/>
          <w:i/>
          <w:color w:val="000000"/>
          <w:sz w:val="20"/>
          <w:lang w:val="en-US" w:eastAsia="en-US" w:bidi="ar-SA"/>
        </w:rPr>
        <w:t>Maslen v. Rubenstein</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(1993), 83 B.C.L.R. (2d) 131</w:t>
        </w:r>
      </w:hyperlink>
      <w:r>
        <w:rPr>
          <w:rFonts w:ascii="arial" w:eastAsia="arial" w:hAnsi="arial" w:cs="arial"/>
          <w:color w:val="000000"/>
          <w:sz w:val="20"/>
          <w:lang w:val="en-US" w:eastAsia="en-US" w:bidi="ar-SA"/>
        </w:rPr>
        <w:t xml:space="preserve"> (BCCA) and </w:t>
      </w:r>
      <w:r>
        <w:rPr>
          <w:rFonts w:ascii="arial" w:eastAsia="arial" w:hAnsi="arial" w:cs="arial"/>
          <w:b/>
          <w:i/>
          <w:color w:val="000000"/>
          <w:sz w:val="20"/>
          <w:lang w:val="en-US" w:eastAsia="en-US" w:bidi="ar-SA"/>
        </w:rPr>
        <w:t>Yoshikawa v. Yu</w:t>
      </w:r>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[1996] B.C.J. No. 623</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For ease of reference in this introduction I merely state that the principle simply is when the court is called upon to assess damages, a tortfeasor must take an injured party, whether the injuries be physical or psychological, as the claimant existed at the time the injuries were sustained. Of course, with respect to psychological damage, a tortfeasor will be relieved from liability if it is found by the court that the psychological symptoms would have occurred in any event, even without the tortfeasor's wrongful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this introduction I will refer to </w:t>
      </w:r>
      <w:r>
        <w:rPr>
          <w:rFonts w:ascii="arial" w:eastAsia="arial" w:hAnsi="arial" w:cs="arial"/>
          <w:b/>
          <w:i/>
          <w:color w:val="000000"/>
          <w:sz w:val="20"/>
          <w:lang w:val="en-US" w:eastAsia="en-US" w:bidi="ar-SA"/>
        </w:rPr>
        <w:t>Yoshikawa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in some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This principle is, of course, different from what has been referred to as the long standing principle that an injured person can claim damages for the entire harm suffered because of the thin skull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 have relied heavily on these two decisions of our Court of Appeal in analyzing the evidence, primarily relevant to the psychological injuries the plaintiff has alleged. Perhaps the most helpful introduction to the considerations that the court must give to the plaintiff's assertions regarding psychological damage suffered by her is to be found in paras. 19 to 34, inclusive, of the </w:t>
      </w:r>
      <w:r>
        <w:rPr>
          <w:rFonts w:ascii="arial" w:eastAsia="arial" w:hAnsi="arial" w:cs="arial"/>
          <w:b/>
          <w:i/>
          <w:color w:val="000000"/>
          <w:sz w:val="20"/>
          <w:lang w:val="en-US" w:eastAsia="en-US" w:bidi="ar-SA"/>
        </w:rPr>
        <w:t>Yoshikawa</w:t>
      </w:r>
      <w:r>
        <w:rPr>
          <w:rFonts w:ascii="arial" w:eastAsia="arial" w:hAnsi="arial" w:cs="arial"/>
          <w:color w:val="000000"/>
          <w:sz w:val="20"/>
          <w:lang w:val="en-US" w:eastAsia="en-US" w:bidi="ar-SA"/>
        </w:rPr>
        <w:t xml:space="preserve"> decision. For ease of reference it is easiest to set out those segments of that decision in their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Yoshikawa</w:t>
      </w:r>
      <w:r>
        <w:rPr>
          <w:rFonts w:ascii="arial" w:eastAsia="arial" w:hAnsi="arial" w:cs="arial"/>
          <w:color w:val="000000"/>
          <w:sz w:val="20"/>
          <w:lang w:val="en-US" w:eastAsia="en-US" w:bidi="ar-SA"/>
        </w:rPr>
        <w:t>, the plaintiff had sued for personal injuries, including physical and psychological injuries, as a result of a motor vehicle accident in which the defendant admitted liability. A psychiatrist had examined the plaintiff and concluded that she had a somatoform pain disorder for which there were physical symptoms with no demonstrable organic cause. The psychiatrist found that there was a strong presumption that the symptoms were linked to psychological factors. The diagnosis by the psychiatrist did not imply that the symptoms had been intentionally produced. Although the disorder had not necessarily been caused by the accident, the disorder was, however, the plaintiff's reaction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Madam Justice Rowles made it clear that the long standing principle in tort law meant the wrong doer must take the victim as he or she finds them and that under that principle there is no difference between an egg shell skull and an egg shell personality.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Commencing at para. 19, Mr. Justice Cumming succinctly set forth the law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One of the most important principles, for the purposes of this case, is the principle that, for the purposes of assessing damages, a tortfeasor must take the person injured by the tort in the actual condition of that person at that time. This has been called the "thin skull" principle. In its application to psychological problems it has been called the "egg shell personality" application of the principle. In my opinion there is no basis for giving a more restrictive application to this principle in cases where psychological injuries are suffered than would be given in cases where only physical injuries are suffered. A predisposition to suffer psychological injury in circumstances such as those brought about in a particular injury in circumstances such as those brought about in a particular case by a defendant's wrongful act does not relieve the defendant of the liability to compensate the plaintiff for the injuries represented by those psychological symptoms. Such relief could only occur, as I have said, if the psychological symptoms would have occurred in any event, even without the defendant's wrongful act, through an application of the cause-in-fact test. Examples of the application of the "thin skull" principle to the award of damages for psychological symptoms in circumstances where there was an existing predisposition include </w:t>
      </w:r>
      <w:r>
        <w:rPr>
          <w:rFonts w:ascii="arial" w:eastAsia="arial" w:hAnsi="arial" w:cs="arial"/>
          <w:i/>
          <w:color w:val="000000"/>
          <w:sz w:val="20"/>
          <w:lang w:val="en-US" w:eastAsia="en-US" w:bidi="ar-SA"/>
        </w:rPr>
        <w:t>Enge v. Trerise</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(1960), 26 D.L.R. (2d) 529</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Cotic v. Gray</w:t>
      </w:r>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(1981), 17 C.C.L.T. 138</w:t>
        </w:r>
      </w:hyperlink>
      <w:r>
        <w:rPr>
          <w:rFonts w:ascii="arial" w:eastAsia="arial" w:hAnsi="arial" w:cs="arial"/>
          <w:color w:val="000000"/>
          <w:sz w:val="20"/>
          <w:lang w:val="en-US" w:eastAsia="en-US" w:bidi="ar-SA"/>
        </w:rPr>
        <w:t xml:space="preserve"> (Ont. C.A.), </w:t>
      </w:r>
      <w:r>
        <w:rPr>
          <w:rFonts w:ascii="arial" w:eastAsia="arial" w:hAnsi="arial" w:cs="arial"/>
          <w:i/>
          <w:color w:val="000000"/>
          <w:sz w:val="20"/>
          <w:lang w:val="en-US" w:eastAsia="en-US" w:bidi="ar-SA"/>
        </w:rPr>
        <w:t>Elloway v. Boomars</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(1968), 69 D.L.R. (2d) 605</w:t>
        </w:r>
      </w:hyperlink>
      <w:r>
        <w:rPr>
          <w:rFonts w:ascii="arial" w:eastAsia="arial" w:hAnsi="arial" w:cs="arial"/>
          <w:color w:val="000000"/>
          <w:sz w:val="20"/>
          <w:lang w:val="en-US" w:eastAsia="en-US" w:bidi="ar-SA"/>
        </w:rPr>
        <w:t xml:space="preserve"> (BCSC), and </w:t>
      </w:r>
      <w:r>
        <w:rPr>
          <w:rFonts w:ascii="arial" w:eastAsia="arial" w:hAnsi="arial" w:cs="arial"/>
          <w:i/>
          <w:color w:val="000000"/>
          <w:sz w:val="20"/>
          <w:lang w:val="en-US" w:eastAsia="en-US" w:bidi="ar-SA"/>
        </w:rPr>
        <w:t>Marconato v. Franklin,</w:t>
      </w:r>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[1974] 6 W.W.R. 676</w:t>
        </w:r>
      </w:hyperlink>
      <w:r>
        <w:rPr>
          <w:rFonts w:ascii="arial" w:eastAsia="arial" w:hAnsi="arial" w:cs="arial"/>
          <w:color w:val="000000"/>
          <w:sz w:val="20"/>
          <w:lang w:val="en-US" w:eastAsia="en-US" w:bidi="ar-SA"/>
        </w:rPr>
        <w:t xml:space="preserve"> (BCSC).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So, in this case, the evidence of Dr. Davis, accepted by the trial judge, to the effect that the plaintiff had a pre-existing disposition towards the psychological symptoms which actually occurred has no relevance in itself in the assessment of damages, as long as the first causation principle of cause-in-fact is met by it being established that the psychological symptoms would not have arisen but for the defendant's wrongful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The other important principle, for the purposes of this case, as a principle applicable in dealing with questions of proximate cause, is the principle that a new intervening act, occurring after the defendant's wrongful act, may given such a pronounced new impetus or deflection to the chain of causation that the original wrongful act of the defendant is no longer regarded as a sufficient cause upon which to rest legal liability. That principle is sometimes referred to as involving the occurrence of a </w:t>
      </w:r>
      <w:r>
        <w:rPr>
          <w:rFonts w:ascii="arial" w:eastAsia="arial" w:hAnsi="arial" w:cs="arial"/>
          <w:i/>
          <w:color w:val="000000"/>
          <w:sz w:val="20"/>
          <w:lang w:val="en-US" w:eastAsia="en-US" w:bidi="ar-SA"/>
        </w:rPr>
        <w:t>novus actus interveniens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The application of the principle relating to intervening acts involves the difficult task of finding the facts correctly on the basis of the evidence. It also requires a very nice judgment in balancing the causes of the psychological symptoms in order to decide whether the causes arising from the plaintiff's own pre-existing subjective state and the plaintiff's own individual conduct as well as from other sources such as the advice and actions of family, friends and healers, have had an independent new impetus or deflection on the existing chain of causation flowing through the defendant's wrongful act, to such an extent that the defendant's wrongful act must be regarded as a cause-in-fact for which no legal recovery is permitted. At that point, the defendant's wrongful act would no longer be sufficient "proximate cause" in law. An example of a case where the cause-in-fact test was met, but the proximate cause test was not met because the plaintiff's psychological symptoms were brought about by his own new acts after the accident and by his grief, so that the chain of causation was given a new impetus and deflection by his own acts which therefore constituted an intervening causative force, is to be found in </w:t>
      </w:r>
      <w:r>
        <w:rPr>
          <w:rFonts w:ascii="arial" w:eastAsia="arial" w:hAnsi="arial" w:cs="arial"/>
          <w:i/>
          <w:color w:val="000000"/>
          <w:sz w:val="20"/>
          <w:lang w:val="en-US" w:eastAsia="en-US" w:bidi="ar-SA"/>
        </w:rPr>
        <w:t>Beecham v. Hughes</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(1988), 27 B.C.L.R. (2d) 1</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I propose to make three further observations before leaving this discussion of the principles governing the awarding of damages for psychological symptoms experienced by the victim of a tortious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My first observation is that I think it is correct to treat a plaintiff's own conscious wish to receive care, comfort and attention, or the plaintiff's own conscious failure to exercise his or her willpower to bring about a healing of the symptoms, as coming within the principle of new intervening acts, and to treat those occurrences as giving such a sufficient new impetus or deflection to the chain of causation as to render the original wrongful act no longer a proximate cause. But if the plaintiff's wish to receive care, comfort and attention is accepted as being entirely unconscious and contrary to the plaintiff's own apparent efforts to attain a healing of the symptoms, or if the plaintiff's own failure to exercise his or her own willpower is unconscious and contrary to the plaintiff's own apparent efforts to attain a healing of the symptoms, then I would not be prepared to say that the plaintiff is still excluded from compensation for the psychological symptoms. In short, I think that the word "conscious" is implicit in points 3, 4, 5, and 6 that I have extracted from Mr. Justice Taylor's reasons in </w:t>
      </w:r>
      <w:r>
        <w:rPr>
          <w:rFonts w:ascii="arial" w:eastAsia="arial" w:hAnsi="arial" w:cs="arial"/>
          <w:i/>
          <w:color w:val="000000"/>
          <w:sz w:val="20"/>
          <w:lang w:val="en-US" w:eastAsia="en-US" w:bidi="ar-SA"/>
        </w:rPr>
        <w:t>Maslen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My second observation arises from the concurring reasons of Madam Justice Wilson, sitting in the Ontario Court of Appeal, in </w:t>
      </w:r>
      <w:r>
        <w:rPr>
          <w:rFonts w:ascii="arial" w:eastAsia="arial" w:hAnsi="arial" w:cs="arial"/>
          <w:i/>
          <w:color w:val="000000"/>
          <w:sz w:val="20"/>
          <w:lang w:val="en-US" w:eastAsia="en-US" w:bidi="ar-SA"/>
        </w:rPr>
        <w:t>Cotic v. Gray</w:t>
      </w:r>
      <w:r>
        <w:rPr>
          <w:rFonts w:ascii="arial" w:eastAsia="arial" w:hAnsi="arial" w:cs="arial"/>
          <w:color w:val="000000"/>
          <w:sz w:val="20"/>
          <w:lang w:val="en-US" w:eastAsia="en-US" w:bidi="ar-SA"/>
        </w:rPr>
        <w:t>. Madam Justice Wilson said, first, that the foreseeability test for remoteness of damage and the thin skull principle cannot co-exist in relation to psychological symptoms either directly brought about by the accident or triggered by the accident on the foundation of a predisposition to suffer such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Madam Justice Wilson emphasized, second, that in a thin skull case, that is, a case of pre-existing vulnerability, the occurrence of the psychological symptoms should not, without more, be regarded as arising from a new sufficient cause in the nature of a </w:t>
      </w:r>
      <w:r>
        <w:rPr>
          <w:rFonts w:ascii="arial" w:eastAsia="arial" w:hAnsi="arial" w:cs="arial"/>
          <w:i/>
          <w:color w:val="000000"/>
          <w:sz w:val="20"/>
          <w:lang w:val="en-US" w:eastAsia="en-US" w:bidi="ar-SA"/>
        </w:rPr>
        <w:t>novus actus interveniens</w:t>
      </w:r>
      <w:r>
        <w:rPr>
          <w:rFonts w:ascii="arial" w:eastAsia="arial" w:hAnsi="arial" w:cs="arial"/>
          <w:color w:val="000000"/>
          <w:sz w:val="20"/>
          <w:lang w:val="en-US" w:eastAsia="en-US" w:bidi="ar-SA"/>
        </w:rPr>
        <w:t>. Madam Justice Wilson said this, at p. 180: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opinion, it is inappropriate in a thin skull case to view the peculiar vulnerability of the victim as causative in law. Undoubtedly as a factual matter the deceased's psychiatric condition played a role in his subsequent suicide but the law would be taking away with one hand what it had given with the other if it were to permit the victim's peculiar vulnerability to break the causal chain, or constitute a </w:t>
      </w:r>
      <w:r>
        <w:rPr>
          <w:rFonts w:ascii="arial" w:eastAsia="arial" w:hAnsi="arial" w:cs="arial"/>
          <w:i/>
          <w:color w:val="000000"/>
          <w:sz w:val="20"/>
          <w:lang w:val="en-US" w:eastAsia="en-US" w:bidi="ar-SA"/>
        </w:rPr>
        <w:t>novus actus interveniens</w:t>
      </w:r>
      <w:r>
        <w:rPr>
          <w:rFonts w:ascii="arial" w:eastAsia="arial" w:hAnsi="arial" w:cs="arial"/>
          <w:color w:val="000000"/>
          <w:sz w:val="20"/>
          <w:lang w:val="en-US" w:eastAsia="en-US" w:bidi="ar-SA"/>
        </w:rPr>
        <w:t xml:space="preserve"> or, worse still, be treated as the effective cause of his damage. I do not think it was open to the jury to view the motor vehicle accident and the deceased's psychiatric condition as separate or concurring "causes" and to choose between them which was the "effective cause" of the death. Given the deceased's pre-existing mental frailty, the medical evidence referred to by my learned colleague established beyond peradventure that the accident and its effect upon Mr. Cotic drove him to his death.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I agree with those conclusions of Madam Justice Wilson.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My third observation is that there are many cases in which the assessment of damages depends upon an examination of this difficult area. As Mr. Justice Taylor said in </w:t>
      </w:r>
      <w:r>
        <w:rPr>
          <w:rFonts w:ascii="arial" w:eastAsia="arial" w:hAnsi="arial" w:cs="arial"/>
          <w:i/>
          <w:color w:val="000000"/>
          <w:sz w:val="20"/>
          <w:lang w:val="en-US" w:eastAsia="en-US" w:bidi="ar-SA"/>
        </w:rPr>
        <w:t>Maslen v. Rubenstein</w:t>
      </w:r>
      <w:r>
        <w:rPr>
          <w:rFonts w:ascii="arial" w:eastAsia="arial" w:hAnsi="arial" w:cs="arial"/>
          <w:color w:val="000000"/>
          <w:sz w:val="20"/>
          <w:lang w:val="en-US" w:eastAsia="en-US" w:bidi="ar-SA"/>
        </w:rPr>
        <w:t>, we were referred to more than fifty authorities in argument in that case. However, I wish to make a brief comment in relation to only British Columbia trial decisions.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w:t>
      </w:r>
      <w:r>
        <w:rPr>
          <w:rFonts w:ascii="arial" w:eastAsia="arial" w:hAnsi="arial" w:cs="arial"/>
          <w:i/>
          <w:color w:val="000000"/>
          <w:sz w:val="20"/>
          <w:lang w:val="en-US" w:eastAsia="en-US" w:bidi="ar-SA"/>
        </w:rPr>
        <w:t>Buteikis v. Adams</w:t>
      </w:r>
      <w:r>
        <w:rPr>
          <w:rFonts w:ascii="arial" w:eastAsia="arial" w:hAnsi="arial" w:cs="arial"/>
          <w:color w:val="000000"/>
          <w:sz w:val="20"/>
          <w:lang w:val="en-US" w:eastAsia="en-US" w:bidi="ar-SA"/>
        </w:rPr>
        <w:t xml:space="preserve"> </w:t>
      </w:r>
      <w:hyperlink r:id="rId341" w:history="1">
        <w:r>
          <w:rPr>
            <w:rFonts w:ascii="arial" w:eastAsia="arial" w:hAnsi="arial" w:cs="arial"/>
            <w:i/>
            <w:color w:val="0077CC"/>
            <w:sz w:val="20"/>
            <w:u w:val="single"/>
            <w:shd w:val="clear" w:color="auto" w:fill="FFFFFF"/>
            <w:lang w:val="en-US" w:eastAsia="en-US" w:bidi="ar-SA"/>
          </w:rPr>
          <w:t>(1994), 90 B.C.L.R. (2d) 213</w:t>
        </w:r>
      </w:hyperlink>
      <w:r>
        <w:rPr>
          <w:rFonts w:ascii="arial" w:eastAsia="arial" w:hAnsi="arial" w:cs="arial"/>
          <w:color w:val="000000"/>
          <w:sz w:val="20"/>
          <w:lang w:val="en-US" w:eastAsia="en-US" w:bidi="ar-SA"/>
        </w:rPr>
        <w:t xml:space="preserve"> (S.C.), is under appeal to this Court. My comment is that I do not propose to say anything whatsoever about that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In </w:t>
      </w:r>
      <w:r>
        <w:rPr>
          <w:rFonts w:ascii="arial" w:eastAsia="arial" w:hAnsi="arial" w:cs="arial"/>
          <w:i/>
          <w:color w:val="000000"/>
          <w:sz w:val="20"/>
          <w:lang w:val="en-US" w:eastAsia="en-US" w:bidi="ar-SA"/>
        </w:rPr>
        <w:t>Landry v. Cadeau</w:t>
      </w:r>
      <w:r>
        <w:rPr>
          <w:rFonts w:ascii="arial" w:eastAsia="arial" w:hAnsi="arial" w:cs="arial"/>
          <w:color w:val="000000"/>
          <w:sz w:val="20"/>
          <w:lang w:val="en-US" w:eastAsia="en-US" w:bidi="ar-SA"/>
        </w:rPr>
        <w:t xml:space="preserve">, </w:t>
      </w:r>
      <w:hyperlink r:id="rId342" w:history="1">
        <w:r>
          <w:rPr>
            <w:rFonts w:ascii="arial" w:eastAsia="arial" w:hAnsi="arial" w:cs="arial"/>
            <w:i/>
            <w:color w:val="0077CC"/>
            <w:sz w:val="20"/>
            <w:u w:val="single"/>
            <w:shd w:val="clear" w:color="auto" w:fill="FFFFFF"/>
            <w:lang w:val="en-US" w:eastAsia="en-US" w:bidi="ar-SA"/>
          </w:rPr>
          <w:t>[1985] B.C.J. No. 1396</w:t>
        </w:r>
      </w:hyperlink>
      <w:r>
        <w:rPr>
          <w:rFonts w:ascii="arial" w:eastAsia="arial" w:hAnsi="arial" w:cs="arial"/>
          <w:color w:val="000000"/>
          <w:sz w:val="20"/>
          <w:lang w:val="en-US" w:eastAsia="en-US" w:bidi="ar-SA"/>
        </w:rPr>
        <w:t xml:space="preserve">, (24 June, 1985), Vancouver B830850 (BCSC), it is suggested in </w:t>
      </w:r>
      <w:r>
        <w:rPr>
          <w:rFonts w:ascii="arial" w:eastAsia="arial" w:hAnsi="arial" w:cs="arial"/>
          <w:i/>
          <w:color w:val="000000"/>
          <w:sz w:val="20"/>
          <w:lang w:val="en-US" w:eastAsia="en-US" w:bidi="ar-SA"/>
        </w:rPr>
        <w:t>obiter dicta</w:t>
      </w:r>
      <w:r>
        <w:rPr>
          <w:rFonts w:ascii="arial" w:eastAsia="arial" w:hAnsi="arial" w:cs="arial"/>
          <w:color w:val="000000"/>
          <w:sz w:val="20"/>
          <w:lang w:val="en-US" w:eastAsia="en-US" w:bidi="ar-SA"/>
        </w:rPr>
        <w:t xml:space="preserve"> that weakness of willpower should not enable a plaintiff to recover damages for psychological symptoms that cannot be healed by the weak will of the plaintiff, if a strong-willed person could have healed the same symptoms in the same circumstances. To the extent that that suggestion is contrary to the application of the egg shell personality principle, I would not follow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In </w:t>
      </w:r>
      <w:r>
        <w:rPr>
          <w:rFonts w:ascii="arial" w:eastAsia="arial" w:hAnsi="arial" w:cs="arial"/>
          <w:i/>
          <w:color w:val="000000"/>
          <w:sz w:val="20"/>
          <w:lang w:val="en-US" w:eastAsia="en-US" w:bidi="ar-SA"/>
        </w:rPr>
        <w:t>Smith v. Wensley</w:t>
      </w:r>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[1988] B.C.J. No. 2148</w:t>
        </w:r>
      </w:hyperlink>
      <w:r>
        <w:rPr>
          <w:rFonts w:ascii="arial" w:eastAsia="arial" w:hAnsi="arial" w:cs="arial"/>
          <w:color w:val="000000"/>
          <w:sz w:val="20"/>
          <w:lang w:val="en-US" w:eastAsia="en-US" w:bidi="ar-SA"/>
        </w:rPr>
        <w:t>, (15 January, 1988), Victoria 85/0178 (BCSC), Mr. Justice Taylor said this, at p. 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seems to me that if a person is reduced by an injury to a psychological state, so that continued pain is involuntarily experienced thereafter even though there is no physical basis for it, that pain might logically be attributed to psychological problems brought about by the accident, and the continued sensation of pain could properly be regarded in such a case as something caused by the accident. But where depression or some other psychological condition leading the victim to experience revival or continuation of pain has not been shown to have been caused by the accident to which the pain is attributed, it cannot be said, for the purposes of the law, that a causal connection exists between the injury and the continued pain. The only connection between them is that which exists in the mind of the sufferer - the injury is merely the subject on which the victim's mind has happened to focus or "fixate" - and that is not, of course, sufficient to establish a connection in law between the injury and the continuing complaint.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It seems to me that there are two different types of psychological symptoms that may be covered by the principles that are here being discussed. There are those where the psychological symptoms have their origin entirely in the defendant's wrongful act. Clearly they are compensable. And there are those psychological symptoms where the defendant's wrongful act triggers a pre-existing psychological condition so that both the defendant's wrongful act and the pre-existing condition are causes-in-fact of the psychological injury. In the latter cases the psychological injury will be compensable on the basis of a pre-existing thin skull, except only in cases where the psychological problem is so dominant as a pre-existing condition and the injuries sustained in the accident are so trivial that the accident can no longer be said to be sufficient cause in law to support an award of damages on the basis of proximate cause.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I have difficulty accepting that there will be any cases in which it could be said that damages should be refused on the basis that the injury suffered in the accident was merely the subject on which the victim's mind has happened to focus or fixate, when it cannot also be said that if the accident had not happened something else would have provided the trigger for the focussing or fixating so that the psychological symptoms would have occurred in any event and the cause-in-fact test would not have been met.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It is noteworthy that though </w:t>
      </w:r>
      <w:r>
        <w:rPr>
          <w:rFonts w:ascii="arial" w:eastAsia="arial" w:hAnsi="arial" w:cs="arial"/>
          <w:i/>
          <w:color w:val="000000"/>
          <w:sz w:val="20"/>
          <w:lang w:val="en-US" w:eastAsia="en-US" w:bidi="ar-SA"/>
        </w:rPr>
        <w:t>Smith v. Wensley</w:t>
      </w:r>
      <w:r>
        <w:rPr>
          <w:rFonts w:ascii="arial" w:eastAsia="arial" w:hAnsi="arial" w:cs="arial"/>
          <w:color w:val="000000"/>
          <w:sz w:val="20"/>
          <w:lang w:val="en-US" w:eastAsia="en-US" w:bidi="ar-SA"/>
        </w:rPr>
        <w:t xml:space="preserve"> was referred to in argument in </w:t>
      </w:r>
      <w:r>
        <w:rPr>
          <w:rFonts w:ascii="arial" w:eastAsia="arial" w:hAnsi="arial" w:cs="arial"/>
          <w:i/>
          <w:color w:val="000000"/>
          <w:sz w:val="20"/>
          <w:lang w:val="en-US" w:eastAsia="en-US" w:bidi="ar-SA"/>
        </w:rPr>
        <w:t>Maslen v. Rubenstein</w:t>
      </w:r>
      <w:r>
        <w:rPr>
          <w:rFonts w:ascii="arial" w:eastAsia="arial" w:hAnsi="arial" w:cs="arial"/>
          <w:color w:val="000000"/>
          <w:sz w:val="20"/>
          <w:lang w:val="en-US" w:eastAsia="en-US" w:bidi="ar-SA"/>
        </w:rPr>
        <w:t>, Mr. Justice Taylor did not return again to the notion that damages would not be awarded if the accident injuries were merely something on which the plaintiff focussed or fixated. I think that if the focussing or fixating has its real origin in the accident, or if the focussing or fixating has its real origin in a pre-existing tendency to focus or fixate in that way, then the psychological symptoms arising from the focussing or fixating would be compensable unless the focussing or fixating would have occurred in any event, but would have chosen a different subject matter on which to crystallize, even if the accident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this case, the plaintiff submits that the accident of July 23, 1999, started a chain of events that changed the life of Loretta Thiessen forever, and that the physical and emotional consequences of the accident that were suffered by the plaintiff have left her with chronic pain and debilitating post-traumatic stress disorder which has not responded to over eight years of psychiatric treatment. The plaintiff submits that the emotional consequences flowing from the accident have left the plaintiff unable to cope with life. The plaintiff submits that because of her internal makeup the emotional consequences caused a downward spiral requiring treatment that interfered with her making progress on the accident induced disorder. The plaintiff alleges that the physical and emotional consequences of the accident resulted in the plaintiff becoming dependent on her children, family and medical care givers almost completely.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has conceded that she has what is described by her doctors as a histrionic personality but not a histrionic disorder as alleged by the defence. While there was evidence at trial that the plaintiff's marriage may not have been as happy as she thought it was, she submits that she was functioning and in the process of rebuilding her life after a period of unemployment for her husband due to chronic pain and his own health issues, and the accident halted that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defence's position with respect to the emotional and psychological damage that the plaintiff claims may be succinctly stated as being completely out of proportion to the initial injuries that were suffered by her. The defence strongly submits that the overriding and troublesome feature of this action is that on material points the plaintiff's own evidence is contrary to almost every other witness heard at the trial. Regretfully there is also evidence put forward by the defence in its witnesses that the plaintiff has, leading up to this trial, requested third parties to provide false or misleading evidence. The defence submits that these requests and inconsistencies in the evidence heard must lead to a conclusion that the plaintiff has a lack of reliability and trustworthiness which not only affects her direct evidence but also the medical evidence presented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Ultimately the defence submits that given the plaintiff's lack of reliability and/or trustworthiness, coupled with the fact that many of the plaintiff's expert witnesses, in coming to their conclusions, have simply relied on the plaintiff's direct self-reporting or on her indirect self-reporting to others which is unreliable and must, of necessity, lead to a conclusion that the plaintiff has failed to prove her case concerning anything other than physical damage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defence argues that the plaintiff had a pre-existing psychiatric history, including personality traits or disorders. The defence submits that numerous pre- and post-accident psychiatric "buttons" or "stressors" that did occur and others that may have not likely occurred but may be part of the plaintiff's own subjective beliefs are relevant considerations that make this case appear quite complex initially, but after careful consideration will be seen to be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While on this subject it is necessary to deal with an issue that arose as a result of the defence submissions and the plaintiff's reply.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July 9, 2007, at approximately 12:20 p.m., Exhibits 1 to 5 were marked with the consent of both parties. Exhibits 1 to 4 consisted of the defendant's documents comprised as follows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Exhibit 1</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Medical Reports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Exhibit 2</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Clinical Medical Reports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Exhibit 3 (A and B)</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Volumes entitled Hospital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Records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27"/>
        <w:gridCol w:w="240"/>
        <w:gridCol w:w="5421"/>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Exhibit 4</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Defendant's documents regarding Special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Exhibit 5 was placed in as the Defendant's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Dunn, counsel for the defence, advised the court that there was no written agreement, however, there was an oral agreement with respect to the documents as follows -</w:t>
      </w:r>
      <w:r>
        <w:rPr>
          <w:rFonts w:ascii="arial" w:eastAsia="arial" w:hAnsi="arial" w:cs="arial"/>
          <w:sz w:val="20"/>
          <w:lang w:val="en-US" w:eastAsia="en-US" w:bidi="ar-SA"/>
        </w:rPr>
        <w:cr/>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copies would stand in the place of originals;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opinion evidence contained in the medical reports by treators were not opinions under R. 40A, except for mechanical opinions. These were specifically mentioned by Mr. Dunn as being opinions under and by virtue of </w:t>
      </w:r>
      <w:r>
        <w:rPr>
          <w:rFonts w:ascii="arial" w:eastAsia="arial" w:hAnsi="arial" w:cs="arial"/>
          <w:b/>
          <w:i/>
          <w:color w:val="000000"/>
          <w:sz w:val="20"/>
          <w:lang w:val="en-US" w:eastAsia="en-US" w:bidi="ar-SA"/>
        </w:rPr>
        <w:t>Ares v. Venner</w:t>
      </w:r>
      <w:r>
        <w:rPr>
          <w:rFonts w:ascii="arial" w:eastAsia="arial" w:hAnsi="arial" w:cs="arial"/>
          <w:color w:val="000000"/>
          <w:sz w:val="20"/>
          <w:lang w:val="en-US" w:eastAsia="en-US" w:bidi="ar-SA"/>
        </w:rPr>
        <w:t xml:space="preserve">, </w:t>
      </w:r>
      <w:hyperlink r:id="rId344" w:history="1">
        <w:r>
          <w:rPr>
            <w:rFonts w:ascii="arial" w:eastAsia="arial" w:hAnsi="arial" w:cs="arial"/>
            <w:i/>
            <w:color w:val="0077CC"/>
            <w:sz w:val="20"/>
            <w:u w:val="single"/>
            <w:shd w:val="clear" w:color="auto" w:fill="FFFFFF"/>
            <w:lang w:val="en-US" w:eastAsia="en-US" w:bidi="ar-SA"/>
          </w:rPr>
          <w:t>[1970] S.C.R. 608</w:t>
        </w:r>
      </w:hyperlink>
      <w:r>
        <w:rPr>
          <w:rFonts w:ascii="arial" w:eastAsia="arial" w:hAnsi="arial" w:cs="arial"/>
          <w:color w:val="000000"/>
          <w:sz w:val="20"/>
          <w:lang w:val="en-US" w:eastAsia="en-US" w:bidi="ar-SA"/>
        </w:rPr>
        <w:t xml:space="preserve"> (SCC), being physical observations of the plaintiff by the treator;</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 clinical records, by agreement, were being placed in evidence pursuant to </w:t>
      </w:r>
      <w:r>
        <w:rPr>
          <w:rFonts w:ascii="arial" w:eastAsia="arial" w:hAnsi="arial" w:cs="arial"/>
          <w:b/>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2005 BCSC 1751</w:t>
        </w:r>
      </w:hyperlink>
      <w:r>
        <w:rPr>
          <w:rFonts w:ascii="arial" w:eastAsia="arial" w:hAnsi="arial" w:cs="arial"/>
          <w:color w:val="000000"/>
          <w:sz w:val="20"/>
          <w:lang w:val="en-US" w:eastAsia="en-US" w:bidi="ar-SA"/>
        </w:rPr>
        <w:t>. Specifically, Mr. Dunn stated that the documents (clinical records) would go in as proof of bodily statements up to the contemplation of litigation and after that the statements of the plaintiff would just go in as proof that the statement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Dunn and Ms. Voss indicated that they had not yet agreed on the date where litigation was contemplated and, in fact, that matter was never addressed by counsel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trial record discloses that the writ of summons in this proceeding was filed on July 18,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the </w:t>
      </w:r>
      <w:r>
        <w:rPr>
          <w:rFonts w:ascii="arial" w:eastAsia="arial" w:hAnsi="arial" w:cs="arial"/>
          <w:b/>
          <w:i/>
          <w:color w:val="000000"/>
          <w:sz w:val="20"/>
          <w:lang w:val="en-US" w:eastAsia="en-US" w:bidi="ar-SA"/>
        </w:rPr>
        <w:t>White v. Stonestreet</w:t>
      </w:r>
      <w:r>
        <w:rPr>
          <w:rFonts w:ascii="arial" w:eastAsia="arial" w:hAnsi="arial" w:cs="arial"/>
          <w:color w:val="000000"/>
          <w:sz w:val="20"/>
          <w:lang w:val="en-US" w:eastAsia="en-US" w:bidi="ar-SA"/>
        </w:rPr>
        <w:t xml:space="preserve"> decision of December 8, 2005, Mr. Justice Ehrcke dealt with the issue. At issue in that case were statements made to the plaintiff's physician and his physiotherapist. All parties in that case agreed that the plaintiff's statement to the physician and the physiotherapist were admissible to the fact that they were said but in contention was whether or not they were admissible as evidence of their truth. Mr. Justice Ehrcke said, at para.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Of course, even if they were admitted for the latter purpose, their weight would still have to be assessed, like that of all the other evidence, at the conclusion of the trial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After reviewing the principled approach established by the Supreme Court of Canada in </w:t>
      </w:r>
      <w:r>
        <w:rPr>
          <w:rFonts w:ascii="arial" w:eastAsia="arial" w:hAnsi="arial" w:cs="arial"/>
          <w:b/>
          <w:i/>
          <w:color w:val="000000"/>
          <w:sz w:val="20"/>
          <w:lang w:val="en-US" w:eastAsia="en-US" w:bidi="ar-SA"/>
        </w:rPr>
        <w:t>R. v. Starr</w:t>
      </w:r>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[2000] 2 S.C.R. 144</w:t>
        </w:r>
      </w:hyperlink>
      <w:r>
        <w:rPr>
          <w:rFonts w:ascii="arial" w:eastAsia="arial" w:hAnsi="arial" w:cs="arial"/>
          <w:color w:val="000000"/>
          <w:sz w:val="20"/>
          <w:lang w:val="en-US" w:eastAsia="en-US" w:bidi="ar-SA"/>
        </w:rPr>
        <w:t xml:space="preserve">, his Lordship concluded that the clinical records of the family physician and the physiotherapist were admissible in evidence as business records pursuant to s. 42 of the </w:t>
      </w:r>
      <w:r>
        <w:rPr>
          <w:rFonts w:ascii="arial" w:eastAsia="arial" w:hAnsi="arial" w:cs="arial"/>
          <w:b/>
          <w:i/>
          <w:color w:val="000000"/>
          <w:sz w:val="20"/>
          <w:lang w:val="en-US" w:eastAsia="en-US" w:bidi="ar-SA"/>
        </w:rPr>
        <w:t>Evidence Act</w:t>
      </w:r>
      <w:r>
        <w:rPr>
          <w:rFonts w:ascii="arial" w:eastAsia="arial" w:hAnsi="arial" w:cs="arial"/>
          <w:color w:val="000000"/>
          <w:sz w:val="20"/>
          <w:lang w:val="en-US" w:eastAsia="en-US" w:bidi="ar-SA"/>
        </w:rPr>
        <w:t xml:space="preserve"> and that the statements in the records and the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testimony of the doctor and the physiotherapist of what the plaintiff told them regarding "his contemporaneous bodily condition up until the fall of 2001 are admissible as evidence of his bodily condition". The fall of 2001 was chosen by the learned judge on the basis of his conclusion as to where litigation is already underway. At para. 27 of the decision, Mr. Justice Ehrcke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Of course, the situation is different where litigation is already underway or contemplated by the declarant at the time of the out of court statements. In such a case the motive to fabricate may be sufficiently strong to defeat the reliability requirement, and the hearsay evidence may on that basis be excluded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His Lordship, in the same para., then went on to distinguish another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 would distinguish the decision in </w:t>
      </w:r>
      <w:r>
        <w:rPr>
          <w:rFonts w:ascii="arial" w:eastAsia="arial" w:hAnsi="arial" w:cs="arial"/>
          <w:i/>
          <w:color w:val="000000"/>
          <w:sz w:val="20"/>
          <w:lang w:val="en-US" w:eastAsia="en-US" w:bidi="ar-SA"/>
        </w:rPr>
        <w:t>Samuel v. Chrysler Credit Canada Ltd.</w:t>
      </w:r>
      <w:r>
        <w:rPr>
          <w:rFonts w:ascii="arial" w:eastAsia="arial" w:hAnsi="arial" w:cs="arial"/>
          <w:color w:val="000000"/>
          <w:sz w:val="20"/>
          <w:lang w:val="en-US" w:eastAsia="en-US" w:bidi="ar-SA"/>
        </w:rPr>
        <w:t xml:space="preserve"> [citation omitted] on that basis. There, the trial judge specifically found that at the time of the plaintiff's out of court statements, litigation was either in progress or being contemplated. For that reason he had grave concerns about the reliability of the out of court statements and held that they could not be used as evidence of their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the defendant's written submissions he did not make reference to </w:t>
      </w:r>
      <w:r>
        <w:rPr>
          <w:rFonts w:ascii="arial" w:eastAsia="arial" w:hAnsi="arial" w:cs="arial"/>
          <w:b/>
          <w:i/>
          <w:color w:val="000000"/>
          <w:sz w:val="20"/>
          <w:lang w:val="en-US" w:eastAsia="en-US" w:bidi="ar-SA"/>
        </w:rPr>
        <w:t>White v. Stonestreet</w:t>
      </w:r>
      <w:r>
        <w:rPr>
          <w:rFonts w:ascii="arial" w:eastAsia="arial" w:hAnsi="arial" w:cs="arial"/>
          <w:color w:val="000000"/>
          <w:sz w:val="20"/>
          <w:lang w:val="en-US" w:eastAsia="en-US" w:bidi="ar-SA"/>
        </w:rPr>
        <w:t xml:space="preserve"> being the basis upon which he had stated to the court that the clinical records were admissible. Rather, Mr. Dunn relied on the decision of </w:t>
      </w:r>
      <w:r>
        <w:rPr>
          <w:rFonts w:ascii="arial" w:eastAsia="arial" w:hAnsi="arial" w:cs="arial"/>
          <w:b/>
          <w:i/>
          <w:color w:val="000000"/>
          <w:sz w:val="20"/>
          <w:lang w:val="en-US" w:eastAsia="en-US" w:bidi="ar-SA"/>
        </w:rPr>
        <w:t>Samuel v. Chrysler Credit Canada Ltd.</w:t>
      </w:r>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2007 BCCA 431</w:t>
        </w:r>
      </w:hyperlink>
      <w:r>
        <w:rPr>
          <w:rFonts w:ascii="arial" w:eastAsia="arial" w:hAnsi="arial" w:cs="arial"/>
          <w:color w:val="000000"/>
          <w:sz w:val="20"/>
          <w:lang w:val="en-US" w:eastAsia="en-US" w:bidi="ar-SA"/>
        </w:rPr>
        <w:t xml:space="preserve">, which was handed down on September 7, 2007, some time after the evidence had been concluded in this matter. </w:t>
      </w:r>
      <w:r>
        <w:rPr>
          <w:rFonts w:ascii="arial" w:eastAsia="arial" w:hAnsi="arial" w:cs="arial"/>
          <w:b/>
          <w:i/>
          <w:color w:val="000000"/>
          <w:sz w:val="20"/>
          <w:lang w:val="en-US" w:eastAsia="en-US" w:bidi="ar-SA"/>
        </w:rPr>
        <w:t>Samuel v. Chrysler Credit Canada Ltd.</w:t>
      </w:r>
      <w:r>
        <w:rPr>
          <w:rFonts w:ascii="arial" w:eastAsia="arial" w:hAnsi="arial" w:cs="arial"/>
          <w:color w:val="000000"/>
          <w:sz w:val="20"/>
          <w:lang w:val="en-US" w:eastAsia="en-US" w:bidi="ar-SA"/>
        </w:rPr>
        <w:t xml:space="preserve"> rejected the approach in </w:t>
      </w:r>
      <w:r>
        <w:rPr>
          <w:rFonts w:ascii="arial" w:eastAsia="arial" w:hAnsi="arial" w:cs="arial"/>
          <w:b/>
          <w:i/>
          <w:color w:val="000000"/>
          <w:sz w:val="20"/>
          <w:lang w:val="en-US" w:eastAsia="en-US" w:bidi="ar-SA"/>
        </w:rPr>
        <w:t>White v. Stonestreet</w:t>
      </w:r>
      <w:r>
        <w:rPr>
          <w:rFonts w:ascii="arial" w:eastAsia="arial" w:hAnsi="arial" w:cs="arial"/>
          <w:color w:val="000000"/>
          <w:sz w:val="20"/>
          <w:lang w:val="en-US" w:eastAsia="en-US" w:bidi="ar-SA"/>
        </w:rPr>
        <w:t xml:space="preserve">, although it noted that even the judge in </w:t>
      </w:r>
      <w:r>
        <w:rPr>
          <w:rFonts w:ascii="arial" w:eastAsia="arial" w:hAnsi="arial" w:cs="arial"/>
          <w:b/>
          <w:i/>
          <w:color w:val="000000"/>
          <w:sz w:val="20"/>
          <w:lang w:val="en-US" w:eastAsia="en-US" w:bidi="ar-SA"/>
        </w:rPr>
        <w:t>White</w:t>
      </w:r>
      <w:r>
        <w:rPr>
          <w:rFonts w:ascii="arial" w:eastAsia="arial" w:hAnsi="arial" w:cs="arial"/>
          <w:color w:val="000000"/>
          <w:sz w:val="20"/>
          <w:lang w:val="en-US" w:eastAsia="en-US" w:bidi="ar-SA"/>
        </w:rPr>
        <w:t xml:space="preserve"> had held that "reliability" is different where litigation is already underway or contemplated by the declarant at the time of the out of court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the </w:t>
      </w:r>
      <w:r>
        <w:rPr>
          <w:rFonts w:ascii="arial" w:eastAsia="arial" w:hAnsi="arial" w:cs="arial"/>
          <w:b/>
          <w:i/>
          <w:color w:val="000000"/>
          <w:sz w:val="20"/>
          <w:lang w:val="en-US" w:eastAsia="en-US" w:bidi="ar-SA"/>
        </w:rPr>
        <w:t>Samuel</w:t>
      </w:r>
      <w:r>
        <w:rPr>
          <w:rFonts w:ascii="arial" w:eastAsia="arial" w:hAnsi="arial" w:cs="arial"/>
          <w:color w:val="000000"/>
          <w:sz w:val="20"/>
          <w:lang w:val="en-US" w:eastAsia="en-US" w:bidi="ar-SA"/>
        </w:rPr>
        <w:t xml:space="preserve"> decision the Court of Appeal expressly stated that it considered the analysis taken in </w:t>
      </w:r>
      <w:r>
        <w:rPr>
          <w:rFonts w:ascii="arial" w:eastAsia="arial" w:hAnsi="arial" w:cs="arial"/>
          <w:b/>
          <w:i/>
          <w:color w:val="000000"/>
          <w:sz w:val="20"/>
          <w:lang w:val="en-US" w:eastAsia="en-US" w:bidi="ar-SA"/>
        </w:rPr>
        <w:t>Seaman v. Crook</w:t>
      </w:r>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2003 BCSC 464</w:t>
        </w:r>
      </w:hyperlink>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14 B.C.L.R. (4th) 132</w:t>
        </w:r>
      </w:hyperlink>
      <w:r>
        <w:rPr>
          <w:rFonts w:ascii="arial" w:eastAsia="arial" w:hAnsi="arial" w:cs="arial"/>
          <w:color w:val="000000"/>
          <w:sz w:val="20"/>
          <w:lang w:val="en-US" w:eastAsia="en-US" w:bidi="ar-SA"/>
        </w:rPr>
        <w:t>, to be the correct analysis, with the conclusion being that statements made by a plaintiff to doctors and other treators are admissible only for the fact that they were made and not for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fact still remains that in this case the parties had agreed to the terms under which the Exhibits, primarily the clinical records, would be admitted and were so admitted on July 9,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 agree with the plaintiff's submission that the trial decision of </w:t>
      </w:r>
      <w:r>
        <w:rPr>
          <w:rFonts w:ascii="arial" w:eastAsia="arial" w:hAnsi="arial" w:cs="arial"/>
          <w:b/>
          <w:i/>
          <w:color w:val="000000"/>
          <w:sz w:val="20"/>
          <w:lang w:val="en-US" w:eastAsia="en-US" w:bidi="ar-SA"/>
        </w:rPr>
        <w:t>Samuel</w:t>
      </w:r>
      <w:r>
        <w:rPr>
          <w:rFonts w:ascii="arial" w:eastAsia="arial" w:hAnsi="arial" w:cs="arial"/>
          <w:color w:val="000000"/>
          <w:sz w:val="20"/>
          <w:lang w:val="en-US" w:eastAsia="en-US" w:bidi="ar-SA"/>
        </w:rPr>
        <w:t xml:space="preserve"> was available to the defence to argue and make submissions on during the trial, or whilst the Exhibits were being marked on July 9, 2007, but the defence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It is important to note that </w:t>
      </w:r>
      <w:r>
        <w:rPr>
          <w:rFonts w:ascii="arial" w:eastAsia="arial" w:hAnsi="arial" w:cs="arial"/>
          <w:b/>
          <w:i/>
          <w:color w:val="000000"/>
          <w:sz w:val="20"/>
          <w:lang w:val="en-US" w:eastAsia="en-US" w:bidi="ar-SA"/>
        </w:rPr>
        <w:t>Samuel</w:t>
      </w:r>
      <w:r>
        <w:rPr>
          <w:rFonts w:ascii="arial" w:eastAsia="arial" w:hAnsi="arial" w:cs="arial"/>
          <w:color w:val="000000"/>
          <w:sz w:val="20"/>
          <w:lang w:val="en-US" w:eastAsia="en-US" w:bidi="ar-SA"/>
        </w:rPr>
        <w:t xml:space="preserve"> is distinguishable from this trial in various ways, including -</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document agreement or agreement at the trial which practice was described by our Court of Appeal at paras. 7-9 as "folly";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submissions as to the use of the documents were made at the close of the case prior to counsel making their submissions and the judge instructing the jury;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patient's psychological circumstances were central in this trial and the necessity arm of the test for admission of the hearsay evidence in this case was much higher than in </w:t>
      </w:r>
      <w:r>
        <w:rPr>
          <w:rFonts w:ascii="arial" w:eastAsia="arial" w:hAnsi="arial" w:cs="arial"/>
          <w:b/>
          <w:i/>
          <w:color w:val="000000"/>
          <w:sz w:val="20"/>
          <w:lang w:val="en-US" w:eastAsia="en-US" w:bidi="ar-SA"/>
        </w:rPr>
        <w:t>Samuel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is also important to note the second aspect of the terms of the agreement that were referred to Mr. Dunn, namely, that the opinions contained within the clinical records were not being relied upon by the plaintiff pursuant to R. 40A and that only mechanical observations of the treator contained within the clinical records and opinions were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conclude that it would not be appropriate to change the rules under which this lengthy trial proceeded because of the later decision of our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this case the defendant has placed the trustworthiness and the reliability of the plaintiff's evidence in direct issue and I am more than mindful of the fact that a trial judge should always have "grave concerns" regarding statements made by a plaintiff, either when litigation was in prospect or underway. The concerns raised by the defence and the evidence led by the defence with respect to those concerns have brought to the forefront the question regarding the circumstantial guarantee of trustworthiness that would otherwise attach to statements made to treatment providers by the plaintiff (</w:t>
      </w:r>
      <w:r>
        <w:rPr>
          <w:rFonts w:ascii="arial" w:eastAsia="arial" w:hAnsi="arial" w:cs="arial"/>
          <w:b/>
          <w:i/>
          <w:color w:val="000000"/>
          <w:sz w:val="20"/>
          <w:lang w:val="en-US" w:eastAsia="en-US" w:bidi="ar-SA"/>
        </w:rPr>
        <w:t>Samuel v. Chrysler Credit Canada Ltd.</w:t>
      </w:r>
      <w:r>
        <w:rPr>
          <w:rFonts w:ascii="arial" w:eastAsia="arial" w:hAnsi="arial" w:cs="arial"/>
          <w:color w:val="000000"/>
          <w:sz w:val="20"/>
          <w:lang w:val="en-US" w:eastAsia="en-US" w:bidi="ar-SA"/>
        </w:rPr>
        <w:t xml:space="preserve"> at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analyzing the reliability and trustworthiness of the plaintiff's evidence and the evidence of her treators who have relied on her reliability and trustworthiness I have kept the comments of our Court of Appeal in the </w:t>
      </w:r>
      <w:r>
        <w:rPr>
          <w:rFonts w:ascii="arial" w:eastAsia="arial" w:hAnsi="arial" w:cs="arial"/>
          <w:b/>
          <w:i/>
          <w:color w:val="000000"/>
          <w:sz w:val="20"/>
          <w:lang w:val="en-US" w:eastAsia="en-US" w:bidi="ar-SA"/>
        </w:rPr>
        <w:t>Samuel</w:t>
      </w:r>
      <w:r>
        <w:rPr>
          <w:rFonts w:ascii="arial" w:eastAsia="arial" w:hAnsi="arial" w:cs="arial"/>
          <w:color w:val="000000"/>
          <w:sz w:val="20"/>
          <w:lang w:val="en-US" w:eastAsia="en-US" w:bidi="ar-SA"/>
        </w:rPr>
        <w:t xml:space="preserve"> decision regarding the danger of accepting statements made by the plaintiff after litigation was contemplated in the forefront of my determinations.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PRE-ACCIDENT CONDITION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was born in Uganda on July 16, 1963, and at the time of trial was 44 years of age. The plaintiff's family immigrated to Canada when the plaintiff was 8 years old. She completed her Grade 8 education and entered the work force, first starting at McDonalds and thereafter she began office work. She attended the College of New Caledonia in Prince George, commencing but not completing a course in office administration and bookkeeping. She became involved in a commonlaw relationship with Edward McCoy and they had two children; Kailein McCoy, born May 30, 1985, and Tysheina McCoy, born April 9, 1986. Both children gave evidence at the trial. Edward McCoy and his mother Cora Beddows also gave evidence at the trial on behalf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Following the break-up of her commonlaw relationship the plaintiff remained in the work force from time-to-time. Through the assistance of Cora Beddows the plaintiff was able to purchase a home for herself and her two children on Honeymoon Drive in the City of Prince George.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or about that time, and towards the end of 1989, clinical records of the plaintiff disclose that she was feeling overwhelmed with full time work and raising her two daughters. At that time her family physician, Dr. Mallam, suggested she take some time off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While she was off work she met her future husband, and defendant in these proceedings, Gerald Thiessen. Within a few months of her meeting Mr. Thiessen the parties were married and shortly after that TKT Plumbing and Heating Ltd. ("TKT") was incorporated. Only Gerald Thiessen was involved in the physical work involved in the plumbing and heating business with the plaintiff performing office work that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Gerald Thiessen thereafter suffered an exacerbation of a pre-existing back injury. The family received Social Assistance benefits from January 1996 to March 1998. During this time clinical records disclose that the plaintiff was having gynaecological difficulties resulting in her requiring a hysterectomy that was performed in March 1996. In the meantime, Mr. Thiessen's exacerbated back pain problems caused the family to investigate other business endeavours to support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April of 1997 the records of the Prince George Regional Hospital ("PGRH"), (Exhibit 3A, page 149), disclose complaints made to a nurse, including "getting flashbacks of past sexual abuse ..., she has a difficult time remembering what is fact and what is fiction ..., I believe that a lot of this knowledge comes not from memory but from her sister telling her this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At around this time the plaintiff's marital circumstances are in some contradiction as to the stability of the marriage and the happiness of Mr. Thiessen and Ms. Thiessen.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Gerald Thiessen was called by the defence and gave somewhat contradictory evidence to that of the plaintiff with respect to the circumstances of the marriage at about the time of the accident. In his testimony, he testified as to having first met the plaintiff in 1990 and they were married on June 16, 1990. At that time he testified to the plaintiff being off work on medical leave which he thought was stress leave. He described how their marriage, after the third year, went progressively down hill with Ms. Thiessen drinking and becoming abusive to him by yelling and screaming at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He described her as complaining about things not going her way. He described how most of the time the plaintiff would scream at him for not getting things done while he was in the middle of doing something else. He described that as the years progressed the arguments occurred more frequently with the plaintiff's mood swings being up and down like a "basketball" from one minute to the next. With regard to her temper, he described his wife as being quite quick tempered and often becoming overly aggressive, both verbally and physically, towards him. He described how towards the end of their relationship arguing with the plaintiff would get him no where and that he would just give up. He described how he had given her an ultimatum a few years earlier before their break up regarding her drinking and that she had indeed slowed down with the drinking, but in the latter part of their relationship she had started drinking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He testified as to how it was she who created troubles for the neighbours and the neighbours coming to talk to him about the plaintiff's involvement. With respect to her physical attributes, he described how she would often, before the accident, tell him of the migraine headaches that she was subject to and the fact that she was on Tylenol. When asked how the plaintiff would talk to him, Mr. Thiessen described her as being quite intelligent but also quite manipulative. He described how small things would be blown up; ending in the plaintiff's yelling and screaming. He described how the plaintiff would, prior to the motor vehicle accident ("MVA"), always appear well dressed and with her hair done up properly, even if they were only going fishing.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Thiessen also spoke of how their relationship prior to the MVA slowly got worse, and when asked why he responded "I'm not sure ... could be financial difficulties". With respect to his intimate relationship with his wife he described how he had not had any sexual relations with his wife for approximately a year before he left her in February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With respect to Ms. Thiessen's emotional wellbeing after the loss of his job, he described the plaintiff as becoming more and more aggressive, harder to talk to and stated that "her mood swings got worse and worse and worse". He described how he got her to go to the adult mental health unit and how it was he who had arranged to send his two step-daughters away to avoid them being at home while they were arguing. He testified that after his loss of employment her activities inside the house doing housework slowed right down when she told him she was unable to do these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He described how the former matrimonial home finally went into foreclosure and how both he and the plaintiff had been on social assistance following their separation in or about February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Various additional witnesses were called by the plaintiff and the defendant with respect to the plaintiff's pre-accident condition. These included Jane Yarama, sister of the plaintiff, Edward McCoy and his mother Cora Beddows, along with Kathy Taylor, Wanda MacLean, sister of Gerald Thiessen, Chris Bay, Susan Bay, and Susan McKeown, and others. There is no doubt from a review of all these witnesses' testimony, other than Jane Yarama, that Loretta Thiessen certainly had her ups and downs, and all agreed with the evidence of Gerald Thiessen that Loretta Thiessen was known to yell and scream and be moody.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With respect to Jane Yarama, as indicated, she is the plaintiff's sister. I found that Ms. Yarama was unable to provide a lot of insight into the plaintiff's pre-accident condition as there had been very little contact other than family dinners over the five years ending in 2000 when Mr. and Ms. Thiessen separated. With regard to the time period initially following the accident, Jane Yarama could not recall any specific details regarding the plaintiff's activities other than her visits to the plaintiff's home shortly after the accident. While Ms. Yarama did comment on how her sister had become disorganized following the accident, it became clear under cross-examination that her ability to recall specifics was weak. This may have been in part due to the fact that in or about the same time her own husband had been involved in a motor vehicle accident and she was required to spend time dealing with his injuries over that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did not find her evidence to be of assistance in dealing with the issue of causation or the physical complaints of the plaintiff going past late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Of particular import with respect to the circumstances of the plaintiff before the accident were the testimonies of Kathy Taylor and Wanda MacLean, both witnesses called by the defence. Kathy Taylor testified of her knowledge of the plaintiff's ongoing migraine complaints before the MVA. She also testified as to observing the Thiessen girls, Tysheina and Kailein, upset and crying after their mother had said she was dying. Commenting specifically on her knowledge of the plaintiff's circumstances prior to the MVA in question, Ms. Taylor described how the plaintiff would blow things out of proportion and would treat most events as being large in her life. She also described the plaintiff as having personality traits where at certain times she would be "a real sweetheart" but at other times would be vulgar. She also testified to the plaintiff yelling and screaming on a fairly regular basis, and that she found the plaintiff to be moody, with instant change in her emotion, and that over the years up to the accident this moodiness had gotten progressively worse. Ms. Taylor testified that up to the motor vehicle accident she had noted that the plaintiff was getting worse over time and becoming irrational.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Wanda MacLean described the plaintiff as being emotionally up and down and continually complaining of being sick and dying. Sometime prior to the MVA Ms. MacLean and her family had stopped visiting the Thiessen household because, according to her, the MacLeans were unable to handle interaction with the plaintiff as she had just become too angry and unpredictable.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Cora Beddows testified that the plaintiff was very volatile but very articulate. She had continued to be in touch with the Thiessens for the sake of visiting her granddaughters. Under cross-examination Ms. Beddows testified that the plaintiff's volatile temper was more of a personality issue but that her temper had become far worse towards the end of the marriage in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and Mrs. Bay were called by the defence and testified to the plaintiff's mood up to the time they had relocated from their Honeymoon Drive address in April 2000. With respect to both Chris and Susan Bay, while they did comment negatively on the plaintiff, I have determined that the amount of hostility I detected on their testimony towards the plaintiff should result in their testimony being downplayed.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Suzanne Van Diepen was a neighbour who gave evidence regarding the plaintiff's personality up until when she had moved away in 1997. Her evidence was primarily with respect to the plaintiff's yelling over that time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Clytie Umpherville was another witness called by the defence regarding the plaintiff's personality and various traits exhibited by her prior to the accident. She, like others, testified that Ms. Thiessen had told her from time-to-time how she suffered from migraines.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accident occurred at approximately 10:00 p.m. on July 23, 1999, when Gerald Thiessen commenced passing a slower truck. Mr. Thiessen moved to the left and proceeded to pass when the truck, driven by the defendant Kover, turned his vehicle into the Thiessen vehicle, impacting that vehicle and causing it to slide down the 12' to 14' ditch, and coming down on the driver's side. Mr. Thiessen described how he sustained damage to his head by hitting the driver's side window with his cranium. Under cross-examination he agreed that prior to the MVA in question, the plaintiff was energetic and maintained the matrimonial home in immaculate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POST-ACCIDENT CONDITION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Thiessen described his observations of the plaintiff's condition following the accident. He described when he came to in the motor vehicle the plaintiff complained of her chest being sore, her head hurting and her having trouble breathing. Relative to the accident, he described the plaintiff being removed from the vehicle with the ambulance drivers placing her into the ambulance and taking the two of them to hospital in Merritt. He described staying in Merritt that evening, after having borrowed a wheelchair, and wheeling the plaintiff down to a parking lot of a hotel. He recalled attending at his mother's vehicle at the towing company to remove his mother's possessions out of the vehicle. He recalled the two of them going into the vehicle and that he was at the trunk while Ms. Thiessen was getting possessions out of the vehicle. Thereafter they continued on to Richmond, B.C., which was the original destination of the trip, to take her to a speech doctor regarding her vocal chords and thereafter the two of them drove back to Prince George.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Thiessen gave evidence with respect to observations he had made of his wife's injuries. He described her, one month following the accident, progressing well and doing more things inside and outside of the home. He described her doing laundry, dishes and chores that needed to be done in the home; while outside she was able to water flower beds and pick weeds. He testified that in August of 1999 the plaintiff suggested to him that they should separate and blame the motor vehicle accident for the separation and then get back together after it was settled. He testified to her having said they would get more money. I will deal with this evidence regarding the use of the plaintiff's clinical records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Thiessen further testified that in September 1999, although he felt Ms. Thiessen was able to do normal activities quite well, he recalled Ms. Thiessen as saying she couldn't do it anymore. At that time Mr. Thiessen was working through his company for B.C. Corrections performing less regular work than in prior years. The contract came to a complete end in October of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Orval Strom was called as a witness by the defence with regard to his observations of the plaintiff following the accident. He was a driver for Pike's Towing in Logan Lake at the time of the accident. He specifically recalled the Thiessens attending to the tow yard to get their belongings from their vehicle following the accident. He was quite precise in his recollection of Loretta Thiessen being observed by him leaning into the vehicle through the passenger window with the door still closed and bending at the waist while reaching into the vehicle for a matter of minutes. He recalled opening the passenger door for her and Mr. Thiessen and the plaintiff getting into the car and removing their belongings.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Various witnesses called for the defence gave particularly disarming evidence with respect to the plaintiff's trustworthiness and reliability. Kathy Taylor, whose evidence I have already referred to in relation to the pre-accident condition of the plaintiff, also testified regarding her dealings with the plaintiff following the MVA. She specifically testified to an event in August 1999 when the plaintiff asked her to write a letter advising that had it not been for the MVA the plaintiff would be employed by her. Ms. Taylor testified that one of her companies' bookkeepers had given notice that she was leaving. Ms. Taylor stated that she told the plaintiff she would not do this and that she would not lie for anybody. She described the plaintiff being very angry and thereafter harassing Ms. Taylor. She testified to the plaintiff taking the position that the refusal of Ms. Taylor to provide such a letter made her no long a 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Kathy Taylor also testified that the plaintiff had told her she was "being tailed" by ICBC and as a result she was unable to do things, like carry groceries, because if she was seen doing this by investigators it would adversely affect her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Finally Ms. Taylor testified that she did not notice any physical changes in the plaintiff immediately following the accident. She did testify, however, that after Gerald Thiessen's contract at the correction centre had concluded, she noticed specific changes with respect to the plaintiff. These included financial pressures and specifically the plaintiff wanting money for work that the Taylor company had already paid for. She also referred to a situation in which the plaintiff's vehicle had been damaged and the plaintiff requesting Ms. Taylor to pay for the damages to the car, but shortly thereafter contacting her to tell her that she did not have to pay for the damages that she was reporting the car was stolen.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Chris and Susan Bay also gave evidence with respect to their observations of the plaintiff following the accident. Their evidence regarding their observations of her personality, which I have already indicated I would not rely on because of their apparent hostility towards the plaintiff, also included observations by the two of them with respect to her driving after the motor vehicle accident. It is to be recalled that the position of the plaintiff throughout the trial was that she has not driven a motor vehicle since the MVA in question. Both Mr. and Ms. Bay gave evidence that contradicted this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defence called Laurie Eaket with respect to the particular issue of the plaintiff's driving or not driving. Ms. Eaket is 47 years of age. In early 2000 she was employed at Finess Florists in Prince George, B.C. She testified to having met the plaintiff in March 2000 when the plaintiff walked in to her store, by herself, carrying a box of candles. She was there to ascertain if the florist shop would be interested in selling the candles Ms. Thiessen had apparently manufactured. Ms. Eaket spoke with the plaintiff who advised her that she had more product in her trunk if she wanted to look at them. Ms. Eaket advised the plaintiff that she was not interested. She then testified to observing the plaintiff leave, placing the box of candles on her hip, while opening the store door with one arm. She then continued to observe the plaintiff place the box of candles into the trunk of a car and then get in the driver's side of the car and drive off. She was not cross-examined.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Doreen O'Hagan was another witness called by the defence with respect to the plaintiff's contention that she was unable to drive a motor vehicle following the accident, and had not driven since that time. Ms. O'Hagan testified that she has been a school bus driver for 14 or 15 years and that in the school year 1999/2000 she was the school bus driver on the morning route that covered the plaintiff's residence on Honeymoon Drive. She testified to having driven the Thiessen girls to Kelly Road Secondary School that year on the school bus. She testified to recalling that at times in that winter the plaintiff would drive the girls to the bus stop and that she observed this on more than one occasion. She said that when she arrived with her bus the Thiessen girls would exit the car leaving the plaintiff in the driver's seat. She recalled specifically one occasion where the plaintiff waived to her and that she waived back. She testified to there being no other occupants in the motor vehicle. She was not shaken on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Kailein and Tysheina McCoy were both called as witnesses for the plaintiff. I did not find their evidence with respect to either pre- or post-condition of the plaintiff to be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Other witnesses were called over the term of this three week trial, and I do not propose to deal with them specifically.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 commenced her direct evidence advising the court that she was on medications and with respect to certain of her medications taken that day, she testified that she did not know if the medication affects her memory. In her testimony she tracked her history of immigrating to Canada with her family in June 1973 from Uganda, her attendance in school, her relationship with her commonlaw husband Edward McCoy and the birth of her two children. She described her relationship with Gerald Thiessen, their marriage, his back injury in 1996 and Mr. Thiessen's recovery from his back injury and the family responsibilities that were taken over by her as a result. She described her hysterectomy operation of April 15, 1996 and complications that occurred relating to it. She described the type of bookkeeping work she did for her husband's business but around the time of the accident this work dealt primarily with filings on behalf of a one-man company, including WCB and GST filings.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She described her physical condition as a result of the accident consisting of an inability to get out of bed, her body not absorbing nutrients, and being provided a prescription for severe depression. According to Ms. Thiessen at the outset she stated that the day following the motor vehicle accident she noted that her husband was not as caring towards her and that his attitude towards her got worse on the day they continued their journey to Vancouver. She said how upsetting she found this reaction. She described how, as a result of the accident, she felt confused, would get mad easily, and was, immediately following the accident, in a state of being terrified all the time and that these feelings have not changed. She described how if she did have fights with her husband those fights started after the return from Vancouver following the MVA, and in her words "because of my mental illness and Gerald Thiessen's physical injury". She described how shortly after the accident she felt severe pain in her shoulders, neck and the back of her legs. She also described how the day following the accident she was subject to flash backs which she described as thinking that other vehicles were going to hit them and described that flash back as going right back to being stuck in her mother-in-law's automobile.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She also described a driving phobia associated with a vehicle sliding, which she described as being on ice, and that somehow she referred to winter conditions and rain and being unable to stop. This, of course, is unrelated to the MVA in question which happened on a summer evening, but of course, there would have been some sliding of the vehicle. She described how she attended physiotherapy and counselling following the accident, and as a result of the counselling felt stronger and able to make some improvements in her life, although in her words, since the accident she easily becomes confused. She commented in particular that since the accident she is unable to shut up, that she paces, and yells. As indicated earlier, similar of these traits were noted pre-accident. The plaintiff described how she had difficulties with Dr. Schokking starting in November 1999 and because of those difficulties changed doctors. She testified how she attended on various doctors, including Dr. Shahnawaz, Dr. Grobbelaar and Dr. Brink.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Under further direct examination she was asked about stress in her life prior to the MVA. She stated that as a result of the 1993 MVA she was involved in she was treated for depression, and also indicated that she had anxiety attacks but was unable to identify those anxiety attacks to that MVA. She described how, currently, her days are mostly the same, with a good day being when she wakes up and her body is not stiff and not in a lot of pain; while she described a bad day as waking up in pain with her body so stiff that getting out of bed is painful and, as a result, she has to use the hot tub. With respect to her mental condition on a bad day she describes it as a day when she is fighting with everybody and is agitated.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She described how she was unable to do many things at one time and that if she has two or more things to do she gets agitated. She described herself encountering pain from her neck and how, what she described as TMJ, causes headaches. Following the MVA she described how she had felt nauseous, was unable to eat, and lost some twenty pounds. As to her current position she described how her sleep continues to be affected, dependent on her mental state. With respect to her driving phobia and her inability to drive, she described how when a vehicle is approaching from behind she becomes terrified and becomes worked up. She described her current life skills and her requiring assistance with lifting, and she requires help in her kitchen. She also testified that over the years driving on highways had become a little easier for her provided she uses tranquilizers. With respect in town transportation she described how she would "freak out" when it's raining. She steadfastly maintained in her evidence that she has not driven since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herself was cross-examined at length, in particular with respect to her pre-accident conditions. Clinical records of Drs. Hagen and Schokking were put to her, starting with a December 12, 1989 entry, by her then treating physician, which indicated that she felt she was losing control and was acutely depressed. Under cross-examination she, at first, disputed that statement, but later agreed with it. She agreed that in 1997 it was a stressor for her that her husband was not working due to his back problems and the financial strains they were going through at the time. The plaintiff testified that, at that time, she had to deal with her and her husband and Mr. Thiessen's inability to work, and as a result, there was financial strain. Likewise, certain records of the PGRH were put to her regarding this time in her life, including a diagnosis of "post-traumatic stress/delayed onset".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Under further cross-examination the plaintiff agreed that she had headaches, neck pain, shoulder pain, and TMJ problems pre-accident and was taking Naproxen and would also take Tylenol 3 in combination if the Naproxen did not ease her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was subjected to intensive cross-examination regarding her pre- and post-accident physical and psychological conditions and confronted with previous sworn evidence given by her at her examination for discovery. I will deal with her evidence and my conclusions arising from that evidence later in these reasons under the heading "Issues". Suffice it to say, at this time, that it is sufficient to state that her evidence under cross-examination was replete with answers I found to be evasive and many inconsistencies were noted with respect to her previously sworn evidence on discovery and the evidence she gave at trial. These of course go to the reliability and trustworthiness of the plaintiff's evidence. When attempting to find the truth the court is required to ascertain if harmony can be found with the evidence of the plaintiff utilizing other evidence of others on the issues relative to the plaintiff's position. This becomes very important in cases such as this where the plaintiff's complaints are with respect to mental and psychological issues for which there are no objective findings upon which the court can rely. The collateral evidence is also important where continuing physical ailments are complained of when medical evidence, dating back to shortly after the MVA, would be inconsistent. This is especially so in this case where the plaintiff's credibility, reliability and trustworthiness is called into question and where there has been evidence of independent and impartial witnesses that is so contrary to the evidence of the plaintiff with respect to these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Two of Ms. Thiessen's medical treators gave evidence regarding Ms. Thiessen's pre-accident condition which I shall deal with in further detail; being Drs. Hagen and Schokking. Both generally testified that it was fair to conclude that the plaintiff did indeed have a long history of psychiatric buttons being pushed and psychiatric reactions to them. In particular, Dr. Hagen agreed that an entry that had been put to the plaintiff in her cross-examination regarding a doctor's visit for marital therapy referred to a point in time that the plaintiff was significantly stressed and under great pressure due to her husband not working and the financial stress arising from that. Dr. Schokking, in his evidence dealing with the pre-accident condition of the plaintiff, stated that the plaintiff's pre-accident medical chart was significant with respect to a psychiatric history and that there were a number of psychiatric decompensations, including the problems in her marriage. Dr. Schokking referred specifically to notations in the clinical notes (Exhibit 2, tab 1(a), page 10) where in February 1999 the plaintiff had indicated she was dying of pneumonia when she appeared to have only sinus congestion. This was seen by Dr. Schokking as an example of her histrionic personality. Dr. Schokking testified that during the course of his attendance on the plaintiff she had told him that a number of people had raped her, including her father and uncle. Dr. Schokking also testified that he found her to be an advocate, not just for herself but also for members of her family. He recalled her as a frequent attendee requesting numerous things and opined that her main complaint over the time that he treated her following the MVA was financial and that she would complain about being inadequately compensated and complain about money and lack of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Over the course of the trial I heard medical evidence from medical doctors and psychiatrists called by both the plaintiff and the defendant. The plaintiff called Dr. Catherine Hagen who, along with her partner Dr. Ian Schokking were the treating physicians of the plaintiff from shortly after 1995 when they purchased the medical practice of Dr. Paul Mallam who had treated the plaintiff for some 15 years. Dr. Hagen was called by the plaintiff while Dr. Schokking was called by the defence. In addition, the plaintiff called Dr. Griffiths, the plaintiff's treating psychiatrist since May 2006; Dr. Brink, psychiatrist, who attended the plaintiff in the year 2000 at the request of Dr. Hagen, and Dr. Singh, psychiatrist, Dr. Shahnawaz, medical doctor, and Dr. Grobbelaar, medical doctor. In addition to Dr. Schokking, the defendant called Dr. Elisabeth Zoffman, forensic psychiatrist, and in her evidence were her reports dated March 28, 2001 and September 22,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 ceased attendance at the medical offices of Dr. Hagen and Dr. Schokking in 2001. The evidence of these doctors confirm, without a doubt, that the plaintiff has had a long history of what is termed "decompensations from psychiatric stressors" before the subject motor vehicle accident. The decompensations included a diagnosis of delayed onset of post-traumatic stress disorder, made in April 1997, the loss of her family's wealth, her husband not working between 1996 and 1998, and minor health issues which were seen by the plaintiff as being possible death threatening.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Hagen agreed that it was "very fair" to say that the plaintiff had a long history of psychiatric buttons being pushed and corresponding psychiatric reactions to them. She also agreed that any experienced medical practitioner would describe the plaintiff as being difficult and a dramatic patient from the outset. Dr. Schokking added to this assessment of the plaintiff by stating that Ms. Thiessen's pre-accident medical chart was significant with respect to her psychiatric history, and he included her marriage as being a psychiatric decompensation. Again, he testified that her main complaint while she was a patient was financial and that she would complain about being inadequately compensated, complained about money and not having enough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It is sufficient to say with respect to the evidence of Dr. Brink and Dr. Zoffman that there is consensus that they all agree that the plaintiff has a histrionic personality condition, with the only disagreement being whether or not a disorder is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Schokking, in his testimony, described a histrionic situation as being a spectrum whereby many of the criteria set out in The Diagnostic and Statistical Manual of Mental Disorders ("DSM-IV") are in evidence. He testified that there was indeed overlap between having a disorder and having traits. I found his evidence with respect to the diagnostic criteria for histrionic personality disorder to be of assistance in considering the circumstances of the plaintiff immediately prior to the motor vehicle accident. The eight criteria set out in DSM-IV starts with this preamble and the following eight criteria: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pervasive pattern of excessive emotionality and attention seeking, beginning by early adulthood and present in a variety of contexts, as indicated by five (or more) of the following:</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uncomfortable in situations in which he or she is not the centre of attention;</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Interaction with others is often characterized by inappropriate sexually seductive or provocative behaviour;</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Displays rapidly shifting and shallow expressions of emotions;</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Consistently uses physical appearance to draw attention to self;</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Has a style of speech that is successfully impressionistic and lacking in detail;</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Shows self dramatization, theatricality, and exaggerated expression of emotion;</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suggestible ie. Easily influenced by others or circumstances;</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Considers relationships to be more intimate than they 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With respect to each of the eight criteria, Dr. Schokking responded to them as follows: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criteria 1 he pointed to the way that the plaintiff presented in his office over the years before and after the motor vehicle accident, pointing to the fact that when she was stressed the plaintiff desired to be the centre of attention.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criteria 2, Dr. Schokking pointed to the way the plaintiff dressed in his office as being rather suggestive.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criteria 3, he testified that she indeed did display these expression when stressed.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criteria 4, Dr. Schokking again referred to the plaintiff being dressed in a somewhat revealing manner.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criteria 5, he indicated that that criteria was met to some degree in that the plaintiff can be quite articulate.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criteria 6, Dr. Schokking testified that it was very much the way the plaintiff presented.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criteria 7, he testified that he had observed on many occasions the plaintiff's stories changing over time and he considered this to be some evidence of this criteria.</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criteria 8, Dr. Schokking agreed that the plaintiff would describe other people's relationships as being much closer than these others would describe their relationship and he noted that to have occurred with him personally when the plaintiff attempted to call him by his first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have concluded, on the basis of all the evidence I have heard, that the plaintiff indeed has a histrionic personality that predated the motor vehicle accident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Based on Dr. Schokking's own interaction with the plaintiff over the relevant times, Ms. Thiessen's life stressors over that three year period, I accept his evidence with respect to her personality traits. Essentially his conclusion was that the accident made no lasting change to the plaintiff's current psychological state. His opinion was that it was the litigation that affected her personality. Essentially, as I understood his evidence, that would correspond with his previous testimony that the plaintiff, in his attendances on her, was primarily concerned with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It is somewhat surprising that one partner of a medical practice that treated the plaintiff from time-to-time would be called by the plaintiff and the other partner by the defence. Dr. Hagen, on a review of her evidence, I find was relying heavily on the plaintiff's self-reporting and, of course, this is a flaw when one considers the credibility, trustworthiness and reliability of the person providing the self-reports. Dr. Hagen was, throughout her testimony and cross-examination, straightforward in her presentation in court and did not appear to be advocating on behalf of the plaintiff. The acceptance of the reports coming from Loretta Thiessen has, I believe, led to a flaw in the evidence of Dr. Hagen, particularly with respect to the plaintiff's functioning immediately prior to the motor vehicle accident. Dr. Hagen in fact testified that following the plaintiff's hysterectomy pre-accident the plaintiff was probably functioning at the best that she had been and was working in accounting and supporting her husband in his business. This would appear to be inaccurate given other evidence that I heard during the trial, including the fact that the plaintiff was not working in accounting until 1998 and then only marginally, and neither was she performing any bookkeeping of substance for her husband's company, which at the time was doing work, apparently solely, for B.C. Corrections and therefore would not be supporting her husband at work at all during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addition, the evidence of Gerald Thiessen, Wanda MacLean and Kathy Taylor is that at that time the plaintiff's behaviour was getting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With respect to the plaintiff's recovery from the MVA, in particular I would refer to the doctor's clinical records of August 26, 1999, where this entry appears: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Continues to use Tylenol 3 up to 8 tablets daily, for unremitting shoulder, neck and mid-back pain ... </w:t>
      </w:r>
      <w:r>
        <w:rPr>
          <w:rFonts w:ascii="arial" w:eastAsia="arial" w:hAnsi="arial" w:cs="arial"/>
          <w:color w:val="000000"/>
          <w:sz w:val="20"/>
          <w:u w:val="single"/>
          <w:lang w:val="en-US" w:eastAsia="en-US" w:bidi="ar-SA"/>
        </w:rPr>
        <w:t>Spontaneous head movement and range of motion improved, in spite of patient's assertion there is no improvement. Range of motion at the shoulder bilaterally very good when distracted by conversation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Hagen's September 30, 1999 entry, as previously indicated, discloses that the plaintiff had returned to normal activities. Dr. Hagen had made this entry based on the subjective reporting by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Improved pain and function; patient reports she has returned to normal activities including housecleaning, with the exception of vacuuming. New issue: marital conflict, concerning function in home, parenting activities, and lack of mutual attention/listening. Strongly encouraged to pursue marital therapy; referred to Walmsley &amp; Assoc.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Under cross-examination Dr. Hagen agreed that the September 30, 1999 entry demonstrated that the plaintiff had returned to all of her activities of daily living except for vacuuming and that although this did not mean that the plaintiff was 100% recovered she was on her way to having a good recovery from her physical injuries sustained in the accident. Dr. Hagen testified that she believed the plaintiff was "on track, particularly given her underlying personality of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Hagen was questioned under cross-examination with respect to significant psychiatric stressors or buttons. She agreed that stressors, including marital break-up, job loss and resultant financial consequences, alleged sexual abuse or alleged physical abuse, death in the family or serious illness in the family, can be described as those. She also agreed that if there were more than one significant psychiatric stressor when pushed at or about the same time, such as job loss with financial consequences, alleged sexual and physical abuse, and marital break-up, would all work cumulatively to most likely lead to a significant psychiatric reaction to these various buttons being pushed at or about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Hagen was also confronted with reports that she had provided to ICBC. She agreed with her March 16, 2000 report where the first period of disability was indicated to be from July 23, 1999 to October 14, 1999, relative to physical symptoms suffered in the MVA. She also agreed under cross-examination that a December 6, 1999 medical report authored by her stated that the level of marital discord was "moderate" although Mr. Thiessen had lost his job in October. She further agreed, under cross-examination, that it would have been after Mr. Thiessen lost his job when there were extreme difficulties and a severe marital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Of particular interest, in her December 6, 1999 report, Dr. Hagen essentially concluded at p. 2 that the plaintiff's scalp injury had resolved over a 3 to 4 week period, any pulmonary or chest pain had also resolved and that whiplash or bilateral neck pain radiating to the shoulders, although ongoing, had reduced in severity.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On p. 3 of that report, under the heading Diagnosis and Prognosis, Dr. Hagen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suggest that the headache frequency is dependent of the resolution of her ongoing marital and financial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Hagen also made the same comment with respect to post-traumatic stress symptoms. On cross-examination Dr. Hagen agreed that these were accurate statements and she stood by those statements as the plaintiff's ongoing marital and financial issues were, at that time, the most significant issues facing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Shahnawaz, the current treator of the plaintiff, also provided evidence. Regretfully, he also relied on the plaintiff's self-reporting either to himself, or to other doctors, as set out in the plaintiff's medical records. He too, I find, made an error in accepting what she told him to conclude that immediately prior to the accident the plaintiff was functioning at a normal level, both socially and at home. It is to be recalled that when he first saw the plaintiff in 2002 it was some three years after the accident and his information was taken, primarily, from the plaintiff directly in forming his opinion of the plaintiff. He did realize there were differences between what the plaintiff had told him and what was revealed in Dr. Hagen's records, primarily with respect to personality traits or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Likewise under cross-examination Dr. Shahnawaz testified as to "relying on what Ms. Thiessen told him as being accurate and reliable". As a busy family practitioner he relied heavily on what psychiatrists had said relating to Ms. Thiessen's psychiatric issues. He too agreed that it was necessary to look at a patient's history to see what psychiatric stressors have occurred in an individual's life and that it would be realistic to expect a similar response of psychiatric illness in the future, as in loss of financial wellbeing, as had been experienced by the same patient in the past. Given his complete reliance on the information provided by the plaintiff, I have concluded that the weight of his opinion must also be suspect.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Brink, psychiatrist, was the last medical doctor/psychiatrist to be called by the plaintiff. He saw her following a referral from Dr. Hagen in 2000. He too relied on the self-reporting of the plaintiff to be accurate as to the underlying facts to his opinions. It became clear in cross-examination of Dr. Brink that the plaintiff's self-reporting was consistent with the information that she provided to Dr. Hagen, in that they were not accurate. Under cross-examination Dr. Brink agreed that his goal on the referral was limited to treatment and that he did not practice at all in the area of psychiatry practised by Dr. Zoffman whose speciality is forensic psychiatry.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Brink explained under cross-examination how his attendances on Ms. Thiessen were time limited, which not only limited his time with her but also time to review any materials or facts with respect to the plaintiff. While he testified that he did not necessarily accept Ms. Thiessen's history as being accurate he did accept it for the purpose for which she was referred to him, namely treatment. Due to time constraints he did not review the PGRH file and he was not provided with the file materials of family doctors Hagen and Schokking. He also agreed with the list of significant psychological stressors that had been put to previous witnesses. He agreed that his working diagnosis of post-traumatic stress was not made in the context of a formal disorder as indicated under DSM-IV, and that he did not go through the factors of the DSM-IV to get the diagnosis and that his working diagnosis was only a provisional diagnosis for the purpose of setting up a treatment plan at the time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Brink certainly agreed that his working diagnosis of post-traumatic stress disorder relied heavily on Ms. Thiessen having provided him with accurate and reliable information. He also agreed that with respect to the major psychological stressors of job loss and resultant financial difficulties it is necessary to look at the history to see if this has happened in the past and what the patient's response was at that time to determine what the likely response would be in the future to similar stressors.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Generally, I have concluded that Dr. Brink's "working diagnosis" must give way to what I would term the more enlightened conclusions reached by Dr. Zoffman. To a similar extent, I have concluded that the evidence of Dr. Brenda Griffiths, the plaintiff's present treating psychiatrist, and her opinion filed in these proceedings, must be given very little weight. Under cross-examination Dr. Griffiths agreed that the psychiatric history of the patient, the patient's underlying personality especially with respect to coping ability, and continuing sequelae from various stressors are all relevant information to forming an opinion. With respect to Ms. Thiessen's psychiatric history it was clear that Dr. Griffiths was not aware of relevant evidence brought forward during the trial, nor was she aware of relevant evidence respecting the patient's underlying personality and pre-accident history which were dealt with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Again, with respect to Dr. Griffiths' evidence, it was abundantly clear that she, like other doctors in Prince George, relied only on what the plaintiff told her and her predecessors to be accurate, even though, according to Dr. Griffiths, she recognized that the plaintiff was not a good historian. As a result, I have concluded that Dr. Griffiths' opinion should not be relied upon because she did not have an accurate presentation or understanding of the plaintiff's psychiatric history nor her underlying personality. An example of this can be found in the fact that Dr. Griffiths was not aware of what the evidence discloses to be years of screaming matches prior to the accident, and personality ups and downs. Regretfully, although Dr. Griffiths attempted to obtain her pre-accident history from the plaintiff, she was unable to be provided with straight answers from the plaintiff and, as a result, it would appear that Dr. Griffiths relied on information which was subsequent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Under cross-examination Dr. Griffiths was referred to many pre-accident clinical entries of the family physicians, some of which I have already referred to. She acknowledged as relevant and agreed that a person with such personality traits fits part of the criteria of a histrionic disorder as discussed in DSM-IV. As with other psychiatrists and doctors cross-examined by the defence, Dr. Griffiths agreed that the most stressful psychiatric buttons are marital discord, death in the family, sexual abuse, loss of job and the financial consequences arising from same. She agreed that the circumstances of the plaintiff, including her marital breakdown with Gerald Thiessen, the alleged abuse by her husband, the harassment by Gerald Thiessen, the problems with her daughters, her father's massive heart attack and her mother's death, together with Gerald Thiessen losing his job in October 1999 and the financial fallout from the loss of his job, would all be relevant psychiatric "buttons" or "stressors".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Finally, taking into account the complete history of the plaintiff, including the family fleeing Uganda and the loss of its wealth, and then again in 1997 the loss of the ability of her husband to work, both in 1997 and in 1999, and the consequent loss of wealth, would be serious stressors to Ms. Thiessen because she had experienced the stressor of loss of wealth going back to when she was a young child and the family had emigrated to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evidence of Dr. Grobbelaar must also be found to be not worthy of weight because he too did not have all relevant facts or information and he agreed under cross-examination that he accepted the history Ms. Thiessen provided as being accurate. He too was provided with very little information from the family doctor, and in fact, had relied on the provisional conclusion made by Dr. Brink in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now turn to the evidence provided by Dr. Zoffman, at trial, and in her two reports dated March 28, 2001 and September 22,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Zoffman was the only forensic psychiatrist to interview the plaintiff. Her first report followed an independent medical assessment conducted by Dr. Zoffman on October 27, 2000 over a period of some four hours. At that interview she was provided with a lengthy binder of materials forwarded by Mr. Dunn, counsel for Mr. Kover, and in addition had updated records from the PGRH together with a list of background information and assumptions. As well she was in receipt of statements of the plaintiff dated August 13, 1999 and September 22, 1999. Mr. Dunn laid out some nine assumptions upon which Dr. Zoffman was told she could rely on. Those assumptions were established during the trial of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Zoffman practises forensic psychiatry and is a clinical assistant professor of psychiatry at the University of British Columbia. She teaches forensic psychiatry to senior residents and clinical fellows. Since September 2005 she has practised as a full time forensic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Zoffman's first report concludes that she was unable to illicit sufficient symptoms for the indicia of post-traumatic stress disorder. She was unable to conclude that flashbacks referred to by Ms. Thiessen were really flashbacks because flashbacks require some re-experiencing of some element of trauma as though it was actually occurring and happening. She concluded that flashbacks, as understood by psychiatrists, were not made out by the information provided over her four hour interview. In addition, with respect to the driving anxiety expressed by Ms. Thiessen in her interview and subsequently at trial, Dr. Zoffman concluded that the driving anxiety and the driving phobia described must be questioned in light of the collateral evidence, being the evidence of the florist Ms. Eaket and the school bus driver Ms. O'Hagan.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addition, Dr. Zoffman explained histrionic and narcissistic personality traits. She described histrionic traits as presenting the cognitive style of the vague, imprecise statements that are put very dramatically and which lack details. This personality trait also includes a process of claiming people to be your friends or terrible enemies, and the drama of the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This evidence I found to be an accurate description of Ms. Thiessen's presentation at trial and represents a fairly accurate description of the clinical records referred to in trial. Dr. Zoffman, in her March 28 report, concluded that throughout the course of the four hour interview Ms. Thiessen clearly had a tendency to histrionically dramatize her story and, at p. 22 of that report, provided examples of those histrionic dramatizations. Commencing at p. 23 of her March 28, 2001 report, Dr. Zoffman described Ms. Thiessen's current stressors, at that time, as being her marital break-up and the difficulties in her relationships with her daughters as well as a recent move and financial difficulties. She then went on to rule out post-traumatic stress symptoms possibly related to the MVA. At p. 23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Mrs. Thiessen is vulnerable to a re-exacerbation of the underlying difficulties experienced prior to the July 23, 1999 accident. Due to the unreliability of the history, it is hard to say how much of her pre-existing history (fleeing from Uganda, sexual assault, physical assault from father and ex-husband) have contributed to her stress vulnerability and have effectively made her symptoms pre-existent.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As previously indicated she also, under the heading diagnosis, concluded that because of the collateral evidence regarding her driving, the reliability of a history of a driving phobia must be questioned. At p. 25 she commented, with respect to the stressors on Ms. Thiessen,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stressors for this woman in the context of her personality functioning have been quite marked. These include the motor vehicle accident in July, 1999. Further, her on-going marital difficulties, her difficult relationship with her daughters, financial stressors and on-going perceived pain are significant to her current level of dysfunction. Further, the intervening variable of on-going litigation is both a complicating and stress inducing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With respect to causation regarding the diagnosis of anxiety and depression, Dr. Zoffman stated, at p. 25 and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diagnosis of anxiety and depression, the clinical records indicate that Mrs. Thiessen had significant past problems with depression and anxiety which required medical and pharmacological intervention. The underpinnings of her depression in the past have been multifactorial. She has been affected by a number of psychosocial stressors and difficulties in her relationships. The problems with anxiety, insomnia and feeling "on edge" were documented up to February/March 1998.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information regarding her mood state in the 6-9 months prior to her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post-motor vehicle accident records indicate that Mrs. Thiessen was experiencing a reasonable trajectory of recovery until she started experiencing marital problems. She states that the marital problems occurred in the context of on-going pain and discomfort.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appear that Mrs. Thiessen's low mood and anxiety problems steadily increased from October/November, 1999 until the early summer of 2000.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of the opinion that Mrs. Thiessen's difficulties with anxiety and depression are largely pre-existent. However, one cannot reasonably state that the pain and disability and increased anxiety related to the experience of the motor vehicle accident have not had a role to play in the mental and emotional turmoil of the past year and a half. However, given this woman's past history of significant episodes of anxiety and mood changes and her exquisite sensitivity to real or perceived abandonment, she would be at high risk of recurring episodes of anxiety and depression over the course of her lifetime.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With respect to post-traumatic stress, at p. 26, Dr. Zoffman commented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diagnosis of Post Traumatic Stress symptoms, I am of the opinion that the experience that Mrs. Thiessen had of the July 23, 1999 accident would have been quite frightening for her. As outlined above in my report, it is unclear exactly what the sequelae of the increased fear/anxiety have been. Mrs. Thiessen was vulnerable to developing further episodes of Post Traumatic Stress Disorder based upon her personality construct as well as the history available in the clinical notes indicating that she had experienced similar symptoms after the first motor vehicle accident in 1993. Due to factors of questionable reliability, it is difficult to quantify the contribution of prior experiences of sexual abuse and the traumatic disruption of becoming a refugee.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Overall, Dr. Zoffman concluded in March 2001 that Ms. Thiessen was clearly dysfunctional based on her interview and what was reflected in the clinical notes of her family doctors: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her difficulties stem chiefly from personality issues and are related to the adjustments that she is having to make as a result of marital breakdown, separation from her daughters, change in her living situation and financial stressors.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further stated at p.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is no doubt that she suffers from anxiety and depression and she is much more vulnerable to these conditions as a result of her personality construct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At that time, with respect to a return to work, Dr. Zoffman concluded that there was not enough reliable information to form an opinion on a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With respect to a possible brain injury, she concluded that the problems exhibited by Ms. Thiessen following the accident were more typical of an adjustment disorder or depression than of a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As a result of a request for an updated opinion from counsel for the defence, a further report of September 22, 2003, was furnished. Mr. Dunn also provided updated clinical files and the reports provided by Dr. Hagen (March 16, 2000) and Dr. Shahnawaz. In addition, further information arising from discoveries conducted in 2003 by counsel for the defence were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answer to a question from Mr. Dunn as to whether or not the new information including the discovery evidence outlined in Mr. Dunn's letter confirm her previous opinions set out in her March 2001 report,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additional documents and the discovery information do not substantially change the opinions outlined in my March 28, 2001 report. Post Traumatic Stress symptoms (but not disorder) were present during the October 2000 evaluation. The evaluations that have been done subsequently do not document the necessary diagnostic criteria and Ms. Thiessen's ongoing psychiatric symptoms appear to more relate to chronic social and familial stressors.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additional inconsistencies in her information further confuse the picture with regard to traumatic stress reactions. The information just revealed about sexual assault by her husband in the fall of 1999 would have a significant effect on her psychological functioning. Likewise, the history of violence and harassment from Gerald Thiessen after their separation would be relevant to her clinical condition. There is no clarity about the presence or absence of childhood sexual abuse or violence at the hands of her father. While she told me that she had not actually witnessed any violence in Uganda she had told Dr. Grobbelaar subsequently that she did (finding the origins of her fear).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At p. 9, para. 4, she was asked to comment as to what Ms. Thiessen would be like but for the accident. She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July 1999 accident added to her burden of physical injury and, for a period of time impaired her coping abilities. She may have had some post traumatic symptoms (not disorder) that were an expected response to the accident in the context of the PTSD she suffered in 1993. Her history about other traumas is unreliable as she asserts and retracts these stories at different times. Her psychological functioning after the fall of 1999 appears to be determined by family and marital issues.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note that she was still working on starting a business before the accident and her employment was related to keeping her husband's books. She has not been thus employed since the 1999 MVA. She revealed in interview that she and her family were working on starting a business making bubble bath, she had contracts with some Dollar Stores' and was waiting to see where this was going. Thus it would appear that she was making similar efforts at self-employment in 2000. There has been a decline in her functioning since 2000. She has been receiving home help, she is receiving a Disability II welfare pension and her doctor's notes reveal application for a Handydart pass. This decline in her function is related to personality disorder and mental illness issues that are arising in the context of ongoing life stressors. I am of the opinion that her current condition is largely determined by her pre-existing psychological condition which consists of Mixed Personality Disorder (Cluster B Traits) and a propensity for depression and anxiety. The accident was a stressor, which caused physical and psychological problems (anxiety, fear of driving). However the subsequent events in her life and her response to these events, which flow from her underlying personality, largely determine her current psychological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Finally, at p. 11 Dr. Zoffman encapsulated her opinion of the plaintiff's condition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inconsistencies reflect this woman's underlying personality and her manner of coping with her world. The histrionic style focuses on and magnifies current events and complaints and the cognitive style is to globalize the problem. That means that they lose sight of the fact that the problem or symptom began at a certain point and may have ended at another. They recollect them as though they have always been present and attribute them to psychologically significant events. Ms. Thiessen also appears to have a tendency to dramatize events in her past - thus the events Uganda (which are distressing enough on their own) get embellished to witnessing massacres that she has been told about or read about. This process may well also underpin the stories of sexual abuse she brought out in 1997 (collateral from the sister alleged to have brought this out would be helpful).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Ultimately, the discrepancies between her self-report and objective findings and the different versions of her self-report make it difficult to come to firm diagnostic conclusions about her various diagnoses.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These opinions were maintained by Dr. Zoffman at trial. Under extensive cross-examination plaintiff's counsel addressed the records that had been provided to Dr. Zoffman, but I have concluded there was no suggestion of any particular documents that were not provided to Dr. Zoffman that would have been relevant or would have changed the opinions set out by Dr. Zoffman in her two reports. She also noted that although she had been provided with information through Mr. Dunn of Ms. Thiessen's examination for discovery, Dr. Zoffman had determined that it would be hard to rely on this information given the source being Ms. Thiessen. She did however confirm essentially what was contained in her opinion, that she was not saying that the 1999 MVA did not have any role in her condition. This one role related to Ms. Thiesson's alleged inability to drive if one accepted what the plaintiff said as being reliable and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issues arising out of this law suit consist of the following -</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truthfulness and reliability of the plaintiff;</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reliability of the evidence of various witnesses, taking into account that the trial was heard some eight years after the motor vehicle accident;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reliability and credibility issues regarding the plaintiff's testimony, what were the plaintiff's medical and psychiatric conditions following the accident;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causes of the plaintiff's medical and psychiatric conditions given her abundant pre-accident psychiatric history and personality, her life style and family issues, and the post-accident psychiatric "buttons" or "stressors" which may be real in fact, or as submitted by the defence, "part of the plaintiff's subjective reality".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After making conclusions with respect to the above, then the principle question for the court is to determine the proper measure of damages to return the plaintiff to her "original position" or what her position would have been both psychologically and physically "but for" the motor vehicle accident. The plaintiff, in counsel's written submissions of October 5, 2007, conceded at para. 128: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That due to her memory and emotional difficulties that her evidence alone was not sufficient to meet the burden of proof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But nevertheless the plaintiff goes on to ask the court to accept the plaintiff's evidence in preference to other witnesses called by the defence, including the evidence of Mr. Strom and Gerald Thiessen as to activities in the tow yard the day following the accident; Mr. Thiessen's further evidence where he stated that there were problems between himself and the plaintiff for about a year up to when they finally separated; the school bus driver, Doreen O'Hagan, and Laurie Eaket as to the plaintiff's post-accident driving which has been denied by the plaintiff throughout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The issue of the plaintiff's credibility is central to this case because the accuracy, truthfulness and reliability of the plaintiff's self-reporting is so important as the medical evidence relied on by the plaintiff in the presentation of her case is either based entirely on the self-reporting of the plaintiff, either directly or indirectly. Perhaps the best and most widely used statement regarding credibility in this province is found in </w:t>
      </w:r>
      <w:r>
        <w:rPr>
          <w:rFonts w:ascii="arial" w:eastAsia="arial" w:hAnsi="arial" w:cs="arial"/>
          <w:b/>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250"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where at p. 356 O'Halloran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Opportunities for knowledge, powers of observation, judgment and memory, ability to describe clearly what he has seen and heard, as well as other factors, combine to produce what is called credibility, and cf. </w:t>
      </w:r>
      <w:r>
        <w:rPr>
          <w:rFonts w:ascii="arial" w:eastAsia="arial" w:hAnsi="arial" w:cs="arial"/>
          <w:i/>
          <w:color w:val="000000"/>
          <w:sz w:val="20"/>
          <w:lang w:val="en-US" w:eastAsia="en-US" w:bidi="ar-SA"/>
        </w:rPr>
        <w:t>Raymond v. Bosanquet</w:t>
      </w:r>
      <w:r>
        <w:rPr>
          <w:rFonts w:ascii="arial" w:eastAsia="arial" w:hAnsi="arial" w:cs="arial"/>
          <w:color w:val="000000"/>
          <w:sz w:val="20"/>
          <w:lang w:val="en-US" w:eastAsia="en-US" w:bidi="ar-SA"/>
        </w:rPr>
        <w:t xml:space="preserve"> (1919), 50 D.L.R. 560 at p. 566, </w:t>
      </w:r>
      <w:hyperlink r:id="rId349" w:history="1">
        <w:r>
          <w:rPr>
            <w:rFonts w:ascii="arial" w:eastAsia="arial" w:hAnsi="arial" w:cs="arial"/>
            <w:i/>
            <w:color w:val="0077CC"/>
            <w:sz w:val="20"/>
            <w:u w:val="single"/>
            <w:shd w:val="clear" w:color="auto" w:fill="FFFFFF"/>
            <w:lang w:val="en-US" w:eastAsia="en-US" w:bidi="ar-SA"/>
          </w:rPr>
          <w:t>59 S.C.R. 452</w:t>
        </w:r>
      </w:hyperlink>
      <w:r>
        <w:rPr>
          <w:rFonts w:ascii="arial" w:eastAsia="arial" w:hAnsi="arial" w:cs="arial"/>
          <w:color w:val="000000"/>
          <w:sz w:val="20"/>
          <w:lang w:val="en-US" w:eastAsia="en-US" w:bidi="ar-SA"/>
        </w:rPr>
        <w:t xml:space="preserve"> at p. 460, </w:t>
      </w:r>
      <w:hyperlink r:id="rId349" w:history="1">
        <w:r>
          <w:rPr>
            <w:rFonts w:ascii="arial" w:eastAsia="arial" w:hAnsi="arial" w:cs="arial"/>
            <w:i/>
            <w:color w:val="0077CC"/>
            <w:sz w:val="20"/>
            <w:u w:val="single"/>
            <w:shd w:val="clear" w:color="auto" w:fill="FFFFFF"/>
            <w:lang w:val="en-US" w:eastAsia="en-US" w:bidi="ar-SA"/>
          </w:rPr>
          <w:t>17 O.W.N. 295</w:t>
        </w:r>
      </w:hyperlink>
      <w:r>
        <w:rPr>
          <w:rFonts w:ascii="arial" w:eastAsia="arial" w:hAnsi="arial" w:cs="arial"/>
          <w:color w:val="000000"/>
          <w:sz w:val="20"/>
          <w:lang w:val="en-US" w:eastAsia="en-US" w:bidi="ar-SA"/>
        </w:rPr>
        <w:t>. A witness by his manner may create a very unfavourable impression of his truthfulness upon the trial Judge, and yet the surrounding circumstances in the case may point decisively to the conclusion that he is actually telling the truth. I am not referring to the comparatively infrequent cases in which a witness is caught in a clumsy lie.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credibility of interested witnesses, particularly in cases of conflict of evidence, cannot be gauged solely by the test of whether the personal demeanour of the particular witness carried conviction of the truth. The test must reasonably subject his story to an examination of its consistency with the probabilities that surround the currently existing conditions. </w:t>
      </w:r>
      <w:r>
        <w:rPr>
          <w:rFonts w:ascii="arial" w:eastAsia="arial" w:hAnsi="arial" w:cs="arial"/>
          <w:color w:val="000000"/>
          <w:sz w:val="20"/>
          <w:u w:val="single"/>
          <w:lang w:val="en-US" w:eastAsia="en-US" w:bidi="ar-SA"/>
        </w:rPr>
        <w:t>In short, the real test of the truth of the story of a witness in such a case must be its harmony with the preponderance of the probabilities which a practical and informed person would readily recognize as reasonable in that place and in those conditions</w:t>
      </w:r>
      <w:r>
        <w:rPr>
          <w:rFonts w:ascii="arial" w:eastAsia="arial" w:hAnsi="arial" w:cs="arial"/>
          <w:color w:val="000000"/>
          <w:sz w:val="20"/>
          <w:lang w:val="en-US" w:eastAsia="en-US" w:bidi="ar-SA"/>
        </w:rPr>
        <w:t>. Only thus can a Court satisfactorily appraise the testimony of quick-minded, experienced and confident witnesses, and of those shrewd persons adept in the half-lie and of long and successful experience in combining skilful exaggeration with partial suppression of the truth. Again a witness may testify what he sincerely believes to be true, but he may be quite honestly mistaken. For a trial Judge to say "I believe him because I judge him to be telling the truth", is to come to a conclusion on consideration of only half the problem. In truth it may easily be self-direction of a dangerous kind.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trial Judge ought to go further and say that evidence of the witness he believes is in accordance with the preponderance of probabilities in the case and, if his view is to command confidence, also state his reasons for that conclusion. The law does not clothe the trial Judge with a divine insight into the hearts and minds of the witnesses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addition, as it is with all cases that depend on self-reporting (ie. where there are no observable physical injuries) the truthfulness of the plaintiff must also be viewed objectively. I again turn to the testimony of Kathy Taylor of what occurred between her and the plaintiff in August 1999. According to Ms. Taylor the plaintiff had asked Ms. Taylor to provide a letter for her stating that Ms. Taylor would hire her on a full time basis when Ms. Thiessen knew that this simply was not true. It must also be recalled that Kathy Taylor, in addition, gave evidence that when she refused the plaintiff became very angry with her for not providing such a letter. Kathy Taylor also testified that the plaintiff had told her that she believed she was under surveillance by ICBC and, as a result, she told Kathy Taylor that she was unable to do things, like carry groceries, because if she was seen doing this activity it would lessen what her case was worth. This evidence must also be considered in light of what Gerald Thiessen had testified to, namely that in or about August 1999 or a month after the MVA, she had told him that they should separate in order to increase her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Similarly, the post-accident driving, which has been repeatedly denied by Ms. Thiessen, is contrary to the evidence of the school bus driver Ms. O'Hagan and the florist worker Ms. Eaket. While one may be able to differ with another on what was said at a particular time, the observation of driving is a fact without any subjective interpretation involved. It is also important, in this case, to note that Ms. Eaket was not cross-examined with respect to her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Under the heading of truthfulness, one must also consider the evidence of the plaintiff with respect to employment and her claims regarding lost employment as a result of the accident. When the plaintiff was under cross-examination regarding the fact that she did not have any available work when TKT Plumbing and Heating was no longer operating and her other part-time employment with Ms. Cramer was no longer available, she testified that Mr. Vic Schwab, a well-known chartered accountant in Prince George, was a friend who she saw socially who would have hired her. Mr. Schwab was called as a witness by the plaintiff and regretfully for the plaintiff gave evidence to the contrary. He stated, in cross-examination, that in total he had talked to the plaintiff some two times, one being in the fall of 1998 and the other being a very brief meeting when the plaintiff dropped off Ms. Cramer's company books at his office. His only contact with the plaintiff was professional contact as a result of his acting for Ms. Cramer.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With respect to the truthfulness of the plaintiff, I have determined that the totality of the evidence makes it inescapable that the plaintiff has been untruthful and her credibility is in question when one compares her evidence at trial with what she has, I believe, said to others in assessing its harmony with what others have stated. The reliability of the plaintiff is certainly also very questionable.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plaintiff stated that the pre-accident state of her marriage to her husband Gerald Thiessen was "good", although she confirmed that Mr. Thiessen gave her an ultimatum for her to quit her drinking or he would leave. The fact of a good marriage was also contrary to the evidence of her husband, including various friends and neighbours who, as indicated, provided evidence of the plaintiff's behaviour and that the marriage was not good and was getting worse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Ms. Thiessen also gave contrary evidence as to her functional abilities and activities at the tow yard the day after the accident which evidence is contrary to that of Orval Strom, the tow truck operator, and Mr. Thiessen.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addition, the December 12, 1989, clinical note which was put to her regarding her feelings of losing control and being acutely depressed was disputed at first, but then, the plaintiff changed her mind when it was noted that she was on leave from work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Various issues involving the answers that she gave at her examination for discovery and the evidence that she gave at trial were brought home to her in cross-examination. For instance, with respect to a clinical entry dated August 26, 1999, relative to a possible return to work as early as the next week, the plaintiff stated at trial that it was Dr. Schokking who kept telling her "a little longer Loretta" when she wanted to know when she could go back to work. At her examination for discovery she had testified that it was Dr. Schokking who was suggesting that she go back to work. In cross-examination she was asked if her examination for discovery answers were true, and she merely replied "yes, at that time" but that she was intoxicated while being discovered and that now, at trial, she believed it was untrue.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 similar event occurred with respect to the issue as to whether or not she had sustained sexual abuse as a child. During trial the plaintiff testified that it was in fact Gerald Thiessen's sister, Wanda MacLean, who was sexually abused as a child. Thereafter, another portion of her examination for discovery testimony was put to her with that excerpt being that it was her sister who was sexually abused. The plaintiff merely stated at trial that those answers were true "when I gave you these answers in 2003, but I could not make sense of it right now. At the time they were true but not true today". Again, with further cross-examination regarding her hysterectomy in 1996 and evidence concerning that given at her discovery, she again stated that she believed her answers given at the discovery were true at that time, but that she was medicated and intoxicated.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Further, under cross-examination, it was put to her that she had told Dr. Zoffman that a doctor had prescribed marihuana for her, but conceded at trial that it was not prescribed for her, but that a neurologist had mentioned marihuana for pain control prior to her meeting her husband in 1990. At discovery she said that the only person she remembered advising her to smoke marihuana was her husband. Again at trial she merely stated that she believed that to be true at the time. Similarly, with respect to her attendance at the tow yard at Logan Lake following the accident, she agreed that she was looking for a knitting needle and that she went inside the damaged vehicle. She denied that she was crawling around in the vehicle as she would not be able to breathe if she did that. She was again referred to evidence from her examination for discovery where she had stated that she was doing precisely that. She again stated that her answers were true at that time but that she was very intoxicated.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A similar response was made by the plaintiff with respect to a September 30, 1999 clinical entry where her self-reporting had led to the following entry: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Improved pain and function; patient reports she has returned to normal activities including house cleaning, with the exception of vacuuming. New issue: marital conflict, concerning function in home, parenting activities, and lack of mutual attention/listening. Strongly encouraged to pursue marital therapy; referred to Walmsley &amp; Associates.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When put to her that her answers at the examination for discovery were true, namely that she told Dr. Hagen that she felt better such that she was able to return to normal activities, she merely stated that it was what she believed on that day but not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Another aspect that tests the reliability of the plaintiff is the stressor that lack of employment income can bring to a family unit. Contrary to the evidence of Gerald Thiessen and other lay witnesses, Ms. Thiessen originally said that even with Mr. Thiessen's job loss they were secure financially because they had sold assets such as a tractor trailer and had lived-off credit cards. She was directed to answers provided at her examination for discovery, namely that Mr. Thiessen's job loss was very difficult for both she and her husband. Again she stated the answers were true at the time. It is clear from the evidence of her treating doctors that the financial loss they were experiencing as a family unit was stated as being very stressful on the plaintiff. Mr. Thiessen, under cross-examination, had also confirmed that when he was not working that was a difficult time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These are but some of the testimony given by the plaintiff at trial on which she was confronted with sworn evidence given at her examination for discovery. My conclusion is that the plaintiff's evidence is unreliable and therefore the essence of what she told her treators over the years primarily up to when this action was in reasonable contemplation by the plaintiff can only be treated with caution objectively and must be viewed in light of her own personality makeup. I have no reason to disbelieve the evidence of Gerald Thiessen. His evidence of the plaintiff suggesting they separate in August 1999 to increase the legal claims regarding the trial can, in my view, be utilized as the date upon which litigation was being contemplated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CONCLUSIONS WITH RESPECT TO THE MEDICAL EVIDENCE PRIMARILY WITH RESPECT TO PSYCHIATRIC OR PSYCHOLOGICAL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As I have already stated at the beginning of these reasons, the basic test for determining causation remains the "but for" test. This applies to multi-cause injuries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13-14). Throughout, the plaintiff bears the burden of showing that "but for" the negligent act or omission of a defendant, the injury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In the recent decision of </w:t>
      </w:r>
      <w:r>
        <w:rPr>
          <w:rFonts w:ascii="arial" w:eastAsia="arial" w:hAnsi="arial" w:cs="arial"/>
          <w:b/>
          <w:i/>
          <w:color w:val="000000"/>
          <w:sz w:val="20"/>
          <w:lang w:val="en-US" w:eastAsia="en-US" w:bidi="ar-SA"/>
        </w:rPr>
        <w:t>Hanke v. Resurfice Corp.</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at para. 23, the Supreme Court of Canada commented, with respect to this rule,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recognizes that compensation for negligent conduct should only be made "where a substantial connection between the injury and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p. 327, per Sopinka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the Supreme Court of Canada also dealt with the issue of legal causation and was commented on extensively. In that decision the Court confirmed that prior causes and subsequent causes of damages must be taken into account by the trial judge even though it may be difficult to do so where there are multiple causes. In this regard, Chief Justice McLachlin stated at para. 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Untangling the different sources of damage and loss may be nigh impossible. Yet the law requires that it be done, since at law a plaintiff is entitled only to be compensated for </w:t>
      </w:r>
      <w:r>
        <w:rPr>
          <w:rFonts w:ascii="arial" w:eastAsia="arial" w:hAnsi="arial" w:cs="arial"/>
          <w:i/>
          <w:color w:val="000000"/>
          <w:sz w:val="20"/>
          <w:lang w:val="en-US" w:eastAsia="en-US" w:bidi="ar-SA"/>
        </w:rPr>
        <w:t>loss caused by the actionable wrong</w:t>
      </w:r>
      <w:r>
        <w:rPr>
          <w:rFonts w:ascii="arial" w:eastAsia="arial" w:hAnsi="arial" w:cs="arial"/>
          <w:color w:val="000000"/>
          <w:sz w:val="20"/>
          <w:lang w:val="en-US" w:eastAsia="en-US" w:bidi="ar-SA"/>
        </w:rPr>
        <w:t xml:space="preserve">. It is the "essential purpose and most basic principle of tort law" that the plaintiff be placed in the position he or she would have been in had the tort not been committed: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(SCC),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Further, commencing at para. 78 to 81, Madam Justice McLachlin, in her reasons,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78 It is important to distinguish between causation as the source of the loss and the rules of damage assessment in tort. The rules of causation consider generally whether "but for" the defendant's acts, the plaintiff's damages would have been incurred on a balance of probabilities.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Mr. Barney's submissions that injury from traumas other than the sexual assault should not be excluded amount to the contention that once a tortious act has been found to be a material cause of injury, the defendant becomes liable for all damages complained of after, whether or not the defendant was responsible for those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79 At the same time, the defendant takes his victim as he finds him - the thin skull rule. Here the victim suffered trauma before coming to AIRS. The question then becomes: what was the effect of the sexual assault on him, in his already damaged condition? The damages are damages caused by the sexual assaults, not the prior condition. However, it is necessary to consider the prior condition to determine what loss was caused by the assaults. Therefore, to the extent that the evidence shows that the effect of the sexual assaults would have been greater because of his pre-existing injury, that pre-existing condition can be taken into account in assessing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80 Where a second wrongful act 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occurs after or along with the first wrongful act, yet another scenario, sometimes called the "crumbling skull" scenario, may arise. Each tortfeasor is entitled to have the consequences of the acts of the other tortfeasor taken into account. The defendant must compensate for the damages it actually caused but need not compensate for the debilitating effects of the other wrongful act that would have occurred anyway. This means that the damages of the tortfeasor may be reduced by reason of other contributing causes: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at paras. 32-36.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81 All these scenarios flow from the basic principle that damages must seek to put the plaintiff in the position he or she would have been in but for the tort for which the defendant is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In addition to these comments by Chief Justice McLachlin it is also important to again consider the statements of Lambert J.A. in </w:t>
      </w:r>
      <w:r>
        <w:rPr>
          <w:rFonts w:ascii="arial" w:eastAsia="arial" w:hAnsi="arial" w:cs="arial"/>
          <w:b/>
          <w:i/>
          <w:color w:val="000000"/>
          <w:sz w:val="20"/>
          <w:lang w:val="en-US" w:eastAsia="en-US" w:bidi="ar-SA"/>
        </w:rPr>
        <w:t>Yoshikawa v. Yu</w:t>
      </w:r>
      <w:r>
        <w:rPr>
          <w:rFonts w:ascii="arial" w:eastAsia="arial" w:hAnsi="arial" w:cs="arial"/>
          <w:color w:val="000000"/>
          <w:sz w:val="20"/>
          <w:lang w:val="en-US" w:eastAsia="en-US" w:bidi="ar-SA"/>
        </w:rPr>
        <w:t xml:space="preserve"> set out in these reasons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Thus, if there is some realistic chance that the plaintiff's condition would have occurred at some point in the future without the accident, including consideration of intervening events unrelated to the motor vehicle accident, this will affect the quantum of damages. Thus the real legal issue with respect to the psychiatric issues is whether or not the evidence supports the proposition that the plaintiff would likely have suffered from the psychiatric illness or conditions she now has if the accident had never occurred, and if so, then to what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Looking at the totality of the evidence regarding the ongoing psychological conditions of Ms. Thiessen, I repeat again that the burden or onus of proof is on the plaintiff to show that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Kover the psychiatric or psychological conditions now experienced by the plaintiff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For the reasons set out I have concluded that Ms. Thiessen has not met this onus. Given her history of pre-existing psychiatric illnesses and the numerous stressors of the plaintiff that have been experienced by her prior to the accident and subsequent to the accident, I have concluded the burden has not been met by the plaintiff. I accept the evidence of Dr. Zoffman that it is, in all probability, that her psychiatric or psychological conditions would have evolved from the other stressors in her life other than stress related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Having had the ability to observe the plaintiff for days under direct examination and cross-examination, I have concluded, as have all the medical doctors called at this trial, that Ms. Thiessen is an unreliable source of information. As I have previously stated with respect to the plaintiff's medical evidence, called by her, it is, in all probability, that these doctors relied on the accuracy of the self-reporting of the plaintiff and this was a flaw, and as I have indicated, is fatal to their opinions. The only doctors that had any real knowledge and appreciation of the plaintiff's pre-accident history were Drs. Hagen, Schokking and Zoffman. The evidence provided to Dr. Zoffman upon which she based her opinion certainly contained more relevant collateral evidence by way of the information she was provided and the assumptions she was asked to operate on. Those assumptions were, in my view, clearly set out in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I accept, as indicated in these reasons, that the medical opinions of Dr. Zoffman and Dr. Schokking are more compelling and essentially agree that Ms. Thiessen's continuing complaints are not as a result of the motor vehicle accident but as a result of the other factors or stressors in her life, and which were engaged by her pre-existing psychiatric and psychological makeup. In addition, I have considered the issue of the plaintiff's evidence of her inability to drive since the MVA and the contrary evidence of the independent witnesses, Eaket and O'Hagan, and have concluded that their evidence is preferable over the evidence of the plaintiff. I therefore find that the plaintiff did drive a motor vehicle shortly after the accident in question, and I therefore find her to be untruthful with respect to that assertion. Thus, in this case, there is abundant evidence impacting on the reliability and credibility of the plaintiff that dictates the conclusion that any collateral evidence tendered by the plaintiff is insufficient to find for the plaintiff regarding her claims other than the physical injuries sustained by her in the MVA in question. In coming to this conclusion I am mindful of the comment of Southin J., as she then was, in </w:t>
      </w:r>
      <w:r>
        <w:rPr>
          <w:rFonts w:ascii="arial" w:eastAsia="arial" w:hAnsi="arial" w:cs="arial"/>
          <w:b/>
          <w:i/>
          <w:color w:val="000000"/>
          <w:sz w:val="20"/>
          <w:lang w:val="en-US" w:eastAsia="en-US" w:bidi="ar-SA"/>
        </w:rPr>
        <w:t>Le v. Milburn</w:t>
      </w:r>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[1987] B.C.J. No. 2690</w:t>
        </w:r>
      </w:hyperlink>
      <w:r>
        <w:rPr>
          <w:rFonts w:ascii="arial" w:eastAsia="arial" w:hAnsi="arial" w:cs="arial"/>
          <w:color w:val="000000"/>
          <w:sz w:val="20"/>
          <w:lang w:val="en-US" w:eastAsia="en-US" w:bidi="ar-SA"/>
        </w:rPr>
        <w:t xml:space="preserve"> (15 December 1987), Vancouver Registry No. B81193 (BCSC), where her Ladyship stated at p.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litigant practises to deceive, whether by deliberate falsehood or gross exaggeration, the court has much difficulty in disentangling the truth from the web of deceit and exaggeration. If, in the course of the disentangling of the web, the court casts aside as untrue something that was indeed true, the litigant has only himself or herself to blame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In my view, the quantum of damages as a result must, of necessity, be restricted to the physical injuries established at trial as being caused by the motor vehicle accident of July 23, 1999. The physical injuries which are documented indicate thoracic pain, without radiation, in Ms. Thiessen's spine, together with anterior sternal pain. Dr. Hagen, in her first involvement on July 29, 1999, diagnosed Ms. Thiessen's current symptoms as including headache, neck stiffness, back pain. Dr. Hagen noted bilateral paraspinal and trapezius tenderness and abrasions on Ms. Thiessen's right hip and forearm.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In her August 26, 1999, clinical notes Dr. Hagen noted subjective complaints from Ms. Thiessen of ongoing and unremitting shoulder, neck and mid-back pain. It is noteworthy that at the same time Dr. Hagen noted that Ms. Thiessen's shoulder movement was better when she was distracted. Dr. Hagen's opinion in October 1999 was that the plaintiff's physical damages sustained in the accident had resolved. A new possible physical issue arose in 2003 after her then family doctor, Dr. Shahnawaz, had ordered x-rays. Dr. Shahnawaz stated that he had requested an x-ray as Ms. Thiessen was complaining of pain between her two shoulders. It is noteworthy that x-rays had been taken in Merritt immediately following the accident and no D3 or T4 fracture was noted.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issue now is whether or not, on the evidence, this fracture can be considered as having been caused by the MVA. Of course there is no question that if the causation is established, then the plaintiff is entitled to compensation for that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Both Drs. Hagen and Schokking treated the plaintiff commencing on July 29, 1999, some six days after the accident, and both are consistent in their evidence that they were not aware of the plaintiff having a thoracic fracture during the time that they were treating her and in particular, Dr. Schokking said that he had no recollection of the plaintiff every complaining of a thoracic spine injury or thoracic spine pain while she was their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Under cross-examination Dr. Shahnawaz agreed that the first x-ray report stated a "D3" fracture while the second report taken March 7, 2003, stated a "T4" fracture. Dr. Shahnawaz admitted that he did not look at the actual x-rays himself with respect to determining which statement of fracture was correct and which was incorrect, although he was aware of pre-accident complaints by the plaintiff of a cracked vertebrae as well as mid-thoracic pains being reported by the plaintiff. He was also aware of her hurting her back fishing while she was a patient of his and that she had been involved in a accident in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Under further cross-examination Dr. Shahnawaz agreed that it was equally as likely that the 1993 motor vehicle accident caused the compression fracture as shown on the 2003 x-rays as was the 1999 MVA. I might add that with respect to the fishing excursion, the plaintiff's daughter, Tysheina McCoy, had given evidence with respect to having seen her mother after the fishing excursion and the following day the plaintiff complained to her that she had injured her back and arm and that she was in pain and was unable to get off of her couch. Dr. Shahnawaz also agreed in his cross-examination that in order to relate the findings on the x-ray to any particular event there ought to have been long lasting constant symptoms from that particular area. He also agreed that the symptoms noted by Dr. Hagen in an August 1999 report to ICBC would not have been consistent with a vertebral fracture and that he himself would not have investigated further in that regard if he was the treating doctor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Taking all of this into account I have concluded that the plaintiff has not established that any fracture to her D3 or T4 is causally connected to the MVA in question. Not only were there lack of complaints of pain relating to such area of her anatomy closely following the 1999 accident, but also the evidence before me does not include any medical evidence by anyone who actually observed the x-ray film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Given what I find to be the fairly quick resolution of the physical damages actually sustained, I am unable to rely on any of the prior assessments of non-pecuniary damages referred to me by counsel for the plaintiff. I have however considered case law which I find to be relevant as put to me by the defence, being in particular </w:t>
      </w:r>
      <w:r>
        <w:rPr>
          <w:rFonts w:ascii="arial" w:eastAsia="arial" w:hAnsi="arial" w:cs="arial"/>
          <w:b/>
          <w:i/>
          <w:color w:val="000000"/>
          <w:sz w:val="20"/>
          <w:lang w:val="en-US" w:eastAsia="en-US" w:bidi="ar-SA"/>
        </w:rPr>
        <w:t>Al-mandlawi v. Gara</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2005 BCSC 740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Hall v. Day</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2006 BCSC 874</w:t>
        </w:r>
      </w:hyperlink>
      <w:r>
        <w:rPr>
          <w:rFonts w:ascii="arial" w:eastAsia="arial" w:hAnsi="arial" w:cs="arial"/>
          <w:color w:val="000000"/>
          <w:sz w:val="20"/>
          <w:lang w:val="en-US" w:eastAsia="en-US" w:bidi="ar-SA"/>
        </w:rPr>
        <w:t>. Based on those decisions I would award the plaintiff $14,000 for non-pecuniary damages. It is implicit in this award that I reject the plaintiff having a driving phobia causally connected by the accident in question. I am not in a position to dismiss the evidence of the witnesses O'Hagan and Eaket regarding her driving, and as a result, the plaintiff has simply not established on a balance of probabilities that a driving phobia was incurred by her causally connected to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WAGE LOSS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In considering quantum of the plaintiff's wage loss claim I have considered the evidence of Gerald Thiessen, Kathy Taylor, Florence Cramer and Victor Schwab. I also note the entry of August 26, 1999, in the clinical records of Drs. Schokking and Hagen whereby a possible return to work as early as the following week on a part-time basis was discussed. Coupled with this however must be considered that the evidence with respect to the plaintiff's pre-accident work history is very sparse. Gerald Thiessen's evidence was that since 1993 the plaintiff really did not do much work for TKT Plumbing and Heating and that any income allocated to the plaintiff was due to income splitting.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Over the time frame in question, which I would include being from the date of the accident until October 1999, there would have been very little done by the plaintiff over that period of time, except for WCB and GST filings. Coupled with this is the fact that since mid-October 1999 the plumbing and heating company was effectively not operating due to the cancellation of his contract with corrections. There is of course evidence that the plaintiff was doing some bookkeeping for Ms. Cramer's company, but this is not helpful. Florence Cramer gave evidence for the plaintiff. The plaintiff had done her books from approximately May 1998 to July 1999 when Ms. Cramer operated her insurance commissions through a limited company. At the time the plaintiff was paid approximately $100 per month for the bookkeeping she performed on behalf of Ms. Cramer's company. In addition, unlike many other cases dealing with loss of income, in this case there is no medical opinion evidence that the plaintiff was unable to perform work that she would otherwise have been doing. The evidence of Mr. Schwab with respect to what accountants could earn was not helpful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While there was some conflicting evidence regarding for whom a computer the parties purchased immediately following the MVA and to what use would have been made of the computer over the relevant time period, I would guesstimate an award of $500 would be sufficient under this heading. I therefore award, under the heading loss of income, $500.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parties were unable to agree as to what special damages should be awarded. I would allow the following damages on the basis that they are by agreement or have been established by the evidence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647"/>
        <w:gridCol w:w="1150"/>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ruined clothing caused by the MVA</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$104.25</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1568"/>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Physiotherapy not previously paid</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IN TRUST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At the conclusion of the trial, an In Trust claim was advanced by the plaintiff on behalf of her two daughters and her friend Major Deol.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accept that In Trust claims may be made at the conclusion of the trial without having been advanced in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However, I find that the evidence as to what services were provided by the daughters is vague. There was nothing introduced at trial that the daughters or Mr. Deol experienced direct economic loss because of the time and effort that went into them performing those duties. In addition, there is no evidence that any services provided by the three claimants resulted in replacing expenses which would otherwise have been incurred by the plaintiff, such a hiring a housekeeper (see </w:t>
      </w:r>
      <w:r>
        <w:rPr>
          <w:rFonts w:ascii="arial" w:eastAsia="arial" w:hAnsi="arial" w:cs="arial"/>
          <w:b/>
          <w:i/>
          <w:color w:val="000000"/>
          <w:sz w:val="20"/>
          <w:lang w:val="en-US" w:eastAsia="en-US" w:bidi="ar-SA"/>
        </w:rPr>
        <w:t>Cummings v. Olson</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(1996), 82 B.C.A.C. 241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addition, with respect to the evidence of the daughters one could not help but conclude from their evidence that they did not do much to assist the plaintiff in the time period ending in or about October, but instead, developed behavioural problems and were seen by her treating physicians, Dr. Schokking and Dr. Hagen, to be stressors to the plaintiff's underlying psychiatric and psychological makeup.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With respect specifically to Mr. Deol, it is noteworthy that although he did provide driving to the plaintiff, that driving was many years after the period of time the physical damages sustained, which were causally connected to the MVA, continued for a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following is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1882"/>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$14,000.00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3"/>
        <w:gridCol w:w="2405"/>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Wage Loss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2091"/>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134.25</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301"/>
        <w:gridCol w:w="2927"/>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$14,634.25</w:t>
            </w:r>
          </w:p>
        </w:tc>
        <w:tc>
          <w:tcPr>
            <w:tcW w:w="45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 make no award for cost of future care, loss of income earning capacity and the In Trust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As requested by counsel in their submissions, the issue of costs may be spoken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E.G. CHAMBERLIST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0"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62" w:history="1">
        <w:r>
          <w:rPr>
            <w:rFonts w:ascii="arial" w:eastAsia="arial" w:hAnsi="arial" w:cs="arial"/>
            <w:b/>
            <w:bCs/>
            <w:i/>
            <w:color w:val="0077CC"/>
            <w:kern w:val="32"/>
            <w:sz w:val="28"/>
            <w:szCs w:val="32"/>
            <w:u w:val="single"/>
            <w:shd w:val="clear" w:color="auto" w:fill="FFFFFF"/>
            <w:lang w:val="en-US" w:eastAsia="en-US" w:bidi="ar-SA"/>
          </w:rPr>
          <w:t>Tradelink Distribution Ltd. (Canada) v. Rand &amp; Fowler Insurance Ltd., [2001] B.C.J. No. 110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Lowry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January 8 - 10, 2001.</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January 19, 2001.</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C995499</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[2001] B.C.J. No. 110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2001 BCSC 136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33 C.C.L.I. (3d) 299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102 A.C.W.S. (3d) 267</w:t>
      </w:r>
    </w:p>
    <w:p>
      <w:pPr>
        <w:spacing w:before="120" w:line="260" w:lineRule="atLeast"/>
        <w:rPr>
          <w:lang w:val="en-US" w:eastAsia="en-US" w:bidi="ar-SA"/>
        </w:rPr>
      </w:pPr>
      <w:r>
        <w:rPr>
          <w:rFonts w:ascii="arial" w:eastAsia="arial" w:hAnsi="arial" w:cs="arial"/>
          <w:color w:val="000000"/>
          <w:sz w:val="20"/>
          <w:lang w:val="en-US" w:eastAsia="en-US" w:bidi="ar-SA"/>
        </w:rPr>
        <w:t>Between Tradelink Distribution Ltd. (Canada), Tradelink Distribution Ltd. (Barbados), plaintiffs, and Rand &amp; Fowler Insurance Ltd.,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(23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31" style="position:absolute;z-index:25168179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48" w:name="Keywords_21"/>
      <w:bookmarkEnd w:id="148"/>
      <w:r>
        <w:rPr>
          <w:rFonts w:ascii="arial" w:eastAsia="arial" w:hAnsi="arial" w:cs="arial"/>
          <w:b/>
          <w:color w:val="000000"/>
          <w:sz w:val="20"/>
          <w:lang w:val="en-US" w:eastAsia="en-US" w:bidi="ar-SA"/>
        </w:rPr>
        <w:t xml:space="preserve">Insurance — Agents — Liability of agent — Duty to inform insured of available coverage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obtaining adequate coverage.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49" w:name="Case Summary_21"/>
            <w:bookmarkEnd w:id="149"/>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This was an action by Tradelink Distribution against Rand &amp; Fowler Insurance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Tradelink required broad cargo insurance for shipping computer components between various countries around the world. Rand obtained coverage in the London market through Dashwood Brewer and Phipps. It was represented to Tradelink to be world-wide coverage, but was in fact very limited and insured only shipments from Canada to North America, the United Kingdom and the Netherlands. After the first loss on a shipment from Amsterdam to Hong Kong, Rand's representative, Jefferson, was advised by Dashwood that shipments to Asia were not covered by the insurance. Jefferson requested the policy wording a cover note from Dashwood containing the terms of the coverage. The policy terms made it appear as though the policy covered shipments to and from the United States, Canada and Europe. However, the cover note accompanying the terms provided that the coverage was only for shipments from Canada.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Jefferson testified that he had not read the cover note and had not informed Tradelink of the actual policy coverage. Two losses were suffered after the cover note was received on shipments from Europe to the United States and coverage for those losses were denied. </w:t>
            </w:r>
            <w:r>
              <w:rPr>
                <w:lang w:val="en-US" w:eastAsia="en-US" w:bidi="ar-SA"/>
              </w:rPr>
              <w:cr/>
            </w:r>
          </w:p>
          <w:p>
            <w:pPr>
              <w:spacing w:before="120" w:line="260" w:lineRule="atLeast"/>
              <w:ind w:left="240"/>
              <w:jc w:val="both"/>
              <w:rPr>
                <w:lang w:val="en-US" w:eastAsia="en-US" w:bidi="ar-SA"/>
              </w:rPr>
            </w:pPr>
            <w:bookmarkStart w:id="150" w:name="Holdings of Court_19"/>
            <w:bookmarkEnd w:id="150"/>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Liability was clear and Rand &amp; Fowler had no defence. If Jefferson had actually known at any time that the coverage in place was so limited, he would have been duty-bound to inform Tradelink immediately. It made no difference that he did not know simply because he failed to read the cover note, particularly when he was aware that the first claim had been denied on the ground that the shipment was not covered. Jefferson asked for the cover note, but failed to read it when it was received. Jefferson's failure resulted in the losses being uninsured. </w:t>
            </w:r>
            <w:r>
              <w:rPr>
                <w:lang w:val="en-US" w:eastAsia="en-US" w:bidi="ar-SA"/>
              </w:rPr>
              <w:cr/>
            </w:r>
          </w:p>
          <w:p>
            <w:pPr>
              <w:rPr>
                <w:lang w:val="en-US" w:eastAsia="en-US" w:bidi="ar-SA"/>
              </w:rPr>
            </w:pPr>
          </w:p>
        </w:tc>
      </w:tr>
    </w:tbl>
    <w:p>
      <w:pPr>
        <w:jc w:val="both"/>
        <w:rPr>
          <w:lang w:val="en-US" w:eastAsia="en-US" w:bidi="ar-SA"/>
        </w:rPr>
      </w:pPr>
      <w:bookmarkStart w:id="151" w:name="Counsel_22"/>
      <w:bookmarkEnd w:id="15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32" style="position:absolute;z-index:25173299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A.M. Ross, for the plaintiffs. R. Samtani, for the defendant.</w:t>
      </w:r>
      <w:r>
        <w:rPr>
          <w:lang w:val="en-US" w:eastAsia="en-US" w:bidi="ar-SA"/>
        </w:rPr>
        <w:cr/>
      </w:r>
    </w:p>
    <w:p>
      <w:pPr>
        <w:spacing w:after="240"/>
        <w:rPr>
          <w:lang w:val="en-US" w:eastAsia="en-US" w:bidi="ar-SA"/>
        </w:rPr>
      </w:pPr>
      <w:bookmarkStart w:id="152" w:name="Judgment_22"/>
      <w:bookmarkEnd w:id="152"/>
      <w:r>
        <w:pict>
          <v:line id="_x0000_s1133" style="position:absolute;z-index:25178419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53" w:name="LOWRY J."/>
            <w:bookmarkEnd w:id="153"/>
            <w:r>
              <w:rPr>
                <w:rFonts w:ascii="arial" w:eastAsia="arial" w:hAnsi="arial" w:cs="arial"/>
                <w:b/>
                <w:color w:val="000000"/>
                <w:sz w:val="30"/>
                <w:lang w:val="en-US" w:eastAsia="en-US" w:bidi="ar-SA"/>
              </w:rPr>
              <w:t>LOWRY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the spring of 1999, Tradelink Distribution Ltd. (Canada) ("Tradelink") required broad cargo insurance for shipping computer components in which it trades between various countries. Rand &amp; Fowler Insurance Ltd., a Vancouver broker, obtained coverage in the London market through a Lloyds' broker, Dashwood Brewer and Phipps Ltd. ("Dashwood"). It was represented to Tradelink to be world-wide coverage, but it was in fact very limited. It only insured shipments from Canada to North America, the United Kingdom, and the Netherlands. Within a few months there were three losses on shipments from Europe. Claims were presented but the underwriters denied coverage. There appears to be little doubt that Dashwood was remarkably careless in placing the risk and in describing its scope, but it is to Rand &amp; Fowler alone that Tradelink now looks to be compensated in damages for what it says was that broker's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case against Rand &amp; Fowler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all material respects, the dealings between Tradelink and Rand &amp; Fowler involved only the presidents of each, Steven Baker and Bradley Jefferson respectively. Mr. Baker approached Mr. Jefferson for a quote on the coverage he sought. Mr. Jefferson in turn approached Dashwood. Dashwood responded with a quotation for $100 million US, world-wide coverage that, with some adjustment in the terms, Mr. Baker advised Mr. Jefferson was acceptable. Mr. Jefferson then instructed Dashwood that the risk was to be bound. He issued an Insurance Binder to Tradelink describing the coverage as "World Wide" and confirming that it was in place effective May 1st. He sent a premium invoice for $10,500.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first of the three losses occurred four weeks later on a shipment from Amsterdam to Hong Kong and Japan. Mr. Baker provided details to Mr. Jefferson on June 8th, and he to Dashwood on June 10th. The claim was to have been about $58,000 US. Dashwood responded on June 14th with a copy of a letter from the underwriters. In material respects, it stated only that shipments to Hong Kong and Japan were not covered. Mr. Jefferson sent a copy of the letter to Mr. Baker. He told Mr. Baker that there was a problem in that the underwriters were maintaining that Asia was not covered. Mr. Jefferson said that, as far as he was concerned, the coverage was world-wide and that he did not understand the underwriters' position. His communications with Dashwood were to the same effect, and he advised his contacts there that he was finding it difficult to deal with the matter in that he did not have the policy wording or a cover note from Dashwood containing the terms.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Baker decided to contact the underwriters and Dashwood directly. The underwriters declined to discuss the matter with him, but Dashwood was apparently prepared to ignore insurance protocol that would normally have precluded such direct contact. Subsequent discussions between Mr. Baker's associate in London, John Fenton, and the managing director of Dashwood, John Richardson, led to assurances being given that Dashwood would pay the claim if the underwriters maintained their position. This was confirmed in a facsimile message from Mr. Richardson to Mr. Baker on June 23rd.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It appears clear, however, that neither Mr. Baker nor Mr. Fenton were told exactly how limited the coverage actually was. The written record of what was said in the course of their discussions with Dashwood indicates that, rather than being told that only shipments from Canada were insured, they were specifically told that the insurance covered shipments to and from the United States, Canada, and Europe. That was of course completely wrong. In any event, Mr. Baker and Mr. Fenton agreed with those at Dashwood that other shipments would require separate coverage and, in late July, such was in fact arranged by Dashwood at their request for a shipment from Germany to Hong Kong.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Through July Mr. Fenton pressed Dashwood for payment on the loss and he had that broker change the designated insured to include Tradelink Distributors Ltd. (Barbados) on the completion of a corporate reorganization.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Jefferson was aware of the direct contact with Dashwood, but he was not privy to what was said. On June 21st he received a facsimile message from Mr. Richardson with Dashwood's cover note attached. The first few lines of the message and the policy wording on the cover note stated that the insurance in place was limited to shipments from Canada, although, strangely, on the second page of the message the insurance was described as covering shipments between the United States, Canada, the United Kingdom and the Netherlands. Mr. Jefferson says that he did not read either document and did not send them to Mr. Baker. He says that, if he had read the cover note, he would have been alarmed. Of that there can be no doubt.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 copy of the message to Mr. Jefferson (but not the cover note) was attached to the facsimile message Mr. Richardson sent to Mr. Baker on June 21st. The message addressed to Mr. Jefferson was at best confusing, but had Mr. Baker read it, he might have had reason to be concerned that the coverage was even more limited than he had been led to believe. He says he did not read it, at least not carefully. It is in any event clear that he had no appreciation of the extent to which the coverage was limited. So little of Tradelink's business was concerned with shipments from Canada (10%) that, had Mr. Baker appreciated how limited the coverage was, he would have considered the insurance for which Tradelink paid $10,500 all but worthless.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Tradelink's second loss (now agreed at $51,613 Cdn.) was suffered on a shipment from London to Miami in late July. Its third (now agreed at $34,751 Cdn.) was on a shipment from Dusseldorf to San Francisco in early August. The claims were presented through Dashwood without any notice being given to Rand &amp; Fowler. Indeed, Mr. Jefferson did not learn of the claims until advised by Mr. Baker in September when the underwriters denied liability for both and issued 30 days notice of the cancellation of the policy.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Dashwood paid for the first loss, but, when asked, refused to pay for the second and third. It may well appear that Dashwood bears the greater fault for this insurance debacle, but, as indicated, Tradelink's action is confined to a claim against Rand &amp; Fowler.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Tradelink maintains that a broker of insurance owes a duty to the insured to advise of any discrepancy between the insurance it has confirmed is in place and the insurance that is actually in place. It sought to introduce the opinion of an expert witness to support its contention, but I ruled such inadmissible. I consider that I now need to say only that, in my view, the opinion is substantially one of law as is evident from the authorities upon which Tradelink relies: Fletcher v. Manitoba Public Insurance </w:t>
      </w:r>
      <w:hyperlink r:id="rId363" w:history="1">
        <w:r>
          <w:rPr>
            <w:rFonts w:ascii="arial" w:eastAsia="arial" w:hAnsi="arial" w:cs="arial"/>
            <w:i/>
            <w:color w:val="0077CC"/>
            <w:sz w:val="20"/>
            <w:u w:val="single"/>
            <w:shd w:val="clear" w:color="auto" w:fill="FFFFFF"/>
            <w:lang w:val="en-US" w:eastAsia="en-US" w:bidi="ar-SA"/>
          </w:rPr>
          <w:t>(1990), 74 D.L.R. (4th) 636</w:t>
        </w:r>
      </w:hyperlink>
      <w:r>
        <w:rPr>
          <w:rFonts w:ascii="arial" w:eastAsia="arial" w:hAnsi="arial" w:cs="arial"/>
          <w:color w:val="000000"/>
          <w:sz w:val="20"/>
          <w:lang w:val="en-US" w:eastAsia="en-US" w:bidi="ar-SA"/>
        </w:rPr>
        <w:t xml:space="preserve"> (S.C.C.), and Fine's Flowers Ltd. et al. v. General Accident Assurance Co. of Canada et al. </w:t>
      </w:r>
      <w:hyperlink r:id="rId364" w:history="1">
        <w:r>
          <w:rPr>
            <w:rFonts w:ascii="arial" w:eastAsia="arial" w:hAnsi="arial" w:cs="arial"/>
            <w:i/>
            <w:color w:val="0077CC"/>
            <w:sz w:val="20"/>
            <w:u w:val="single"/>
            <w:shd w:val="clear" w:color="auto" w:fill="FFFFFF"/>
            <w:lang w:val="en-US" w:eastAsia="en-US" w:bidi="ar-SA"/>
          </w:rPr>
          <w:t>(1977), 17 O.R. (2d) 529</w:t>
        </w:r>
      </w:hyperlink>
      <w:r>
        <w:rPr>
          <w:rFonts w:ascii="arial" w:eastAsia="arial" w:hAnsi="arial" w:cs="arial"/>
          <w:color w:val="000000"/>
          <w:sz w:val="20"/>
          <w:lang w:val="en-US" w:eastAsia="en-US" w:bidi="ar-SA"/>
        </w:rPr>
        <w:t xml:space="preserve"> (C.A.). I question whether the subject matter is such that it is sufficiently beyond common understanding as to require expert opinion in any event.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Vancouver broker is said to have breached the duty of care it owed when Mr. Jefferson failed both to read the cover note he received from Dashwood on June 21st, and to advise on the true limitations of the coverage in sufficient time that steps could have been taken to obtain the alternative coverage that it is accepted was available before the second and third losses occurred. Tradelink maintains that Mr. Jefferson's failure in this regard specifically was the cause of its second and third losses being uninsured.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Rand &amp; Fowler's defence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Rand &amp; Fowler makes no attempt to defend Mr. Jefferson's failure to read Dashwood's cover note. No attempt is made to adduce evidence to explain why it was not read. No argument is put forward as to why he should not have read it immediately and promptly advised Mr. Baker of the actual coverage limitation. Indeed, his conduct would appear to be quite indefensible.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Various defences are, however, raised. Rand &amp; Fowler first plead that the losses were covered. That has now been abandoned. It next pleads that the fact that the losses were not insured cannot be attributed to any act or omission on its part. That defence cannot be maintained and has not been argued. The next defence pleaded is that the inadequate coverage resulted from Tradelink's failure to seek broader coverage once its principals were aware of the limitations of the insurance that was in place. But Rand &amp; Fowler has failed to prove that the true limitation was known to either Mr. Baker or Mr. Fenton prior to the subsequent two losses, and, as indicated, the evidence is clearly to the contrary.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Finally, Rand &amp; Fowler pleads that, unknown to it, Tradelink entered into an agreement through Dashwood to obtain insurance for shipments to Asia. This is said to have relieved Rand &amp; Fowler from any liability associated with Mr. Jefferson's failure to read Dashwood's cover note and advise Mr. Baker how little coverage Tradelink had. However, there was no agreement other than the separate coverage arranged for the shipment in late July. Significance is attached to Mr. Fenton having "agreed" that shipments to destinations other than the United States, Canada, and Europe would have to be separately arranged. However, given the coverage he and Mr. Baker understood was in place, Mr. Fenton did no more than accept that separate arrangements would be required. I fail to see how that could in any way serve to relieve Rand &amp; Fowler of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opening its case, Rand &amp; Fowler advanced three reasons why the action should be dismissed. It was first said that the broker had fulfilled its obligations in obtaining world-wide coverage in that it was informed such coverage was in place. But Mr. Jefferson clearly ought to have known differently before the second and third losses occurred. It was then said that Tradelink was not relying on the Vancouver broker to obtain world-wide coverage after it approached Dashwood directly. But while Mr. Baker and Mr. Fenton may have learned that the coverage in place was less than world-wide, it cannot be said that they were not to expect that Rand &amp; Fowler would inform them of the true scope of the coverage Tradelink had. Finally, Rand &amp; Fowler made the point about an agreement with respect to shipments other than those Mr. Baker and Mr. Fenton understood were covered as discussed above.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argument, Rand &amp; Fowler has contended in addition that the principals of Tradelink had, by their actions in dealing with Dashwood directly, taken onto themselves the obligation to make sufficient inquiry into the true limitation of the coverage. Various authorities cited are said to lend support: Bon Portage Fisheries Ltd. v. L.G. Trask Agency Ltd., </w:t>
      </w:r>
      <w:hyperlink r:id="rId365" w:history="1">
        <w:r>
          <w:rPr>
            <w:rFonts w:ascii="arial" w:eastAsia="arial" w:hAnsi="arial" w:cs="arial"/>
            <w:i/>
            <w:color w:val="0077CC"/>
            <w:sz w:val="20"/>
            <w:u w:val="single"/>
            <w:shd w:val="clear" w:color="auto" w:fill="FFFFFF"/>
            <w:lang w:val="en-US" w:eastAsia="en-US" w:bidi="ar-SA"/>
          </w:rPr>
          <w:t>[1986] N.S.J. No. 363</w:t>
        </w:r>
      </w:hyperlink>
      <w:r>
        <w:rPr>
          <w:rFonts w:ascii="arial" w:eastAsia="arial" w:hAnsi="arial" w:cs="arial"/>
          <w:color w:val="000000"/>
          <w:sz w:val="20"/>
          <w:lang w:val="en-US" w:eastAsia="en-US" w:bidi="ar-SA"/>
        </w:rPr>
        <w:t xml:space="preserve"> (C.A.), Martinelli v. Co-Operators General Insurance Co., </w:t>
      </w:r>
      <w:hyperlink r:id="rId366" w:history="1">
        <w:r>
          <w:rPr>
            <w:rFonts w:ascii="arial" w:eastAsia="arial" w:hAnsi="arial" w:cs="arial"/>
            <w:i/>
            <w:color w:val="0077CC"/>
            <w:sz w:val="20"/>
            <w:u w:val="single"/>
            <w:shd w:val="clear" w:color="auto" w:fill="FFFFFF"/>
            <w:lang w:val="en-US" w:eastAsia="en-US" w:bidi="ar-SA"/>
          </w:rPr>
          <w:t>[1989] O.J. No. 1797</w:t>
        </w:r>
      </w:hyperlink>
      <w:r>
        <w:rPr>
          <w:rFonts w:ascii="arial" w:eastAsia="arial" w:hAnsi="arial" w:cs="arial"/>
          <w:color w:val="000000"/>
          <w:sz w:val="20"/>
          <w:lang w:val="en-US" w:eastAsia="en-US" w:bidi="ar-SA"/>
        </w:rPr>
        <w:t xml:space="preserve"> (Ont. Dist. Crt.), and Firestone Canada Inc. v. American Home Assurance Co. et al. </w:t>
      </w:r>
      <w:hyperlink r:id="rId367" w:history="1">
        <w:r>
          <w:rPr>
            <w:rFonts w:ascii="arial" w:eastAsia="arial" w:hAnsi="arial" w:cs="arial"/>
            <w:i/>
            <w:color w:val="0077CC"/>
            <w:sz w:val="20"/>
            <w:u w:val="single"/>
            <w:shd w:val="clear" w:color="auto" w:fill="FFFFFF"/>
            <w:lang w:val="en-US" w:eastAsia="en-US" w:bidi="ar-SA"/>
          </w:rPr>
          <w:t>(1989), 67 O.R. (2d) 471</w:t>
        </w:r>
      </w:hyperlink>
      <w:r>
        <w:rPr>
          <w:rFonts w:ascii="arial" w:eastAsia="arial" w:hAnsi="arial" w:cs="arial"/>
          <w:color w:val="000000"/>
          <w:sz w:val="20"/>
          <w:lang w:val="en-US" w:eastAsia="en-US" w:bidi="ar-SA"/>
        </w:rPr>
        <w:t xml:space="preserve"> (Ont. H.C.).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find, however, nothing in those cases to assist Rand &amp; Fowler. No proposition of law is stated and no parallel exists from which it can be said that the mere fact that Mr. Baker and Mr. Fenton contacted Dashwood directly with a view to having the first loss paid relieved Rand &amp; Fowler of its duty to inform Tradelink of the actual scope of the coverage. The fact that Dashwood agreed to pay the first claim and that arrangements were then made through it to add the Barbados company as a named insured as well as to separately insure one shipment in July does not alter the situation. Mr. Jefferson is quite clear that he was never told he was discharged of any of the responsibly he had to Tradelink.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Finally, while it has not been pleaded, Rand &amp; Fowler contend that Tradelink was contributorily negligent. Counsel suggested making an amendment, but no application to do so has been made. There was, in any event, nothing Mr. Baker or Mr. Fenton were told that, in my view, ought to have prompted either of them to ascertain that the coverage was limited to shipments from Canada. As indicated, they were actually told otherwise after the first loss occurred, albeit by those with whom they had contact at Dashwood. I can see no basis on which a claim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could succeed even if it was to be properly pleaded and particularized.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conclude that liability is clear; Rand &amp; Fowler has no defence.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could not be suggested that if Mr. Jefferson had actually known at any time that the coverage that was in place was so limited, he would not have been duty-bound to inform Tradelink immediately. It can make no difference that he did not know simply because he failed to read the cover note that contained that information, particularly when he was aware that the first claim had been denied on the ground that the shipment was not covered. As indicated, Mr. Jefferson complained to those at Dashwood that he found the denial difficult to deal with in the absence of a cover note. Yet when he received the cover note, he did not advise Mr. Baker of its alarming contents. Worse, by his own admission, he did not even trouble himself to read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Accordingly, I conclude that Rand &amp; Fowler is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Tradelink for the second and third losses. There is no defence to Mr. Jefferson's failure to read Dashwood's cover note and promptly inform Tradelink that the coverage that was in fact in place was limited to shipments from Canada. His failure resulted in the losses being uninsured.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Disposition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Tradelink will have judgment against Rand &amp; Fowler for $86,365 together with prejudgment interest at registrar's rates and the costs of the action.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LOWRY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8343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74" w:history="1">
        <w:r>
          <w:rPr>
            <w:rFonts w:ascii="arial" w:eastAsia="arial" w:hAnsi="arial" w:cs="arial"/>
            <w:b/>
            <w:bCs/>
            <w:i/>
            <w:color w:val="0077CC"/>
            <w:kern w:val="32"/>
            <w:sz w:val="28"/>
            <w:szCs w:val="32"/>
            <w:u w:val="single"/>
            <w:shd w:val="clear" w:color="auto" w:fill="FFFFFF"/>
            <w:lang w:val="en-US" w:eastAsia="en-US" w:bidi="ar-SA"/>
          </w:rPr>
          <w:t>Wilson v. Ham, [2004] B.C.J. No. 1266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Paris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7 - 11,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23,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M002133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1266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842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131 A.C.W.S. (3d) 873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Patricia Wilson, plaintiff, and Tommy-Joe Jerry Ham,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5"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4" w:name="Keywords_22"/>
      <w:bookmarkEnd w:id="154"/>
      <w:r>
        <w:rPr>
          <w:rFonts w:ascii="arial" w:eastAsia="arial" w:hAnsi="arial" w:cs="arial"/>
          <w:b/>
          <w:color w:val="000000"/>
          <w:sz w:val="20"/>
          <w:lang w:val="en-US" w:eastAsia="en-US" w:bidi="ar-SA"/>
        </w:rPr>
        <w:t xml:space="preserve">Damages — General damages — For personal injuries — Non-pecuniary damages, including pain and suffering — Limits on compensatory damages — Thin or crumbling skull rule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Motor vehicles — Pedestrians.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5" w:name="Case Summary_22"/>
            <w:bookmarkEnd w:id="15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Wilson, against the defendant, Ham,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Wilson was struck by a car driven by Ham as she crossed at an intersection. Ham was turning. The sun was in his eyes. He did not see Wilson until the instant before he struck her. Wilson suffered a very mild compression fracture of the top surface of her left tibia. Subsequently, she developed a painful condition called reflex sympathetic dystrophy. That condition resolved by 2001. Wilson continued to have pain up until the trial. Wilson had severe stress problems, depression and other mental conditions. Those conditions contributed to her pain.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6" w:name="Holdings of Court_20"/>
            <w:bookmarkEnd w:id="156"/>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Ham was responsible for the accident and the ensuing injuries. The mental condition of Wilson, however, was the cause of her ongoing pain. The court did not hold Ham liable in law for symptoms that were so disproportionate in severity and so unrelated to the original injury caused by Ham's tortious act. The results of the accident were not a factor in Wilson's pain after 2001. Wilson was awarded $50,000 non-pecuniary damages for the damages that were attributed to the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7" w:name="Counsel_23"/>
      <w:bookmarkEnd w:id="15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6"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 Taylor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 Letkemann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8" w:name="Judgment_23"/>
      <w:bookmarkEnd w:id="158"/>
      <w:r>
        <w:pict>
          <v:line id="_x0000_s1137" style="position:absolute;z-index:25178521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9" w:name="PARIS J."/>
            <w:bookmarkEnd w:id="159"/>
            <w:r>
              <w:rPr>
                <w:rFonts w:ascii="arial" w:eastAsia="arial" w:hAnsi="arial" w:cs="arial"/>
                <w:b/>
                <w:color w:val="000000"/>
                <w:sz w:val="30"/>
                <w:lang w:val="en-US" w:eastAsia="en-US" w:bidi="ar-SA"/>
              </w:rPr>
              <w:t>PARIS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claim for damages for injuries sustained by the plaintiff when, being a pedestrian, she was struck by a motor vehicle driven by the defendant. Liability and damages are both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accident occurred on June 29, 1998 at about 5:30 pm at the intersection of Pinetree Way and Anson Avenue in Coquitlam, B.C.. That is a T-intersection, Anson Avenue running into Pinetree Way. Pinetree Way is a wide street running north and south having three lanes of travel in each direction and a wide concrete island in the middle of the road running southerly away from Anson Avenue. A very helpful plan and photographs of the intersection are Exhibit 1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Intending to cross Pinetree Way west to east on the south side of the intersection, the plaintiff paused as a car southbound in the lane of travel closest to the curb stopped to let her pass. She then proceeded easterly in the marked crosswalk. She remembers glancing at the driver of the car that had stopped for her but the next thing she remembers is finding herself on the ground some distance from where she had been, not knowing what had happened. She does not remember seeing the defendant's vehicle or being knocked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had come westbound on Anson Avenue and stopped at the stop sign at Pinetree Way. He waited, he said, some 20-30 seconds checking traffic and then proceeded forward intending to turn left, that is, south on Pinetree Way in the lane closest to the island in the center of the road. He checked again for traffic proceeding southbound on Pinetree Way. As he turned, the left front of his vehicle struck the plaintiff who, as mentioned, was walking easterly across Pinetree Way in the marked crosswalk. He said that the sun was shining into his eyes so that he did not see the plaintiff at all until a second or less before he struck her. He applied his brakes immediately but it was too late. He said that the plaintiff appeared to be walking normally during the very brief time (he referred to it as a "snapshot") before he struck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testified that he was attempting to be cautious and I have no reason on the evidence to believe that he was not. He is to be commended for his frankness. However the fact remains that the plaintiff was there to be seen. The fact that the sun created difficulties for his vision simply means that he was obliged to be even more cautious as to the existence not only of vehicular traffic but also pedestrians in the cross walk. The plaintiff was proceeding lawfully and was entitled to assume that anybody in the defendant's position making the manoeuvre that he was making would proceed lawfully. Furthermore there is no evidence, direct or circumstantial, that she was hurrying or acting negligently in any way. I certainly cannot characterize as negligent the fact that as she stepped off the curb she glanced briefly at the car which had come to a stop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find the defendant one hundred percent responsible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was taken from the accident scene to the emergency department of the Royal Columbian Hospital. X-rays were taken and, nothing abnormal having been identified, she was sent home with crutches. However, the next day she was contacted and asked to return to the hospital where she was seen by Dr. Robert McCormack, an orthopaedic surgeon. Following is his consultation report which is relatively brief and gives a thorough review of the plaintiff's condition.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saw this 45 year old female referred to us by the Emergency Department for a left tibial plateau fracture. She was walking yesterday afternoon crossing the street when a car going approximately 10 kilometers per hour hit her in the legs with the bumper and she fell upon the car. There was no head injury sustained or any loss of consciousness. After the accident, she felt significant pain in her left knee and also sustained an abrasion to her left elbow area. In addition, she had a little bit of soreness in her chest and generalized ache.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was brought by the EHS to the Emergency Department. At the scene she was hemodynamically stable and had a GCS of 15. Here she was found to have a swollen knee and was sent home with crutches. Otherwise she was clear with respect to having any other injuries. Her left elbow was dressed.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Upon repeat review of the x-rays, it was found that there was ? depression of the lateral tibial plateau on the left knee and patient was told to come back to the Emergency Department.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has been well since last night and has pain only with very, very deep breathing on the left side of her chest. Otherwise she is doing well and has significant swelling of her left knee. She has had no past injuries to her left knee.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PAST MEDICAL HISTORY: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patient is otherwise a very healthy individual who has only had a tubal ligation in the past but no other operations or hospitalizations. She presently takes Oxazepam for sleep and no other medications. She has allergies only to food but to no medications. She quit smoking 7 years ago but has a 20 pack year history of smoking. She drinks alcohol very rarely.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SOCIAL HISTORY: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Patient is living alone and is presently not working. However, she does not drive a car and walks everywhere she goes. She has had no problems walking in the past.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examination this patient was alert and oriented in no apparent distress.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of head and neck injury. Chest exam reveals good air entry bilaterally but there was tenderness over the anterior aspect of the inferior ribs on the left side. There was no obvious crepitus. Abdominal exam was normal.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Musculoskeletal examination showed good motion of her upper extremities with a dressing on her left elbow from the previous night. The right lower extremity was normal. The left lower extremity did show significant swelling of the left knee. There was bruising in the lateral aspect but no open wounds. Grossly the knee was stable and distally neurovascular status was intact. However, there was significant tenderness in the lateral aspect of the knee. There was no obvious abnormality of the left hip, femur, leg or ankle distally.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X-ray did show evidence of slight depression of the lateral tibial plateau on the plain films but no other abnormality. Tomograms of the left knee did show about a 1-2 mm depression of the lateral tibial plateau but otherwise no abnormalities.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ASSESSMENT/PLAN: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patient likely has left rib contusions and possibly a fracture. She was told that if shortness of breath should develop she is to come back to the Emergency Department. With respect to her left knee, it was explained that the 1-2 mm depression should not cause the patient major problems. It was explained that she should be encouraged to do range of motion to avoid stiffness but she should be non weight-bearing on the left knee with crutches. She was told to follow up in Dr. McCormack's Clinic in about 2 weeks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Dr. McCormack saw her again on August 18, 1998 and following is his brief report in that regard: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Miss Wilson seen today in follow up of her tibial plateau fracture. The radiographs show everything is satisfactory. My main concern is that she has feature (sic) of a mild sympathetic dystrophy. Range of motion is actually reasonable today at 0-90 but she has abnormal swelling and complaints of dysesthesia and some color changes. Re-enforced to her the importance of an aggressive therapy program and she can weight bear as tolerated and progress without restrictions. I tried to reassure her that the key is to be active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Finally he saw her on December 30, 1998 and his report to her then family physician, Dr. John Curry, contains the following comments: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had stiffness and abnormal pain with features of a reflex sympathetic dystrophy. Unfortunately, I cannot see that there has been any treatment for this, or indeed, any change.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Again, her main complaints are of abnormal pain, stiffness, intermittent swelling, and colour discolouration of the leg, as well as abnormal temperature changes it the leg.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examination, there is diffuse tenderness, significant dysesthesia to a very light touch, over particularly the lateral and anterior aspects of the knee. The leg is mildly swollen. There is mild purplish discolouration of the leg, and is slightly cool to the touch. There is a very limited range of motion with abnormal pain, and decreased sensation in the foot, without any evidence of a specific neurologic distribution, or evidence of back problems.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Radiographs show that the fracture is well healed in essentially normal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suggested that Patricia see you to arrange assessment by one of the anaesthetist in a Block clinic. I have encouraged her to consider a sympathetic block for both diagnostic and therapeutic reasons. I have also reinforced with her the importance of having early treatment to get the best possible results from a reflex sympathetic dystrophy. I do not think this is surgical problem, and there is no evidence of any mechanical problems in the knee. I have not arranged any follow-up visits, but have asked her to see you next week to arrange a sympathetic block through one of the local block clinics or pain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sum, orthopaedically, the plaintiff had a very mild compression fracture of the top surface of her left tibia (Dr. McCormack characterized it as a 1 or 2 on a scale of 10) causing minimal displacement which required no surgical intervention at all and healed without any complications whatsoever except for the development of certain symptoms of reflex sympathetic dystrophy. The latter is a condition characterized by pain and hypersensitivity to touch disportionate to the original physical injury sustained accompanied by some objective signs such as mild swelling and discolouration. In his testimony, Dr. McCormack gave the following description of RSD:</w:t>
      </w:r>
      <w:r>
        <w:rPr>
          <w:rFonts w:ascii="arial" w:eastAsia="arial" w:hAnsi="arial" w:cs="arial"/>
          <w:sz w:val="20"/>
          <w:lang w:val="en-US" w:eastAsia="en-US" w:bidi="ar-SA"/>
        </w:rPr>
        <w:cr/>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Sympathetic dystrophy is one of the terms that's used to describe an abnormal pain response. Back in 1998 it was a little more common usage than it is now. It's a bit of semantics. Some people refer to it as a complex regional pain syndrome, sympathetic mediated pain but reflex sympathetic dystrophy, the concept is that there's two types of nerves in the body, the sympathetic nerves and the para-sympathetic nerves and if there's normally kind of a balance and if there's an over-activity of the sympathetic nerves then that is associated with abnormal pain, stiffness, colour changes and temperature changes in the leg and that's one of the mechanisms of developing a complex regional pain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McCormack recommended that the plaintiff receive a nerve block for those symptoms and his evidence was that the majority of such cases get better, in particular with proper active therapy. His report of August 19, 1998 refers to her condition in that regard as mild. However, he testified but that by the time he last saw her on December 30, 1998 she had developed chronic pain but that there was nothing further he could do for her as an orthopaedic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Unfortunately, the plaintiff's present condition appears to be far different than what one would expect from the above medical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is a petite 51-year-old who appears to be frail both physically and emotionally and somewhat simple. (I do not mean to be unkind and that was in fact her own counsel's characterization of her). She uses a cane, walking slowly, tentatively and with apparent difficulty. She has never had a driver's licence and prior to the accident, her principal activities involved walking to the mall near her home and doing door-to-door service with the Jehovah's Witnesses. She left school after Grade 9 because, she said, she did not like it and found it too difficult. Her husband died in 1989 and her mother, to whom she was close, died in 1991. She has one daughter and has never remarried. She has worked in the past principally as kitchen help. However, in 1991 an employment agency categorized her as unemployable and she has not worked since. I note that no claim for loss of income or earning capacity is made in this case. She owns her own home, a townhouse, and she received some money from a life insurance policy when her husband died. She now uses Handy Dart bus service to go shopping or is transported by her daughter. She uses wheelchairs provided by the malls or supermarkets that she attends. She does, however, still do some gardening around her own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adamantly refused to have a nerve block for her symptoms of RSD because, as she admitted, she is afraid of needles. She underwent physiotherapy during the months following the accident to the end of December 1998. However it was virtually entirely unsuccessful because of her hypersensitivity to touch and the pain she manifested upon any movement of her leg or weight bearing. She had another session of physiotherapy during 2001. At that time she still experienced severe pain and hypersensitivity in her left knee but by then also had pain in her low back and right buttock. Her then physiotherapist, Lori Dalin, testified that the plaintiff was cooperative but that the treatments were essentially unsuccessful. She said that the plaintiff became easily distraught and that there was a significant emotional and psychological overlay in her whole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present family physician, Dr. Jennifer Fyfe, prepared a report for the court dated January 29, 2004 and testified. This passage appears in her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medical legal report has been the most challenging to prepare for several reasons. The first reason is that I came into this scenario more than three years after the accident. The second reason is that Ms. Wilson apparently has significant pre-existing personality and psychological issues that have greatly influenced her response to the accident of June 1998.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met Ms. Wilson for the first time in the office on September 14, 2001. I noted her to have a "helpless effect". She stated she had been hit by a car in 1998. She stated she had a fractured fibula and had gone on to develop RDS of the left knee. She also told me at that visit, her belief that a physiotherapist "hurt her" and in her opinion, caused pain in her right low back and buttock, that she had been suffering for two years. She stated she occasionally had pain to the right heel. A colleague had ordered xrays just prior to my visit with Ms. Wilson and these xrays of her low back, her mid back and her hips and sacrum were reported as normal. No specific treatment recommendations were made on that visit. I do remember her as being fragile and frail appearing.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Fyfe had seen the plaintiff on several occasions since that first visit. She was often emotionally fragile or "helpless" and Dr. Fyfe provided anti-depressant medication. The plaintiff complained of left knee and back pain but none of Dr. Fyfe's clinical notes reflect observations of the characteristic symptoms of RSD such as swelling, skin colour changes, temperature changes or muscle wasting. In her examination of the knee in January 2004 for the purpose of the medical legal report, Dr. Fyfe found that those symptoms were not present. However the plaintiff was still hypersensitive to even light touch in that area. Psychologically she appeared "very vague, very frail and very eager to attest to positive symptomalogy". Finally, this passage appears in Dr. Fyfe's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appears that Ms. Wilson's emotional, cognitive and psychological functioning was moderately impaired prior to the accident. These characteristics which pre-existed the accident have had a profound affect on how she has dealt with the pain and the disability that has resulted. My feeling would be that the ultimate prognosis for Ms. Wilson years down the road will be greatly related to whether she is willing or capable of addressing the psychological issues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late 1999 counsel for the plaintiff requested Dr. Peter Joy, a psychologist, to conduct a "psychological-legal assessment" of the plaintiff. He reviewed various medical records and conducted his assessment on October 7, 1999 which lasted 6.25 hours. He also spoke to her once on the telephone for 30 minutes. His report is dated January 26, 2000 (Exhibit 2-6). The following passages appear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Behavioral observation indicates a slight and very frail-looking individual, who did not look well. Cognitively, she was vague and an extremely poor historian. Affectively, I found her to be labile, alternating between smiling and tears, though she cried more than she smiled .... The impression was of pronounced fragility, both physical and psychological.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Behavior associated with pain was notable. She walked with a cane, and she moved very slowly. She held a cane in her right hand. As she walked from the elevator, she was very tentative, and she crowded the wall.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problem with reading comprehension became obvious when it was discovered that Ms. Wilson was unable to pronounce, or understand, a number of adjectives in the McGill Pain Questionnaire (Melzack, 1975). She was asked to read out loud a number of items in this measure as an initial screen for reading comprehension. On further review, she said that she does not read a newspaper, as newspaper stories, "don't make sense." Further, she said that she becomes confused when she reads -"I lose track." Besides, she said that she is "allergic to ink." She said that she looks at pictures in Victoria Magazine, and she reads the captions. Local newspapers are probably set at approximately the grade 8 reading level.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proceeded to administer the Beck Depression Inventory-Second Edition (BDI-II) (Beck, 1996). The reading level for this measure is set at approximately the 5th-grade level, assuming equivalence with a previous form (Beck and Steer, 1987). Ms. Wilson struggled with this measure, completing only the first five of twenty-one items in fifteen minutes. The usual administration time is five to ten minutes to complete the whole measure. She said that she was having problems with vocabulary, attention, concentration, and decision-making. Items 6 through 21 were completed by oral administration.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Emotionally, she alternated between smiles and tears, with sadness and tears related to multiple losses in her life. She cried when she spoke of each. Important losses recorded at assessment included, the death of her husband in 1989, the death of her mom in 1991, the loss of her job and the death of her boss in 1991, the death of her dad in 1998, and the motor vehicle accident in 1998. The accident was just one of her losses. The accident represents physical and psychological pain, as well as a loss of health and mobility.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Diagnostically, from a psychological point-of-view, I would propose, in order of importance, the following coexisting DSM-IV Axis I diagnoses: (a) Pain Disorder Associated With Both Psychological Factors and a General Medical Condition (Diagnostic Code 307.89); and (b) Major Depressive Disorder, Mild/Moderate Severity (Diagnostic Code 296.32). She also shows marked anxiety, perhaps best described as a Generalized Anxiety Disorder (Diagnostic Code 300.02). Further, she shows features of Post-Traumatic Stress Disorder (Diagnostic Code 309.81), probably not meeting the full DSM-IV diagnostic criteria. I expect that her Generalized Anxiety Disorder has been longstanding.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Primary in her presentation, in my opinion, are complaints of pain and disability. The diagnosis of Pain Disorder (per DSM-IV) is proffered. Relevant diagnostic criteria are as follows: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Pain in, one or more anatomical sites is the predominant focus of the clinical presentation and is of sufficient severity to warrant clinical attention.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pain causes clinically-significant distress or impairment in social, occupational, or, other important areas of functioning.</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factors are judged to have an important role in the onset, severity, exacerbation, or maintenance of the pain.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symptom or deficit is not intentionally produced or feigned (as in Factitious Disorder or Malingering).</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pain is not better accounted for by a Mood, Anxiety, or Psychotic Disorder and does not meet the criteria for Dyspareunia (DSM-IV, page 461).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Ms. Wilson's condition is congruent (consistent) with all diagnostic criteria set out, with the partial exception of Item (c) - I do not see psychological factors as having had an "important" role in the onset of her pain. This is not to say that she was not significantly psychologically vulnerable, preaccident. Psychological factors, namely anxiety and depression, common in cases like this, have probably added to the exacerbation, perception, and maintenance of her pain. Psychological factors, in my opinion, are beyond her power to control or overcome. In my view, her pain is real and genuine, in the sense that she genuinely experiences it. Not only does she have physical pain, she has numerous psychological pains, and she cried with each. Ms. Wilson's Pain Disorder can now be considered "chronic," as it has, a duration of six months or longer (per DSM-IV) ... Pain Disorder, per DSM-IV, is roughly equivalent to the term, chronic pain syndrome.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the best that I can determine, the probable cause of her present Pain Disorder (related to the left knee and right hip) is the motor vehicle accident of June 29, 1998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Causation with respect to present anxiety and depression is less clearly related to the accident of June 1998. Clinical records and self-report indicate treatment with Oxazepam (anxiolytic), probably since at least 1988. Oxazepam was prescribed for nerves, sleep disturbance, and insomnia. There appears to have been some ongoing concern as to addiction and addiction potential (per clinical notes of Dr. Curry). Clinical notes would be best deciphered and interpreted by Dr. Curry.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basis of file review and history given at interview, the impression is of considerable physical and psychological vulnerability, preaccident. By history, Ms. Wilson was probably doing fairly well, functionally and psychologically, until the death of her husband in 1989, though, by 1991, she was probably unemployable (per Share), due to allergies and psychological weaknesses. She was not psychologically robust at the time of the accident in June 1998. Legally, I believe the appropriate term is "psychological thin skull" or "eggshell personality."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note here parenthetically that Dr. Joy's report was prepared in January 2000 and at present, some six years after the accident, the plaintiff's condition is the same or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Dr. John Curry referred to above by Dr. Joy acted as the plaintiff's family physician from approximately the end of 1993 to early 2001. Dr. Curry testified and prepared a report (Exhibit 2-5). A review of his records from before the accident indicates clearly a pattern of complaints of anxiety and depression and treatment with various anti-depressant medications (not just Oxazepam). At times she complained of symptoms of generalized pain. Dr. Curry queried in his notes whether such complaints were psychosomatic or whether she was a "CFS (Chronic Fatigue Syndrome) Type".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It is interesting that when cross-examined about her complaints of depression to Dr. Curry and her use of anti-depressant medications the plaintiff became evasive, clearly did not like being asked about her use of those medications and adopted a stance of almost child-like denial.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Curry confirmed that he advised the plaintiff that a nerve block could relieve her RSD syndrome but she refused such treatment because of her fear of needles. He said, however, that he thought that her RSD symptoms had resolved by the time she left his practice. Finally, he did acknowledge that the plaintiff did not function at a normal level and that such an accident could be a "catastrophe"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It is clear from the above review of the evidence that the principal issue in the case is the extent to which the plaintiff's post-accident condition is attributable for legal purposes to the accident. The post-accident symptoms and continuing present condition are far disportionate to the physical severity of the original injury. Plaintiff's counsel of course argues the thin skull principle and refers to Athey v. Leonati </w:t>
      </w:r>
      <w:hyperlink r:id="rId52" w:history="1">
        <w:r>
          <w:rPr>
            <w:rFonts w:ascii="arial" w:eastAsia="arial" w:hAnsi="arial" w:cs="arial"/>
            <w:i/>
            <w:color w:val="0077CC"/>
            <w:sz w:val="20"/>
            <w:u w:val="single"/>
            <w:shd w:val="clear" w:color="auto" w:fill="FFFFFF"/>
            <w:lang w:val="en-US" w:eastAsia="en-US" w:bidi="ar-SA"/>
          </w:rPr>
          <w:t>[1997] 1 W.W.R. 97</w:t>
        </w:r>
      </w:hyperlink>
      <w:r>
        <w:rPr>
          <w:rFonts w:ascii="arial" w:eastAsia="arial" w:hAnsi="arial" w:cs="arial"/>
          <w:color w:val="000000"/>
          <w:sz w:val="20"/>
          <w:lang w:val="en-US" w:eastAsia="en-US" w:bidi="ar-SA"/>
        </w:rPr>
        <w:t xml:space="preserve"> (S.C.C.) where at page 110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appeal involves a straightforward application of the thin skull rule. The pre-existing disposition may have aggravated the injuries, but the defendant must take the plaintiff as he finds him. If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exacerbated the existing condition and caused it to manifest in a disc herniation, then the defendant is a cause of the disc herniation and is fully liable.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Had the trial judge concluded (which she did not) that there was some realistic chance that the disc herniation would have occurred at some point in the future without the accident, then a reduction of the overall damage award may have been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Counsel points in particular to the evidence of Dr. Joy in this case that the plaintiff suffers from a Pain Disorder or Chronic Pain Syndrome. That Pain Disorder, it is said, was caused by the accident because its principal focus is the area of the injury sustained in the accident. The plaintiff sustained a very minor tibial fracture. That resulted in a reflex sympathetic dystrophy which entailed some relatively minor physical symptoms (although the evidence of the etiology of those symptoms themselves is vague). Those physical injuries are now resolved but the plaintiff is left with a chronic pain disorder the focus of which, as I have said, is in large part the site of the original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To the extent that that Pain Disorder is a psychological phenomenon and due to the plaintiff's preaccident psychological vulnerability it is said that the case is simply one of the thin skull principle in operation. In particular the case of Yoshikawa v. Yu </w:t>
      </w:r>
      <w:hyperlink r:id="rId336" w:history="1">
        <w:r>
          <w:rPr>
            <w:rFonts w:ascii="arial" w:eastAsia="arial" w:hAnsi="arial" w:cs="arial"/>
            <w:i/>
            <w:color w:val="0077CC"/>
            <w:sz w:val="20"/>
            <w:u w:val="single"/>
            <w:shd w:val="clear" w:color="auto" w:fill="FFFFFF"/>
            <w:lang w:val="en-US" w:eastAsia="en-US" w:bidi="ar-SA"/>
          </w:rPr>
          <w:t>(1996) 21 B.C.L.R. (3d) 318</w:t>
        </w:r>
      </w:hyperlink>
      <w:r>
        <w:rPr>
          <w:rFonts w:ascii="arial" w:eastAsia="arial" w:hAnsi="arial" w:cs="arial"/>
          <w:color w:val="000000"/>
          <w:sz w:val="20"/>
          <w:lang w:val="en-US" w:eastAsia="en-US" w:bidi="ar-SA"/>
        </w:rPr>
        <w:t xml:space="preserve"> (B.C.C.A.) is pointed to. The head note which correctly expresses the judgment of Rowles J.A.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 long-standing principle in tort law that if the wrong is established, the wrongdoer must take the victim as he or she finds them. Under that principle, there is no difference between an egg shell skull and an egg shell personality.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However, it seems to me the question of causation presents particular problems for the plaintiff. In Athey (supra), the court said at page 102: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Horsley v. MacLaren, </w:t>
      </w:r>
      <w:hyperlink r:id="rId375" w:history="1">
        <w:r>
          <w:rPr>
            <w:rFonts w:ascii="arial" w:eastAsia="arial" w:hAnsi="arial" w:cs="arial"/>
            <w:i/>
            <w:color w:val="0077CC"/>
            <w:sz w:val="20"/>
            <w:u w:val="single"/>
            <w:shd w:val="clear" w:color="auto" w:fill="FFFFFF"/>
            <w:lang w:val="en-US" w:eastAsia="en-US" w:bidi="ar-SA"/>
          </w:rPr>
          <w:t>[1972] S.C.R. 441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"but for" test is unworkable in some circumstances</w:t>
      </w:r>
      <w:r>
        <w:rPr>
          <w:rFonts w:ascii="arial" w:eastAsia="arial" w:hAnsi="arial" w:cs="arial"/>
          <w:color w:val="000000"/>
          <w:sz w:val="20"/>
          <w:lang w:val="en-US" w:eastAsia="en-US" w:bidi="ar-SA"/>
        </w:rPr>
        <w:t xml:space="preserve">, so the courts have recognized that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 Myers v. Peel County Board of Education; </w:t>
      </w:r>
      <w:hyperlink r:id="rId376" w:history="1">
        <w:r>
          <w:rPr>
            <w:rFonts w:ascii="arial" w:eastAsia="arial" w:hAnsi="arial" w:cs="arial"/>
            <w:i/>
            <w:color w:val="0077CC"/>
            <w:sz w:val="20"/>
            <w:u w:val="single"/>
            <w:shd w:val="clear" w:color="auto" w:fill="FFFFFF"/>
            <w:lang w:val="en-US" w:eastAsia="en-US" w:bidi="ar-SA"/>
          </w:rPr>
          <w:t>[1981] 2 S.C.R. 21</w:t>
        </w:r>
      </w:hyperlink>
      <w:r>
        <w:rPr>
          <w:rFonts w:ascii="arial" w:eastAsia="arial" w:hAnsi="arial" w:cs="arial"/>
          <w:color w:val="000000"/>
          <w:sz w:val="20"/>
          <w:lang w:val="en-US" w:eastAsia="en-US" w:bidi="ar-SA"/>
        </w:rPr>
        <w:t xml:space="preserve">, Bonnington Castings, Ltd. v. Wardlaw, [1956] 1 All E.R. 615 (H.L.); McGhee v. National Coal Board, [1972] 3 All E.R. 1008. A contributing factor is material if it falls outside the de minimis range: Bonnington Castings, Ltd. v. Wardlaw, supra; see also R. v. Pinske </w:t>
      </w:r>
      <w:hyperlink r:id="rId377" w:history="1">
        <w:r>
          <w:rPr>
            <w:rFonts w:ascii="arial" w:eastAsia="arial" w:hAnsi="arial" w:cs="arial"/>
            <w:i/>
            <w:color w:val="0077CC"/>
            <w:sz w:val="20"/>
            <w:u w:val="single"/>
            <w:shd w:val="clear" w:color="auto" w:fill="FFFFFF"/>
            <w:lang w:val="en-US" w:eastAsia="en-US" w:bidi="ar-SA"/>
          </w:rPr>
          <w:t>(1988), 30 B.C.L.R. (2d) 114</w:t>
        </w:r>
      </w:hyperlink>
      <w:r>
        <w:rPr>
          <w:rFonts w:ascii="arial" w:eastAsia="arial" w:hAnsi="arial" w:cs="arial"/>
          <w:color w:val="000000"/>
          <w:sz w:val="20"/>
          <w:lang w:val="en-US" w:eastAsia="en-US" w:bidi="ar-SA"/>
        </w:rPr>
        <w:t xml:space="preserve"> (B.C.C.A.), aff'd </w:t>
      </w:r>
      <w:hyperlink r:id="rId378" w:history="1">
        <w:r>
          <w:rPr>
            <w:rFonts w:ascii="arial" w:eastAsia="arial" w:hAnsi="arial" w:cs="arial"/>
            <w:i/>
            <w:color w:val="0077CC"/>
            <w:sz w:val="20"/>
            <w:u w:val="single"/>
            <w:shd w:val="clear" w:color="auto" w:fill="FFFFFF"/>
            <w:lang w:val="en-US" w:eastAsia="en-US" w:bidi="ar-SA"/>
          </w:rPr>
          <w:t>[1989] 2 S.C.R. 979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 consideration of Dr. Joy's and Dr. McCormack's evidence in particular can lead only to the conclusion that after all this time the plaintiff's present disabilities including the pain she experiences are psychological in origin. In Yoshikawa (supra), Lambert J.A. said the following at pages 330 and 331: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seems to me that there are two different types of psychological symptoms that may be covered by the principles that are here being discussed. There are those where the psychological symptoms have their origin entirely in the defendant's wrongful act. Clearly they are compensable. And there are those psychological symptoms where the defendant's wrongful act triggers a pre-existing psychological condition so that both the defendant's wrongful act and the pre-existing condition are causes-in-fact of the psychological injury. In the latter cases the psychological injury will be compensable on the basis of a pre-existing thin skull, </w:t>
      </w:r>
      <w:r>
        <w:rPr>
          <w:rFonts w:ascii="arial" w:eastAsia="arial" w:hAnsi="arial" w:cs="arial"/>
          <w:color w:val="000000"/>
          <w:sz w:val="20"/>
          <w:u w:val="single"/>
          <w:lang w:val="en-US" w:eastAsia="en-US" w:bidi="ar-SA"/>
        </w:rPr>
        <w:t>except only in cases where the psychological problem is so dominant as a pre-existing condition and the injuries sustained in the accident are so trivial that the accident can no longer be said to be a sufficient cause in law to support an award of damages on the basis of proximate cause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seems to me the latter is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is true that Lambert J.A. also said that in his view the above will not be the case unless the plaintiff's psychological symptoms would have eventually appeared even absent the defendant's tortious act by reason of the plaintiff focusing or fixating on some other event. Obviously to come to that conclusion involves crystal ball gazing to a certain extent. However, I do think it is a fair inference in this case given the plaintiff's psychological make-up.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any event, I think that the conclusion of absence of causation can be put on the basis of the distinction in Lambert J.A.'s judgment between "cause-in-fact" based on "but for" reasoning, and "proximate cause" as a legal question. That is, even though a "but for" line of reasoning shows a chain of events from the defendant's tortious act to the plaintiff's present complaints, if by the measure of the ordinary conduct of human affairs it is wholly unreasonable to say that the one is connected to the other, then it should be said that for legal purposes, the former did not "cause" the latter. The court simply has to step in at some point and say "that is far enough". Perhaps it is difficult to articulate a universally applicable general principle implementing that process. But courts operate in the realm of the concrete and it seems to me that fairness dictates that they must have that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my view, in this case the court should not hold the defendant liable in law for symptoms which are so far disportionate in severity and so unrelated to the original injury caused by the defendant's tortious act that any reasonable person would say that they were not caused by that act but rather by factors personal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evidence of the plaintiff's physical injuries has been set out above. The symptoms of her reflex sympathetic dystrophy, which were not severe, had resolved by the time she left Dr. Curry's practice in 2001. The injuries undoubtedly exacerbated her symptoms of depression and anxiety and were obviously a factor in the genesis of her pain disorder. However, my conclusion is that the results of the accident are no longer a factor in that regard and have not been since at least some time in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defendant's counsel submitted that in assessing the quantum of the plaintiff's damages the court must take into account that she had unreasonably failed to mitigate her losses by not cooperating sufficiently in her medical treatment, namely physiotherapy and nerve blocks. However, although the physiotherapy attempted was virtually useless because of her apparent hypersensitivity the evidence of the physiotherapists was that she did seem to attempt to cooperate to the extent that she could. It is true that she adamantly refused the nerve block treatment for her symptoms of RSD because of her fear of needles. However, as mentioned, the evidence before me as to the nature of RSD as well as of the appropriate modalities for its treatment was somewhat vague and brief. I cannot say that I have been persuaded that it was unreasonable for the plaintiff not to take the nerve block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cannot find that the plaintiff unreasonably failed to mitigate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plaintiff's complaint of low back pain according to the evidence surfaced only a very long time after the accident. It seems on the face of things to be completely unrelated to the injuries sustained in the accident and the plaintiff herself ascribed it to a treatment she had received from a physiotherapist. I can in no sense find those symptoms causally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There will be judgment for the plaintiff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1778"/>
        <w:gridCol w:w="1464"/>
        <w:gridCol w:w="219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 pecuniary damages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50,000.00</w:t>
            </w:r>
          </w:p>
        </w:tc>
        <w:tc>
          <w:tcPr>
            <w:tcW w:w="215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751"/>
        <w:gridCol w:w="303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63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 (medication and taxis)</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$570.26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533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52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$50,570.26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Costs will follow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PARIS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8" style="position:absolute;z-index:2518353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85" w:history="1">
        <w:r>
          <w:rPr>
            <w:rFonts w:ascii="arial" w:eastAsia="arial" w:hAnsi="arial" w:cs="arial"/>
            <w:b/>
            <w:bCs/>
            <w:i/>
            <w:color w:val="0077CC"/>
            <w:kern w:val="32"/>
            <w:sz w:val="28"/>
            <w:szCs w:val="32"/>
            <w:u w:val="single"/>
            <w:shd w:val="clear" w:color="auto" w:fill="FFFFFF"/>
            <w:lang w:val="en-US" w:eastAsia="en-US" w:bidi="ar-SA"/>
          </w:rPr>
          <w:t>A.E. (Litigation guardian of) v. D.W.J., [2009] B.C.J. No. 748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R.B.T. Goepel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6,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Supplementary judgment: April 15,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M94302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748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505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91 B.C.L.R. (4th) 372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6 W.W.R. 751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951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69 C.P.C. (6th) 318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A.E. by her litigation guardian J.D., Plaintiff, and D.W.J.,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(63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[Editor's note: Original reasons for judgment were released October 1, 2008. See </w:t>
      </w:r>
      <w:hyperlink r:id="rId386" w:history="1">
        <w:r>
          <w:rPr>
            <w:rFonts w:ascii="arial" w:eastAsia="arial" w:hAnsi="arial" w:cs="arial"/>
            <w:i/>
            <w:color w:val="0077CC"/>
            <w:sz w:val="18"/>
            <w:u w:val="single"/>
            <w:shd w:val="clear" w:color="auto" w:fill="FFFFFF"/>
            <w:lang w:val="en-US" w:eastAsia="en-US" w:bidi="ar-SA"/>
          </w:rPr>
          <w:t>[2008] B.C.J. No. 1860</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9"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0" w:name="Keywords_23"/>
      <w:bookmarkEnd w:id="160"/>
      <w:r>
        <w:rPr>
          <w:rFonts w:ascii="arial" w:eastAsia="arial" w:hAnsi="arial" w:cs="arial"/>
          <w:b/>
          <w:color w:val="000000"/>
          <w:sz w:val="20"/>
          <w:lang w:val="en-US" w:eastAsia="en-US" w:bidi="ar-SA"/>
        </w:rPr>
        <w:t>Damages — Proceedings — Practice and procedure — Costs — Considerations — Offers to settle — Determination of costs in personal injury action in which plaintiff was awarded $118,625, after deductions — Plaintiff awarded 100 per cent of costs up to date of defendant's offer to settle and deprived of costs thereafter, though entitled to disbursements — Defendant offered $620,000, well in excess of judgment but much less than $4 million sought by plaintiff — Plaintiff unsuccessful in proving dissociative identity disorder was caused by motor vehicle accident but was not unreasonable in rejecting defendant's offer — However, plaintiff could not entirely avoid consequences of rejecting offer.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1" w:name="Case Summary_23"/>
            <w:bookmarkEnd w:id="16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costs in a personal injury action. The plaintiff was awarded $348,075 for her injuries from the motor vehicle accident but advances already received, disability payments and undertaking by insurer to pay costs of future care awarded had to be deducted, leaving a net award of $118,625. The plaintiff was a 30-year-old married mother of three at the time of the accident and had worked as a counsellor. After the accident, the plaintiff presented with extraordinary psychiatric disorders, became estranged from her husband and children and had to move into an assisted living facility. The trial judgment found the plaintiff 10 per cent liable for the accident and concluded she had post-traumatic stress disorder and a pain disorder. The plaintiff had been diagnosed with dissociative identity disorder but had not proven it was caused by the accident. The plaintiff had been seeking $4 million. The defendant made an offer to settle for $620,000, which the plaintiff's counsel rejected on instructions from her litigation guardian, who said the amount would not fund the plaintiff's care. The defendant argued that the plaintiff was entitled to 90 per cent of her costs until the offer to settle and then should pay his costs thereafter, which totalled $48,000. The plaintiff argued that such an order would be financially ruinous and sought 100 per cent of her costs until seven days after the offer to settle.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2" w:name="Holdings of Court_21"/>
            <w:bookmarkEnd w:id="162"/>
            <w:r>
              <w:rPr>
                <w:rFonts w:ascii="arial" w:eastAsia="arial" w:hAnsi="arial" w:cs="arial"/>
                <w:color w:val="000000"/>
                <w:sz w:val="20"/>
                <w:lang w:val="en-US" w:eastAsia="en-US" w:bidi="ar-SA"/>
              </w:rPr>
              <w:t>HELD: The plaintiff was awarded 100 per cent of her costs up until the offer to settle, then was deprived of her costs but entitled to disbursements.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Given the minimal amount of trial time spent on the issue of liability and the minor degree of fault attributed by the plaintiff, a deduction in costs entitlement was not necessary. The offer to settle was a small fraction of what the plaintiff sought, but was well in excess of the judgment she received. However, the plaintiff had suffered a grievous loss and was not unreasonable in rejecting the offer to settle. The plaintiff could not escape all consequences for such decision, however, and while the judge had discretion in awarding costs, the plaintiff could not receive costs after the defendant had made an offer much better than what she received on judgment.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3" w:name="Legislation Cited_14"/>
      <w:bookmarkEnd w:id="16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0"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Act, </w:t>
      </w:r>
      <w:hyperlink r:id="rId387" w:history="1">
        <w:r>
          <w:rPr>
            <w:rFonts w:ascii="arial" w:eastAsia="arial" w:hAnsi="arial" w:cs="arial"/>
            <w:i/>
            <w:color w:val="0077CC"/>
            <w:sz w:val="20"/>
            <w:u w:val="single"/>
            <w:shd w:val="clear" w:color="auto" w:fill="FFFFFF"/>
            <w:lang w:val="en-US" w:eastAsia="en-US" w:bidi="ar-SA"/>
          </w:rPr>
          <w:t>RSBC 1996, CHAPTER 231, s. 83</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37, Rule 37(24), Rule 37B, Rule 37B(5), Rule 37B(6)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4" w:name="Counsel_24"/>
      <w:bookmarkEnd w:id="16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1" style="position:absolute;z-index:251786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 Dhami.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A.D.C. Ross.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5" w:name="Judgment_24"/>
      <w:bookmarkEnd w:id="165"/>
      <w:r>
        <w:pict>
          <v:line id="_x0000_s1142" style="position:absolute;z-index:25183641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May 19, 2009; the correction has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Supplemental</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6" w:name="R.B.T. GOEPEL J."/>
            <w:bookmarkEnd w:id="166"/>
            <w:r>
              <w:rPr>
                <w:rFonts w:ascii="arial" w:eastAsia="arial" w:hAnsi="arial" w:cs="arial"/>
                <w:b/>
                <w:color w:val="000000"/>
                <w:sz w:val="30"/>
                <w:lang w:val="en-US" w:eastAsia="en-US" w:bidi="ar-SA"/>
              </w:rPr>
              <w:t>R.B.T. GOEPEL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action arose out of a motor vehicle accident that occurred on October 15, 2003. Reasons for Judgment were released on October 1, 2008 and can be found at </w:t>
      </w:r>
      <w:hyperlink r:id="rId386" w:history="1">
        <w:r>
          <w:rPr>
            <w:rFonts w:ascii="arial" w:eastAsia="arial" w:hAnsi="arial" w:cs="arial"/>
            <w:i/>
            <w:color w:val="0077CC"/>
            <w:sz w:val="20"/>
            <w:u w:val="single"/>
            <w:shd w:val="clear" w:color="auto" w:fill="FFFFFF"/>
            <w:lang w:val="en-US" w:eastAsia="en-US" w:bidi="ar-SA"/>
          </w:rPr>
          <w:t>2008 BCSC 1318</w:t>
        </w:r>
      </w:hyperlink>
      <w:r>
        <w:rPr>
          <w:rFonts w:ascii="arial" w:eastAsia="arial" w:hAnsi="arial" w:cs="arial"/>
          <w:color w:val="000000"/>
          <w:sz w:val="20"/>
          <w:lang w:val="en-US" w:eastAsia="en-US" w:bidi="ar-SA"/>
        </w:rPr>
        <w:t xml:space="preserve">. The remaining issues concern deductions that must be made to the judgment pursuant to the provisions of the </w:t>
      </w:r>
      <w:r>
        <w:rPr>
          <w:rFonts w:ascii="arial" w:eastAsia="arial" w:hAnsi="arial" w:cs="arial"/>
          <w:b/>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REQUIRED DEDUCTIONS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was found 90% liable for the plaintiff's injuries. The parties have agreed that the gross damage assessment was $386,750. Reducing that amount to take into account the 10 percent liability found against the plaintiff reduces the award to $348,075.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From that sum must be deducted $131,800 representing advances made to date to the plaintiff. In addition, the parties are agreed that the plaintiff received temporary total disability benefits from the Insurance Corporation of British Columbia ("ICBC") from October 2003 to November 2008 totalling $56,864. These amounts must be deducted from the assessment by operation of s. 83 of the </w:t>
      </w:r>
      <w:r>
        <w:rPr>
          <w:rFonts w:ascii="arial" w:eastAsia="arial" w:hAnsi="arial" w:cs="arial"/>
          <w:b/>
          <w:i/>
          <w:color w:val="000000"/>
          <w:sz w:val="20"/>
          <w:lang w:val="en-US" w:eastAsia="en-US" w:bidi="ar-SA"/>
        </w:rPr>
        <w: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damage award included four amounts for future care totalling $40,786. ICBC has provided an undertaking to pay for those future care needs as they arise and submits that by further operation of s. 83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those amounts must also be deducted. ICBC has advised that it reserves the right to set off any amounts payable on claims made in the future for medical and rehabilitation benefits, the amounts ICBC paid on behalf of the plaintiff for residential care in 2007 in the mistaken understanding that the plaintiff suffered from a brain injury as a consequence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because of the potential set-off, submits that the deduction for future care should not be made or, alternatively, if it is made it should be made for a lesser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Given the terms of the legislation, I do not have that option: </w:t>
      </w:r>
      <w:r>
        <w:rPr>
          <w:rFonts w:ascii="arial" w:eastAsia="arial" w:hAnsi="arial" w:cs="arial"/>
          <w:b/>
          <w:i/>
          <w:color w:val="000000"/>
          <w:sz w:val="20"/>
          <w:lang w:val="en-US" w:eastAsia="en-US" w:bidi="ar-SA"/>
        </w:rPr>
        <w:t>Sovani v. Jin</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2005 BCSC 1285</w:t>
        </w:r>
      </w:hyperlink>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47 B.C.L.R. (4th) 97</w:t>
        </w:r>
      </w:hyperlink>
      <w:r>
        <w:rPr>
          <w:rFonts w:ascii="arial" w:eastAsia="arial" w:hAnsi="arial" w:cs="arial"/>
          <w:color w:val="000000"/>
          <w:sz w:val="20"/>
          <w:lang w:val="en-US" w:eastAsia="en-US" w:bidi="ar-SA"/>
        </w:rPr>
        <w:t>. The future care amounts were determined by the judgment. The damages awarded match benefits paid under Part 7. Whether ICBC can, in fact, set off those sums against other monies ICBC may have paid in error, cannot be decided on this application. It is a matter between the plaintiff and ICBC, not the plaintiff and the defendant in this proceeding. Accordingly, the deduction as sought by the defendant shall be made. In the result, judgment shall be entered in favour of the plaintiff in the sum of $118,625.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this application it is necessary to allocate costs both before and after an offer to settle. The parties are agreed that costs should be set at scale B. Before considering the costs submissions, it is first necessary to put them in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the time of the accident, the plaintiff was 30 years old. She was happily married with three children. She had a Masters degree in theology and counselling, taught music and worked as a counsellor. She had recently given birth to her third child. She appeared to have an unlimited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 years following the accident the plaintiff presented with an extraordinary combination of psychiatric disorders. She was unable to return to work, became estranged from her husband and children and moved to an assisted living facility. One of the medical witnesses indicated that he had assessed many hundreds of individuals who have been involved in similar types of accidents, but he had never seen anyone who had emerged from an accident with such a profound change in their psychological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major issue for determination in relation to the assessment of damages was the cause of the plaintiff's psychiatric decline. While there was general agreement amongst the various doctors that the plaintiff's mental state had deteriorated, they had different views concerning the injuries she had suffered in the accident and whether all her present difficulties were due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There was general agreement that as a result of the accident the plaintiff suffered from Post-Traumatic Stress Disorder ("PTSD") and depression. Her treating psychiatrist, Dr. Matrick, and her treating psychologist, Dr. Bradshaw, believed she had suffered a serious brain injury in the accident. Dr. Bradshaw also diagnosed her as suffering from Dissociative Identity Disorder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DID was formerly known as Multiple Personality Disorder. Although controversial, DID is now a recognized diagnosis within the psychiatric community. It is, however, a condition seldom seen in regular psychiatric practice and the diagnosis of DID is often not made until symptoms have persisted for an extended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case was hard fought. I heard thirteen days of evidence and two further days of submissions. The evidence on liability took less than half a day. In the course of the trial, I heard evidence from eleven medical experts including five psychiatrists, two psychologists and a neurologist.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my reasons I found that as a result of the accident the plaintiff developed PTSD and had soft tissue injuries which ultimately developed into a pain disorder. I further found that the accident caused depression, anxiety, tinnitus and a visual vestibular mismatch which caused dizziness.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the contentious questions of whether or not the plaintiff had suffered a significant brain injury and whether she had DID, I concluded that any brain injury suffered in the accident was of a short term duration and not the cause of any of her ongoing difficulties. I found that the plaintiff suffered from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Although two of the plaintiff's medical witnesses had opined that the DID was caused by the motor vehicle accident, I ultimately concluded that the plaintiff had not met the onus to establish that but for the motor vehicle accident she would not have developed DID. I accepted the evidence of the defendant's psychiatrist, Dr. Semrau, that a contentious access dispute was the most likely cause of the plaintiff's DID. Even Dr. Semrau acknowledged that the plaintiff's condition made certain or simple conclusions regarding key issues including diagnosis and causation absolutely impossible.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closing submissions, the plaintiff's counsel sought a damage award in excess of $4 million. That award was based upon a finding that the DID had been caused by the motor vehicle accident. If I had made such a finding, the damage award would have been somewhere between $2 million and $3 million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February 1, 2008, some 10 days prior to the commencement of trial, the defendant made an offer under Rule 37 to settle the claim for the sum of $400,000 in new money which would be paid in addition to the Part 7 benefits paid or payable and the advances paid to date. Taking those sums into consideration, the offer to settle has a value of approximately $620,000, a sum well in excess of the gross judgment of $347,075.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litigation guardian has deposed that based on the opinions that she had received from the plaintiff's care givers and medical experts that she instructed plaintiff's counsel to reject the offer because it was not adequate to fund the plaintiff's needs. The plaintiff made no offers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 submits that given the division of liability and the offer to settle, the plaintiff should receive 90% of her costs up to February 1, 2008 and the defendant should receive his costs thereafter. Counsel advises that if such an award was made the defendant would recover from the plaintiff approximately $48,000 in costs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submits that to make such an award to the defendant would be financially ruinous for her. She notes that if she is deprived of all her costs from the date of the offer she will forgo in excess of $24,000 in costs plus her disbursements of approximately $33,000. Her disbursements include court fees of $6,760. If the order is made in the manner sought, the plaintiff's cost penalty taking into account what she must forgo together with what she must pay would be in excess of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submits that the medical evidence in this case required her to call all her treating doctors less an adverse inference be drawn. This complicated the plaintiff's task because her treating doctors did not all agree as to the nature of her injuries. In the circumstances of this case she seeks 100% of her costs up to seven days following the offer the settle and all subsequently incurred disbursements. She accepts that she should be deprived of her post offer tariff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Costs: Pre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When liability is divided, the default rule is that the defendant must pay the plaintiff the proportion of the plaintiff's costs corresponding to the defendant's degree of fault, but where a defendant is not found to have suffered any damage or loss the plaintiff is not liable to pay any portion of the defendant's costs: </w:t>
      </w:r>
      <w:r>
        <w:rPr>
          <w:rFonts w:ascii="arial" w:eastAsia="arial" w:hAnsi="arial" w:cs="arial"/>
          <w:b/>
          <w:i/>
          <w:color w:val="000000"/>
          <w:sz w:val="20"/>
          <w:lang w:val="en-US" w:eastAsia="en-US" w:bidi="ar-SA"/>
        </w:rPr>
        <w:t>Flatley v. Denike</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(1997), 87 B.C.A.C. 127</w:t>
        </w:r>
      </w:hyperlink>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32 B.C.L.R. (3d) 97</w:t>
        </w:r>
      </w:hyperlink>
      <w:r>
        <w:rPr>
          <w:rFonts w:ascii="arial" w:eastAsia="arial" w:hAnsi="arial" w:cs="arial"/>
          <w:color w:val="000000"/>
          <w:sz w:val="20"/>
          <w:lang w:val="en-US" w:eastAsia="en-US" w:bidi="ar-SA"/>
        </w:rPr>
        <w:t xml:space="preserve"> (C.A.). Pursuant to s. 3(1)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the court has discretion to depart from the default rule. There must be reasons connected to the case to do so: </w:t>
      </w:r>
      <w:r>
        <w:rPr>
          <w:rFonts w:ascii="arial" w:eastAsia="arial" w:hAnsi="arial" w:cs="arial"/>
          <w:b/>
          <w:i/>
          <w:color w:val="000000"/>
          <w:sz w:val="20"/>
          <w:lang w:val="en-US" w:eastAsia="en-US" w:bidi="ar-SA"/>
        </w:rPr>
        <w:t>Peters v. Davidson</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(1981), 125 D.L.R. (3d) 753</w:t>
        </w:r>
      </w:hyperlink>
      <w:r>
        <w:rPr>
          <w:rFonts w:ascii="arial" w:eastAsia="arial" w:hAnsi="arial" w:cs="arial"/>
          <w:color w:val="000000"/>
          <w:sz w:val="20"/>
          <w:lang w:val="en-US" w:eastAsia="en-US" w:bidi="ar-SA"/>
        </w:rPr>
        <w:t xml:space="preserve"> (B.C.S.C.), aff'd. </w:t>
      </w:r>
      <w:hyperlink r:id="rId391" w:history="1">
        <w:r>
          <w:rPr>
            <w:rFonts w:ascii="arial" w:eastAsia="arial" w:hAnsi="arial" w:cs="arial"/>
            <w:i/>
            <w:color w:val="0077CC"/>
            <w:sz w:val="20"/>
            <w:u w:val="single"/>
            <w:shd w:val="clear" w:color="auto" w:fill="FFFFFF"/>
            <w:lang w:val="en-US" w:eastAsia="en-US" w:bidi="ar-SA"/>
          </w:rPr>
          <w:t>(1982) 141 D.L.R. (3d) 763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Bourelle v. Andrychuk</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(1998), 118 B.C.A.C. 318</w:t>
        </w:r>
      </w:hyperlink>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61 B.C.L.R. (3d) 191</w:t>
        </w:r>
      </w:hyperlink>
      <w:r>
        <w:rPr>
          <w:rFonts w:ascii="arial" w:eastAsia="arial" w:hAnsi="arial" w:cs="arial"/>
          <w:color w:val="000000"/>
          <w:sz w:val="20"/>
          <w:lang w:val="en-US" w:eastAsia="en-US" w:bidi="ar-SA"/>
        </w:rPr>
        <w:t xml:space="preserve"> (C.A.), concerned an appeal where the trial judge had awarded the plaintiff 100% of his costs, even though a jury had found him 90% at fault for the accident. The Court of Appeal agreed that in the circumstances in the case it was appropriate for the trial judge to have exercised his discretion in favour of the plaintiff but reduced the plaintiff's recovery for costs from 100% down to two-thirds. In doing so, the court noted that approximately two-thirds of the trial time was devoted to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Moses v. Kim</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2009 BCCA 82</w:t>
        </w:r>
      </w:hyperlink>
      <w:r>
        <w:rPr>
          <w:rFonts w:ascii="arial" w:eastAsia="arial" w:hAnsi="arial" w:cs="arial"/>
          <w:color w:val="000000"/>
          <w:sz w:val="20"/>
          <w:lang w:val="en-US" w:eastAsia="en-US" w:bidi="ar-SA"/>
        </w:rPr>
        <w:t xml:space="preserve">, the plaintiff was found 65% at fault for the accident but awarded 90% of the costs because 90% of the trial was devoted to the issue of damages. The Court of Appeal reduced the cost recovery to 75%, in part because the trial judge had failed to consider the defendant's significant degree of success on the claim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this case, less than five percent of the trial dealt with liability. The liability deduction was but 10%. Given the minimal time spent on liability and the minor degree of fault allocated to the plaintiff, I find that in the circumstances of this case it is appropriate that the plaintiff recover 100% of her costs up to February 1, 2008, the date of the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Costs: Post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Rule 37B - Judicial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offer to settle was made pursuant to the provisions of Rule 37. On July 1, 2008 Rule 37B came into effect. The parties are in agreement that Rule 37B is the governing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relevant provisions of Rule 37B are as follows:</w:t>
      </w:r>
      <w:r>
        <w:rPr>
          <w:rFonts w:ascii="arial" w:eastAsia="arial" w:hAnsi="arial" w:cs="arial"/>
          <w:sz w:val="20"/>
          <w:lang w:val="en-US" w:eastAsia="en-US" w:bidi="ar-SA"/>
        </w:rPr>
        <w:cr/>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consider an offer to settle when exercising the court's discretion in relation to costs.</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 proceeding in which an offer to settle has been made, the court may do one or both of the following:</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deprive a party, in whole or in part, of costs to which the party would otherwise be entitled in respect of the steps taken in the proceeding after the date of delivery of the offer to settle;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double costs of all or some of the steps taken in the proceeding after the date of delivery of the offer to settle.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making an order under subrule (5), the court may consider the following:</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offer to settle was one that ought reasonably to have been accepted, either on the date that the offer to settle was delivered or on any later date;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the terms of settlement offered and the final judgment of the court;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financial circumstances of the parties;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factor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Rule 37B(5) sets out the cost options in a proceeding in which an offer to settle has been made. In </w:t>
      </w:r>
      <w:r>
        <w:rPr>
          <w:rFonts w:ascii="arial" w:eastAsia="arial" w:hAnsi="arial" w:cs="arial"/>
          <w:b/>
          <w:i/>
          <w:color w:val="000000"/>
          <w:sz w:val="20"/>
          <w:lang w:val="en-US" w:eastAsia="en-US" w:bidi="ar-SA"/>
        </w:rPr>
        <w:t>BCSPCA v. Baker</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2008 BCSC 947</w:t>
        </w:r>
      </w:hyperlink>
      <w:r>
        <w:rPr>
          <w:rFonts w:ascii="arial" w:eastAsia="arial" w:hAnsi="arial" w:cs="arial"/>
          <w:color w:val="000000"/>
          <w:sz w:val="20"/>
          <w:lang w:val="en-US" w:eastAsia="en-US" w:bidi="ar-SA"/>
        </w:rPr>
        <w:t>, Mr. Justice Preston at para. 15 concluded that subrule (5) was permissive and empowered the court to make either type of order mentioned in the subrule. He noted that by necessary implication, it contemplated that the court may make an order that denies one of the two forms of relief set out in the subrule. He did not suggest that the court could make a different form of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Arnold v. Cartwright Estate</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2008 BCSC 1575</w:t>
        </w:r>
      </w:hyperlink>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86 B.C.L.R. (4th) 99</w:t>
        </w:r>
      </w:hyperlink>
      <w:r>
        <w:rPr>
          <w:rFonts w:ascii="arial" w:eastAsia="arial" w:hAnsi="arial" w:cs="arial"/>
          <w:color w:val="000000"/>
          <w:sz w:val="20"/>
          <w:lang w:val="en-US" w:eastAsia="en-US" w:bidi="ar-SA"/>
        </w:rPr>
        <w:t>, the court held at paras. 15-16 that it was implied in Rule 37B(5) that the court could order costs to a defendant where an offer to settle was in an amount greater than the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Subrule (5) is permissive: </w:t>
      </w:r>
      <w:r>
        <w:rPr>
          <w:rFonts w:ascii="arial" w:eastAsia="arial" w:hAnsi="arial" w:cs="arial"/>
          <w:i/>
          <w:color w:val="000000"/>
          <w:sz w:val="20"/>
          <w:lang w:val="en-US" w:eastAsia="en-US" w:bidi="ar-SA"/>
        </w:rPr>
        <w:t>British Columbia Society for the Prevention of Cruelty to Animals v. Baker</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2008 BCSC 947</w:t>
        </w:r>
      </w:hyperlink>
      <w:r>
        <w:rPr>
          <w:rFonts w:ascii="arial" w:eastAsia="arial" w:hAnsi="arial" w:cs="arial"/>
          <w:color w:val="000000"/>
          <w:sz w:val="20"/>
          <w:lang w:val="en-US" w:eastAsia="en-US" w:bidi="ar-SA"/>
        </w:rPr>
        <w:t>. It does not specifically state that it is possible for the court to order costs to a defendant where an offer to settle was in an amount greater than the judgment. Nevertheless, that is implied in the rule. If the court can deprive a party of costs or order double costs, it must also be able to order costs, the intermediate step between those two extremes.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One of the goals of Rule 37B, like the former Rule 37, is to promote settlements by providing that there will be consequences in the amount of costs payable when a party fails to accept an offer that ought reasonably to have been accepted. That goal would be frustrated if Rule 37B(5) did not permit the court the option of awarding costs of all or some of the steps taken in a proceeding after the date of delivery of an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Arnold</w:t>
      </w:r>
      <w:r>
        <w:rPr>
          <w:rFonts w:ascii="arial" w:eastAsia="arial" w:hAnsi="arial" w:cs="arial"/>
          <w:color w:val="000000"/>
          <w:sz w:val="20"/>
          <w:lang w:val="en-US" w:eastAsia="en-US" w:bidi="ar-SA"/>
        </w:rPr>
        <w:t xml:space="preserve"> was followed by Martinson J. in </w:t>
      </w:r>
      <w:r>
        <w:rPr>
          <w:rFonts w:ascii="arial" w:eastAsia="arial" w:hAnsi="arial" w:cs="arial"/>
          <w:b/>
          <w:i/>
          <w:color w:val="000000"/>
          <w:sz w:val="20"/>
          <w:lang w:val="en-US" w:eastAsia="en-US" w:bidi="ar-SA"/>
        </w:rPr>
        <w:t>Leus v. Laidman</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2008 BCSC 1819</w:t>
        </w:r>
      </w:hyperlink>
      <w:r>
        <w:rPr>
          <w:rFonts w:ascii="arial" w:eastAsia="arial" w:hAnsi="arial" w:cs="arial"/>
          <w:color w:val="000000"/>
          <w:sz w:val="20"/>
          <w:lang w:val="en-US" w:eastAsia="en-US" w:bidi="ar-SA"/>
        </w:rPr>
        <w:t xml:space="preserve">, and Gropper J. in </w:t>
      </w:r>
      <w:r>
        <w:rPr>
          <w:rFonts w:ascii="arial" w:eastAsia="arial" w:hAnsi="arial" w:cs="arial"/>
          <w:b/>
          <w:i/>
          <w:color w:val="000000"/>
          <w:sz w:val="20"/>
          <w:lang w:val="en-US" w:eastAsia="en-US" w:bidi="ar-SA"/>
        </w:rPr>
        <w:t>Abma v. Paul</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2009 BCSC 60</w:t>
        </w:r>
      </w:hyperlink>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Goertz v. Calin</w:t>
      </w:r>
      <w:r>
        <w:rPr>
          <w:rFonts w:ascii="arial" w:eastAsia="arial" w:hAnsi="arial" w:cs="arial"/>
          <w:color w:val="000000"/>
          <w:sz w:val="20"/>
          <w:lang w:val="en-US" w:eastAsia="en-US" w:bidi="ar-SA"/>
        </w:rPr>
        <w:t xml:space="preserve">, </w:t>
      </w:r>
      <w:hyperlink r:id="rId398" w:history="1">
        <w:r>
          <w:rPr>
            <w:rFonts w:ascii="arial" w:eastAsia="arial" w:hAnsi="arial" w:cs="arial"/>
            <w:i/>
            <w:color w:val="0077CC"/>
            <w:sz w:val="20"/>
            <w:u w:val="single"/>
            <w:shd w:val="clear" w:color="auto" w:fill="FFFFFF"/>
            <w:lang w:val="en-US" w:eastAsia="en-US" w:bidi="ar-SA"/>
          </w:rPr>
          <w:t>2008 BCSC 1716</w:t>
        </w:r>
      </w:hyperlink>
      <w:r>
        <w:rPr>
          <w:rFonts w:ascii="arial" w:eastAsia="arial" w:hAnsi="arial" w:cs="arial"/>
          <w:color w:val="000000"/>
          <w:sz w:val="20"/>
          <w:lang w:val="en-US" w:eastAsia="en-US" w:bidi="ar-SA"/>
        </w:rPr>
        <w:t>, Garson J. appeared to take a different view. She concluded that a judge is limited to the cost options set out in Rule 37B(5). She held that Rule 37B(5) did not permit a judge the option to order otherwise than as set out in the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As restated in </w:t>
      </w:r>
      <w:r>
        <w:rPr>
          <w:rFonts w:ascii="arial" w:eastAsia="arial" w:hAnsi="arial" w:cs="arial"/>
          <w:b/>
          <w:i/>
          <w:color w:val="000000"/>
          <w:sz w:val="20"/>
          <w:lang w:val="en-US" w:eastAsia="en-US" w:bidi="ar-SA"/>
        </w:rPr>
        <w:t>McCready v. Nanaimo (City)</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2005 BCSC 762</w:t>
        </w:r>
      </w:hyperlink>
      <w:r>
        <w:rPr>
          <w:rFonts w:ascii="arial" w:eastAsia="arial" w:hAnsi="arial" w:cs="arial"/>
          <w:color w:val="000000"/>
          <w:sz w:val="20"/>
          <w:lang w:val="en-US" w:eastAsia="en-US" w:bidi="ar-SA"/>
        </w:rPr>
        <w:t xml:space="preserve"> at paras. 46-47, </w:t>
      </w:r>
      <w:hyperlink r:id="rId399" w:history="1">
        <w:r>
          <w:rPr>
            <w:rFonts w:ascii="arial" w:eastAsia="arial" w:hAnsi="arial" w:cs="arial"/>
            <w:i/>
            <w:color w:val="0077CC"/>
            <w:sz w:val="20"/>
            <w:u w:val="single"/>
            <w:shd w:val="clear" w:color="auto" w:fill="FFFFFF"/>
            <w:lang w:val="en-US" w:eastAsia="en-US" w:bidi="ar-SA"/>
          </w:rPr>
          <w:t>46 B.C.L.R. (4th) 331</w:t>
        </w:r>
      </w:hyperlink>
      <w:r>
        <w:rPr>
          <w:rFonts w:ascii="arial" w:eastAsia="arial" w:hAnsi="arial" w:cs="arial"/>
          <w:color w:val="000000"/>
          <w:sz w:val="20"/>
          <w:lang w:val="en-US" w:eastAsia="en-US" w:bidi="ar-SA"/>
        </w:rPr>
        <w:t>, a trial judge should depart from the judgment of another judge of the same court only in the following circumstances: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subsequent decisions have effected the validity of the impugned judgment;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demonstrated that some binding authority in case law, or some relevant statute was not considered;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judgment was unconsidered, a </w:t>
      </w:r>
      <w:r>
        <w:rPr>
          <w:rFonts w:ascii="arial" w:eastAsia="arial" w:hAnsi="arial" w:cs="arial"/>
          <w:i/>
          <w:color w:val="000000"/>
          <w:sz w:val="20"/>
          <w:lang w:val="en-US" w:eastAsia="en-US" w:bidi="ar-SA"/>
        </w:rPr>
        <w:t>nisi prius</w:t>
      </w:r>
      <w:r>
        <w:rPr>
          <w:rFonts w:ascii="arial" w:eastAsia="arial" w:hAnsi="arial" w:cs="arial"/>
          <w:color w:val="000000"/>
          <w:sz w:val="20"/>
          <w:lang w:val="en-US" w:eastAsia="en-US" w:bidi="ar-SA"/>
        </w:rPr>
        <w:t xml:space="preserve"> judgment given in circumstances familiar to all trial judges, where the exigencies of the trial require an immediate decision without the opportunity to fully consult authorities; or</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judgment was palpably wrong and based on a patent error of law or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circumstances where there are conflicting decisions, the latter decision is to be preferred if it is reached after full consideration of the earlier decisions: </w:t>
      </w:r>
      <w:r>
        <w:rPr>
          <w:rFonts w:ascii="arial" w:eastAsia="arial" w:hAnsi="arial" w:cs="arial"/>
          <w:b/>
          <w:i/>
          <w:color w:val="000000"/>
          <w:sz w:val="20"/>
          <w:lang w:val="en-US" w:eastAsia="en-US" w:bidi="ar-SA"/>
        </w:rPr>
        <w:t>Tallarico v. Workers' Compensation Appeal Tribunal</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2009 BCSC 49</w:t>
        </w:r>
      </w:hyperlink>
      <w:r>
        <w:rPr>
          <w:rFonts w:ascii="arial" w:eastAsia="arial" w:hAnsi="arial" w:cs="arial"/>
          <w:color w:val="000000"/>
          <w:sz w:val="20"/>
          <w:lang w:val="en-US" w:eastAsia="en-US" w:bidi="ar-SA"/>
        </w:rPr>
        <w:t xml:space="preserve">. Where there are conflicting decisions, and the second decision is given in ignorance of the first, the judge is free to choose between the two decisions and should not start with any preference for one over the other: </w:t>
      </w:r>
      <w:r>
        <w:rPr>
          <w:rFonts w:ascii="arial" w:eastAsia="arial" w:hAnsi="arial" w:cs="arial"/>
          <w:b/>
          <w:i/>
          <w:color w:val="000000"/>
          <w:sz w:val="20"/>
          <w:lang w:val="en-US" w:eastAsia="en-US" w:bidi="ar-SA"/>
        </w:rPr>
        <w:t>Niebuhr v. Vancouver (City) Board of Variance</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2006 BCSC 1425</w:t>
        </w:r>
      </w:hyperlink>
      <w:r>
        <w:rPr>
          <w:rFonts w:ascii="arial" w:eastAsia="arial" w:hAnsi="arial" w:cs="arial"/>
          <w:color w:val="000000"/>
          <w:sz w:val="20"/>
          <w:lang w:val="en-US" w:eastAsia="en-US" w:bidi="ar-SA"/>
        </w:rPr>
        <w:t xml:space="preserve"> at para. 38, </w:t>
      </w:r>
      <w:hyperlink r:id="rId401" w:history="1">
        <w:r>
          <w:rPr>
            <w:rFonts w:ascii="arial" w:eastAsia="arial" w:hAnsi="arial" w:cs="arial"/>
            <w:i/>
            <w:color w:val="0077CC"/>
            <w:sz w:val="20"/>
            <w:u w:val="single"/>
            <w:shd w:val="clear" w:color="auto" w:fill="FFFFFF"/>
            <w:lang w:val="en-US" w:eastAsia="en-US" w:bidi="ar-SA"/>
          </w:rPr>
          <w:t>60 B.C.L.R. (4th) 135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this case, Justice Garson's decision was made without reference to </w:t>
      </w:r>
      <w:r>
        <w:rPr>
          <w:rFonts w:ascii="arial" w:eastAsia="arial" w:hAnsi="arial" w:cs="arial"/>
          <w:b/>
          <w:i/>
          <w:color w:val="000000"/>
          <w:sz w:val="20"/>
          <w:lang w:val="en-US" w:eastAsia="en-US" w:bidi="ar-SA"/>
        </w:rPr>
        <w:t>Arnold</w:t>
      </w:r>
      <w:r>
        <w:rPr>
          <w:rFonts w:ascii="arial" w:eastAsia="arial" w:hAnsi="arial" w:cs="arial"/>
          <w:color w:val="000000"/>
          <w:sz w:val="20"/>
          <w:lang w:val="en-US" w:eastAsia="en-US" w:bidi="ar-SA"/>
        </w:rPr>
        <w:t>. The subsequent decisions of Justices Martinson and Gropper were made without reference to the decision of Justice Garson. None of the decisions referred to the history of the rule or the jurisprudence governing the court's discretion to make costs orders. In the circumstances I have concluded that I can properly consider this matter afresh and will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Payments into Court - Legislative and Judicial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defendant's right to make a payment into court while maintaining a denial liability can be traced back to the initial Supreme Court Rules adopted in 1890 (o. 22. r. 6). The initial Rule did not reference any cost implications arising from a plaintiff not accepting the defendant's payment into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Wagstaffe v. Bentley</w:t>
      </w:r>
      <w:r>
        <w:rPr>
          <w:rFonts w:ascii="arial" w:eastAsia="arial" w:hAnsi="arial" w:cs="arial"/>
          <w:color w:val="000000"/>
          <w:sz w:val="20"/>
          <w:lang w:val="en-US" w:eastAsia="en-US" w:bidi="ar-SA"/>
        </w:rPr>
        <w:t xml:space="preserve"> (1902), 1 K.B. 124 (C.A.), which dealt with the equivalent English rule, held that when a defendant paid into court without an admission of liability and the plaintiff recovered less than the amount paid in it, that the question of liability and the quantum of damages were distinct issues and that when the amount recovered is less than that paid into Court, the defendant was entitled to judgment for the costs of the action subsequent to the payment in, but not including the cost occasioned by the issue of liability, which latter costs should, together with those incurred before payment in, go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Aghion v. T.M. Stevens &amp; Company Incorporated</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(1920), 30 B.C.R. 77</w:t>
        </w:r>
      </w:hyperlink>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60 D.L.R. 395</w:t>
        </w:r>
      </w:hyperlink>
      <w:r>
        <w:rPr>
          <w:rFonts w:ascii="arial" w:eastAsia="arial" w:hAnsi="arial" w:cs="arial"/>
          <w:color w:val="000000"/>
          <w:sz w:val="20"/>
          <w:lang w:val="en-US" w:eastAsia="en-US" w:bidi="ar-SA"/>
        </w:rPr>
        <w:t xml:space="preserve"> (C.A.), the British Columbia Court of Appeal followed Wagstaffe and held that the plaintiff was entitled to the costs of the issue as to liability and the defendant to the costs of the issue as to the amount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1925, o. 22 r. 6 was amended to add a specific cost consequence: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defendant pays money into court with a denial of liability, and at the trial the plaintiff recovers less than the amount paid in, the plaintiff shall be entitled to the costs of the issue as to liability and the defendant to the costs of the issue as to the amount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Rule remained in that form until the adoption of the 1961 Supreme Court Rules. In those rules 0. 22 r. 6 was again amended. The specific cost consequences were removed and the court's discretion returned. The pertinent part of the Rule now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judge may, to such extent (if any), as he may think appropriate in all the circumstances, give such directions as to the payment of costs occasioned by the failure of any party to accept the amount paid into court as he shall think fit. (o. 22 r.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principles to be followed in the exercise of the discretion conferred by the 1961 Rules were established in a series of judgments which held that if a plaintiff elects not to accept a payment into court and was awarded less than the sum paid in, he should normally be ordered to pay all costs subsequent to the date of payment in: </w:t>
      </w:r>
      <w:r>
        <w:rPr>
          <w:rFonts w:ascii="arial" w:eastAsia="arial" w:hAnsi="arial" w:cs="arial"/>
          <w:b/>
          <w:i/>
          <w:color w:val="000000"/>
          <w:sz w:val="20"/>
          <w:lang w:val="en-US" w:eastAsia="en-US" w:bidi="ar-SA"/>
        </w:rPr>
        <w:t>Kittson v. Ravelli Enterprises et al and Wilson Freightways Ltd.</w:t>
      </w:r>
      <w:r>
        <w:rPr>
          <w:rFonts w:ascii="arial" w:eastAsia="arial" w:hAnsi="arial" w:cs="arial"/>
          <w:color w:val="000000"/>
          <w:sz w:val="20"/>
          <w:lang w:val="en-US" w:eastAsia="en-US" w:bidi="ar-SA"/>
        </w:rPr>
        <w:t xml:space="preserve"> (1964), 48 W.W.R. 437 (B.C.S.C.); </w:t>
      </w:r>
      <w:r>
        <w:rPr>
          <w:rFonts w:ascii="arial" w:eastAsia="arial" w:hAnsi="arial" w:cs="arial"/>
          <w:b/>
          <w:i/>
          <w:color w:val="000000"/>
          <w:sz w:val="20"/>
          <w:lang w:val="en-US" w:eastAsia="en-US" w:bidi="ar-SA"/>
        </w:rPr>
        <w:t>Miller v. Lawer et al</w:t>
      </w:r>
      <w:r>
        <w:rPr>
          <w:rFonts w:ascii="arial" w:eastAsia="arial" w:hAnsi="arial" w:cs="arial"/>
          <w:color w:val="000000"/>
          <w:sz w:val="20"/>
          <w:lang w:val="en-US" w:eastAsia="en-US" w:bidi="ar-SA"/>
        </w:rPr>
        <w:t xml:space="preserve"> (1964), 49 W.W.R. 497 (B.C.S.C.); </w:t>
      </w:r>
      <w:r>
        <w:rPr>
          <w:rFonts w:ascii="arial" w:eastAsia="arial" w:hAnsi="arial" w:cs="arial"/>
          <w:b/>
          <w:i/>
          <w:color w:val="000000"/>
          <w:sz w:val="20"/>
          <w:lang w:val="en-US" w:eastAsia="en-US" w:bidi="ar-SA"/>
        </w:rPr>
        <w:t>Wedlock et al v. Mezzil</w:t>
      </w:r>
      <w:r>
        <w:rPr>
          <w:rFonts w:ascii="arial" w:eastAsia="arial" w:hAnsi="arial" w:cs="arial"/>
          <w:color w:val="000000"/>
          <w:sz w:val="20"/>
          <w:lang w:val="en-US" w:eastAsia="en-US" w:bidi="ar-SA"/>
        </w:rPr>
        <w:t xml:space="preserve"> (1967), 62 W.W.R. 190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1977, Rule 37 was introduced. The relevant portions of that Rule read:</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time before the commencement of the trial a defendant may pay into Court a sum of money in satisfaction of the whole or part of a claim for which the plaintiff sues.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plaintiff proceeds with an action and recovers less than the amount paid into Court,</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may tax his costs reasonably incurred up to delivery to him of a copy of the notice under subrule (7) and, provided the notice was delivered at least 7 days prior to the commencement of the trial, the defendant may tax his costs reasonably incurred after delivery of the notice to the plaintiff; but if the notice was delivered less than 7 days prior to the commencement of the trial, the costs of any steps taken by the parties subsequent to delivery shall be in the discretion of the Court, and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paid in shall be applied in satisfaction of the plaintiff's judgment after set-off of the defendant's costs, if any, and any balance shall be repaid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Kellner (Guardian ad litem of) v. Greig</w:t>
      </w:r>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(1979), 15 B.C.L.R. 126</w:t>
        </w:r>
      </w:hyperlink>
      <w:r>
        <w:rPr>
          <w:rFonts w:ascii="arial" w:eastAsia="arial" w:hAnsi="arial" w:cs="arial"/>
          <w:color w:val="000000"/>
          <w:sz w:val="20"/>
          <w:lang w:val="en-US" w:eastAsia="en-US" w:bidi="ar-SA"/>
        </w:rPr>
        <w:t xml:space="preserve"> at 130, </w:t>
      </w:r>
      <w:hyperlink r:id="rId403" w:history="1">
        <w:r>
          <w:rPr>
            <w:rFonts w:ascii="arial" w:eastAsia="arial" w:hAnsi="arial" w:cs="arial"/>
            <w:i/>
            <w:color w:val="0077CC"/>
            <w:sz w:val="20"/>
            <w:u w:val="single"/>
            <w:shd w:val="clear" w:color="auto" w:fill="FFFFFF"/>
            <w:lang w:val="en-US" w:eastAsia="en-US" w:bidi="ar-SA"/>
          </w:rPr>
          <w:t>103 D.L.R. (3d) 244</w:t>
        </w:r>
      </w:hyperlink>
      <w:r>
        <w:rPr>
          <w:rFonts w:ascii="arial" w:eastAsia="arial" w:hAnsi="arial" w:cs="arial"/>
          <w:color w:val="000000"/>
          <w:sz w:val="20"/>
          <w:lang w:val="en-US" w:eastAsia="en-US" w:bidi="ar-SA"/>
        </w:rPr>
        <w:t xml:space="preserve"> (C.A.), the court noted that the 1961 Rules gave judges a much broader discretion than enjoyed under the 1977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1993, Rule 37 was recast (B.C. Reg. 55/93). Payments into court were replaced by offers to settle. The cost consequences arising from an offer to settle were set out in Rule 37(24) which read:</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defendant has made an offer to settle a claim for money, and it has not expired or been withdrawn or been accepted, and if the plaintiff obtains judgment for the amount of money specified in the offer or a lesser amount, the plaintiff is entitled to costs assessed to the date the offer was delivered, and the defendant is entitled to costs assessed from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1999 Rule 37(24) was amended in order to allow awards of double costs when an action was dismissed subsequent to an offer to settle (B.C. Reg. 149/99). The amended Rule read:</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defendant has made an offer to settle a claim for money and the offer has not expired or been withdrawn or been accepted.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 obtains judgment for the amount of money specified in the offer or a lesser amount, the plaintiff is entitled to costs assessed to the date the offer was delivered and the defendant is entitled to costs assessed from that date, or</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plaintiff's claim is dismissed, the defendant is entitled to costs assessed to the date the offer was delivered and to double costs assessed from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Those costs consequences remained in force until the introduction of Rule 37B which became effective July 1,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Over time the cost provisions of Rule 37 were determined to be a complete code with respect to offers to settle, allowing for no judicial discretion: </w:t>
      </w:r>
      <w:r>
        <w:rPr>
          <w:rFonts w:ascii="arial" w:eastAsia="arial" w:hAnsi="arial" w:cs="arial"/>
          <w:b/>
          <w:i/>
          <w:color w:val="000000"/>
          <w:sz w:val="20"/>
          <w:lang w:val="en-US" w:eastAsia="en-US" w:bidi="ar-SA"/>
        </w:rPr>
        <w:t>Cridge v. Harper Grey Easton &amp; Co.</w:t>
      </w:r>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2005 BCCA 33</w:t>
        </w:r>
      </w:hyperlink>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37 B.C.L.R. (4th) 62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operation of Rule 37(24)(a) was the subject of some criticism. It was suggested that it worked an unfair hardship on plaintiffs because an injured plaintiff was deprived not only of costs and disbursements to which he or she would otherwise be entitled, but also had to pay the defendant's costs and disbursements. The amount of those costs and disbursements would often be unknown in advance of trial making it difficult for a plaintiff to calculate with precision their potential exposure if unsuccessful. Counsel's attempt to convince the Court of Appeal to modify the rule did not meet with success: </w:t>
      </w:r>
      <w:r>
        <w:rPr>
          <w:rFonts w:ascii="arial" w:eastAsia="arial" w:hAnsi="arial" w:cs="arial"/>
          <w:b/>
          <w:i/>
          <w:color w:val="000000"/>
          <w:sz w:val="20"/>
          <w:lang w:val="en-US" w:eastAsia="en-US" w:bidi="ar-SA"/>
        </w:rPr>
        <w:t>Bedwell v. McGill</w:t>
      </w:r>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2008 BCCA 526</w:t>
        </w:r>
      </w:hyperlink>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86 B.C.L.R. (4th) 343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Judicial Discretion In Awarding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discretion a Supreme Court judge has in awarding costs was summarized in </w:t>
      </w:r>
      <w:r>
        <w:rPr>
          <w:rFonts w:ascii="arial" w:eastAsia="arial" w:hAnsi="arial" w:cs="arial"/>
          <w:b/>
          <w:i/>
          <w:color w:val="000000"/>
          <w:sz w:val="20"/>
          <w:lang w:val="en-US" w:eastAsia="en-US" w:bidi="ar-SA"/>
        </w:rPr>
        <w:t>Stiles v. British Columbia (Workers' Compensation Board)</w:t>
      </w:r>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(1989), 38 B.C.L.R. (2d) 307</w:t>
        </w:r>
      </w:hyperlink>
      <w:r>
        <w:rPr>
          <w:rFonts w:ascii="arial" w:eastAsia="arial" w:hAnsi="arial" w:cs="arial"/>
          <w:color w:val="000000"/>
          <w:sz w:val="20"/>
          <w:lang w:val="en-US" w:eastAsia="en-US" w:bidi="ar-SA"/>
        </w:rPr>
        <w:t xml:space="preserve"> at 310, </w:t>
      </w:r>
      <w:hyperlink r:id="rId406" w:history="1">
        <w:r>
          <w:rPr>
            <w:rFonts w:ascii="arial" w:eastAsia="arial" w:hAnsi="arial" w:cs="arial"/>
            <w:i/>
            <w:color w:val="0077CC"/>
            <w:sz w:val="20"/>
            <w:u w:val="single"/>
            <w:shd w:val="clear" w:color="auto" w:fill="FFFFFF"/>
            <w:lang w:val="en-US" w:eastAsia="en-US" w:bidi="ar-SA"/>
          </w:rPr>
          <w:t>39 C.P.C. (2d) 74</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power of a Supreme Court judge to award costs stems from s. 3 of the Supreme Court Act which confirms that the judges of the Supreme Court have the inherent powers of a judge of superior court of record. The power to award costs is governed by the laws in force in England before 1858 and by the enactments, including the Rules of Court, affecting costs made in British Columbia since 1858. Generally, the decisions on costs, including both whether to award costs, and, if awarded, how to calculate them, are decisions governed by a wide measure of discretion. See </w:t>
      </w:r>
      <w:r>
        <w:rPr>
          <w:rFonts w:ascii="arial" w:eastAsia="arial" w:hAnsi="arial" w:cs="arial"/>
          <w:i/>
          <w:color w:val="000000"/>
          <w:sz w:val="20"/>
          <w:lang w:val="en-US" w:eastAsia="en-US" w:bidi="ar-SA"/>
        </w:rPr>
        <w:t>Oasis Hotel Ltd. v. Zurich Ins. Co.</w:t>
      </w:r>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28 B.C.L.R. 230</w:t>
        </w:r>
      </w:hyperlink>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[1981] 5 W.W.R. 24</w:t>
        </w:r>
      </w:hyperlink>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21 C.P.C. 260</w:t>
        </w:r>
      </w:hyperlink>
      <w:r>
        <w:rPr>
          <w:rFonts w:ascii="arial" w:eastAsia="arial" w:hAnsi="arial" w:cs="arial"/>
          <w:color w:val="000000"/>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[1982] I.L.R. 1-1459</w:t>
        </w:r>
      </w:hyperlink>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124 D.L.R. (3d) 455</w:t>
        </w:r>
      </w:hyperlink>
      <w:r>
        <w:rPr>
          <w:rFonts w:ascii="arial" w:eastAsia="arial" w:hAnsi="arial" w:cs="arial"/>
          <w:color w:val="000000"/>
          <w:sz w:val="20"/>
          <w:lang w:val="en-US" w:eastAsia="en-US" w:bidi="ar-SA"/>
        </w:rPr>
        <w:t xml:space="preserve"> (C.A.). The discretion must be exercised judicially, i.e. not arbitrarily or capriciously. And, as I have said, it must be exercised consistently with the Rules of Court. But it would be a sorry result if like cases were not decided in like ways with respect to costs. So, by judicial comity, principles have developed which guide the exercise of the discretion of a judge with respect to costs. Those principles should be consistently applied: if a judge declines to apply them, without a reason for doing so, he may be considered to have acted arbitrarily or capriciously and not judicially.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Cridge</w:t>
      </w:r>
      <w:r>
        <w:rPr>
          <w:rFonts w:ascii="arial" w:eastAsia="arial" w:hAnsi="arial" w:cs="arial"/>
          <w:color w:val="000000"/>
          <w:sz w:val="20"/>
          <w:lang w:val="en-US" w:eastAsia="en-US" w:bidi="ar-SA"/>
        </w:rPr>
        <w:t>, Lowry J.A. noted the right of the Lieutenant Governor in Council to restrict the exercise of a Supreme Court judge's discretion in awarding costs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subject to abiding by established principles, a Supreme Court judge has a broad discretion in awarding costs, it remains open to the Lieutenant Governor in Council in promulgating the Rules of Court to restrict the exercise of that discretion as may be appropriate where it is thought that to do so will achieve a desired objective. The purpose of Rule 37 is to encourage the settlement of litigation through prescribed consequences in costs as in sub-rule (24). Given that the sub-rule provides for the litigants' entitlement to costs while affording no discretionary alternative, I consider it clear that there is no room for judicial discretion where sub-rule (24)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 trial judge cannot impose cost sanctions that are not authorized by the Rules. An example of an ill fated attempt to do so is </w:t>
      </w:r>
      <w:r>
        <w:rPr>
          <w:rFonts w:ascii="arial" w:eastAsia="arial" w:hAnsi="arial" w:cs="arial"/>
          <w:b/>
          <w:i/>
          <w:color w:val="000000"/>
          <w:sz w:val="20"/>
          <w:lang w:val="en-US" w:eastAsia="en-US" w:bidi="ar-SA"/>
        </w:rPr>
        <w:t>Kurtakis v. Canadian Northern Shield Insurance Co.</w:t>
      </w:r>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(1995), 17 B.C.L.R. (3d) 197</w:t>
        </w:r>
      </w:hyperlink>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45 C.P.C. (3d) 294</w:t>
        </w:r>
      </w:hyperlink>
      <w:r>
        <w:rPr>
          <w:rFonts w:ascii="arial" w:eastAsia="arial" w:hAnsi="arial" w:cs="arial"/>
          <w:color w:val="000000"/>
          <w:sz w:val="20"/>
          <w:lang w:val="en-US" w:eastAsia="en-US" w:bidi="ar-SA"/>
        </w:rPr>
        <w:t xml:space="preserve"> (C.A.). In </w:t>
      </w:r>
      <w:r>
        <w:rPr>
          <w:rFonts w:ascii="arial" w:eastAsia="arial" w:hAnsi="arial" w:cs="arial"/>
          <w:b/>
          <w:i/>
          <w:color w:val="000000"/>
          <w:sz w:val="20"/>
          <w:lang w:val="en-US" w:eastAsia="en-US" w:bidi="ar-SA"/>
        </w:rPr>
        <w:t>Kurtakis</w:t>
      </w:r>
      <w:r>
        <w:rPr>
          <w:rFonts w:ascii="arial" w:eastAsia="arial" w:hAnsi="arial" w:cs="arial"/>
          <w:color w:val="000000"/>
          <w:sz w:val="20"/>
          <w:lang w:val="en-US" w:eastAsia="en-US" w:bidi="ar-SA"/>
        </w:rPr>
        <w:t>, the trial judge awarded the plaintiff three times special costs. The Court of Appeal reversed noting at para. 9 that there was "no statutory authority for such an order ... and therefore no basis upon which such an order could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Rule 37B has returned to judges a broad discretion in regards to costs orders arising from an offer to settle. The discretion is however not unlimited and must be exercised within the parameters set out in the Rule. Rule 37B(5) dictates the cost options open to a judge when an offer to settle has been made. A judge can either deprive the party, in whole or in part, of costs to which the party would otherwise be entitled in respect of steps taken in the proceeding after the date of the delivery of the offer to settle or award double costs of some or all of the steps taken in the proceeding after the delivery of the offer to settle. As noted in </w:t>
      </w:r>
      <w:r>
        <w:rPr>
          <w:rFonts w:ascii="arial" w:eastAsia="arial" w:hAnsi="arial" w:cs="arial"/>
          <w:b/>
          <w:i/>
          <w:color w:val="000000"/>
          <w:sz w:val="20"/>
          <w:lang w:val="en-US" w:eastAsia="en-US" w:bidi="ar-SA"/>
        </w:rPr>
        <w:t>Baker</w:t>
      </w:r>
      <w:r>
        <w:rPr>
          <w:rFonts w:ascii="arial" w:eastAsia="arial" w:hAnsi="arial" w:cs="arial"/>
          <w:color w:val="000000"/>
          <w:sz w:val="20"/>
          <w:lang w:val="en-US" w:eastAsia="en-US" w:bidi="ar-SA"/>
        </w:rPr>
        <w:t>, the section is permissive and a judge is not compelled to do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What a judge cannot do, however, in my respectful opinion, as a result of an offer to settle, is to order costs to a defendant where the offer to settle was in an amount greater than the judgment. While that cost option had existed since the time of the 1890 rules, either as an exercise of the court's discretion or because it was mandated by the terms of the rule, it is not an option available under Rule 37B. The drafters of Rule 37B(5) have removed that option and presumably determined that the potential deprivation of costs to which a plaintiff would otherwise be awarded is a sufficient incentive for plaintiffs to settle litigation. As noted in </w:t>
      </w:r>
      <w:r>
        <w:rPr>
          <w:rFonts w:ascii="arial" w:eastAsia="arial" w:hAnsi="arial" w:cs="arial"/>
          <w:b/>
          <w:i/>
          <w:color w:val="000000"/>
          <w:sz w:val="20"/>
          <w:lang w:val="en-US" w:eastAsia="en-US" w:bidi="ar-SA"/>
        </w:rPr>
        <w:t>Cridge</w:t>
      </w:r>
      <w:r>
        <w:rPr>
          <w:rFonts w:ascii="arial" w:eastAsia="arial" w:hAnsi="arial" w:cs="arial"/>
          <w:color w:val="000000"/>
          <w:sz w:val="20"/>
          <w:lang w:val="en-US" w:eastAsia="en-US" w:bidi="ar-SA"/>
        </w:rPr>
        <w:t>, the Lieutenant Governor in Council has the right to limit the court's discretion. Accordingly, I hold that pursuant to Rule 37B(5) the court cannot award costs to the defendant but is limited to depriving a party of costs or awarding 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 does not seek double costs in this case. It would be a rare case that a plaintiff who recovers damages would face the sanction of double costs. I would expect those sanctions would be limited to situations in which a plaintiff's case is dismissed or when the plaintiff was awarded more than its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Rule 37B(6)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determining whether or not this plaintiff should be deprived of costs to which it otherwise would be entitled, consideration must be given to the factors set out in Rule 37B(6). I will review each factor in turn.</w:t>
      </w:r>
      <w:r>
        <w:rPr>
          <w:rFonts w:ascii="arial" w:eastAsia="arial" w:hAnsi="arial" w:cs="arial"/>
          <w:sz w:val="20"/>
          <w:lang w:val="en-US" w:eastAsia="en-US" w:bidi="ar-SA"/>
        </w:rPr>
        <w:cr/>
      </w:r>
    </w:p>
    <w:p>
      <w:pPr>
        <w:numPr>
          <w:numId w:val="1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Should the offer have been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offer to settle has a value of approximately $620,000, a sum well in excess of the gross judgment. The offer is, however, but a small fraction of the $4 million the plaintiff sought at trial. As noted in </w:t>
      </w:r>
      <w:r>
        <w:rPr>
          <w:rFonts w:ascii="arial" w:eastAsia="arial" w:hAnsi="arial" w:cs="arial"/>
          <w:b/>
          <w:i/>
          <w:color w:val="000000"/>
          <w:sz w:val="20"/>
          <w:lang w:val="en-US" w:eastAsia="en-US" w:bidi="ar-SA"/>
        </w:rPr>
        <w:t>Bailey v. Jang</w:t>
      </w:r>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2008 BCSC 1372</w:t>
        </w:r>
      </w:hyperlink>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63 C.P.C. (6th) 291</w:t>
        </w:r>
      </w:hyperlink>
      <w:r>
        <w:rPr>
          <w:rFonts w:ascii="arial" w:eastAsia="arial" w:hAnsi="arial" w:cs="arial"/>
          <w:color w:val="000000"/>
          <w:sz w:val="20"/>
          <w:lang w:val="en-US" w:eastAsia="en-US" w:bidi="ar-SA"/>
        </w:rPr>
        <w:t>, this analysis is not one to be done based on hindsight once the final result is known. The reasonableness of the plaintiff's decision not to accept the offer to settle must be assessed without reference to the court's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this case, the plaintiff suffered a grievous loss. If the court could be convinced that her DID was caused by the accident, her recovery would be several times the proposed offer. Two medical experts had opined that the accident caused her DID. While her chances of success were not guaranteed, given the size of the offer, the amount she was seeking, and her chances of success, it cannot be said that it was unreasonable for the plaintiff to have rejected the defendant's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Relationship between the offer and the final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offer was considerably more than the final judgment. The offer is not inconsistent with the result the plaintiff knew she would face if she did not succeed on causation. This factor supports the defendant.</w:t>
      </w:r>
      <w:r>
        <w:rPr>
          <w:rFonts w:ascii="arial" w:eastAsia="arial" w:hAnsi="arial" w:cs="arial"/>
          <w:sz w:val="20"/>
          <w:lang w:val="en-US" w:eastAsia="en-US" w:bidi="ar-SA"/>
        </w:rPr>
        <w:cr/>
      </w:r>
    </w:p>
    <w:p>
      <w:pPr>
        <w:numPr>
          <w:numId w:val="1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Relative financial circumstances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parties in this action are the plaintiff and the defendant. The wording of Rule 37B(6)(c) does not allow the court to consider the defendant's insurance coverage: </w:t>
      </w:r>
      <w:r>
        <w:rPr>
          <w:rFonts w:ascii="arial" w:eastAsia="arial" w:hAnsi="arial" w:cs="arial"/>
          <w:b/>
          <w:i/>
          <w:color w:val="000000"/>
          <w:sz w:val="20"/>
          <w:lang w:val="en-US" w:eastAsia="en-US" w:bidi="ar-SA"/>
        </w:rPr>
        <w:t>Bailey</w:t>
      </w:r>
      <w:r>
        <w:rPr>
          <w:rFonts w:ascii="arial" w:eastAsia="arial" w:hAnsi="arial" w:cs="arial"/>
          <w:color w:val="000000"/>
          <w:sz w:val="20"/>
          <w:lang w:val="en-US" w:eastAsia="en-US" w:bidi="ar-SA"/>
        </w:rPr>
        <w:t xml:space="preserve"> at para. 33, </w:t>
      </w:r>
      <w:r>
        <w:rPr>
          <w:rFonts w:ascii="arial" w:eastAsia="arial" w:hAnsi="arial" w:cs="arial"/>
          <w:b/>
          <w:i/>
          <w:color w:val="000000"/>
          <w:sz w:val="20"/>
          <w:lang w:val="en-US" w:eastAsia="en-US" w:bidi="ar-SA"/>
        </w:rPr>
        <w:t>Abma</w:t>
      </w:r>
      <w:r>
        <w:rPr>
          <w:rFonts w:ascii="arial" w:eastAsia="arial" w:hAnsi="arial" w:cs="arial"/>
          <w:color w:val="000000"/>
          <w:sz w:val="20"/>
          <w:lang w:val="en-US" w:eastAsia="en-US" w:bidi="ar-SA"/>
        </w:rPr>
        <w:t xml:space="preserve"> at para. 32. No evidence is before me about the defendant's financial condition. I find this factor to be neutral.</w:t>
      </w:r>
      <w:r>
        <w:rPr>
          <w:rFonts w:ascii="arial" w:eastAsia="arial" w:hAnsi="arial" w:cs="arial"/>
          <w:sz w:val="20"/>
          <w:lang w:val="en-US" w:eastAsia="en-US" w:bidi="ar-SA"/>
        </w:rPr>
        <w:cr/>
      </w:r>
    </w:p>
    <w:p>
      <w:pPr>
        <w:numPr>
          <w:numId w:val="1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Other factors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the circumstances of this case, I think it is appropriate for the court to take into account the circumstances of the plaintiff's claim and why it failed. This claim did not fail because of the plaintiff's lack of credibility or because the plaintiff was in any significant way at fault. The case was lost on a complex causation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Civil cases are determined on the balance of probabilities. In many cases, it is difficult to tell, particularly in advance of trial, on what side the scales will ultimately fall. If the scales are neatly balanced, as they were in this case, it is a factor that the court can properly consider in determining cost consequences under Rule 37B.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 appreciate and accept that notwithstanding the differences between Rule 37B and its predecessors, the underlying legislative policy behind Rule 37B is to encourage the early settlement of disputes by rewarding the party who makes a reasonable settlement offer and penalizing the party who declines to accept such an offer: </w:t>
      </w:r>
      <w:r>
        <w:rPr>
          <w:rFonts w:ascii="arial" w:eastAsia="arial" w:hAnsi="arial" w:cs="arial"/>
          <w:b/>
          <w:i/>
          <w:color w:val="000000"/>
          <w:sz w:val="20"/>
          <w:lang w:val="en-US" w:eastAsia="en-US" w:bidi="ar-SA"/>
        </w:rPr>
        <w:t>MacKenzie v. Brooks</w:t>
      </w:r>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1999 BCCA 623</w:t>
        </w:r>
      </w:hyperlink>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130 B.C.A.C. 95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Skidmore v. Blackmore</w:t>
      </w:r>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(1995), 2 B.C.L.R. (3d) 201</w:t>
        </w:r>
      </w:hyperlink>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55 B.C.A.C. 191</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Radke v. Parry</w:t>
      </w:r>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2008 BCSC 1397</w:t>
        </w:r>
      </w:hyperlink>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64 C.P.C. (6th) 176</w:t>
        </w:r>
      </w:hyperlink>
      <w:r>
        <w:rPr>
          <w:rFonts w:ascii="arial" w:eastAsia="arial" w:hAnsi="arial" w:cs="arial"/>
          <w:color w:val="000000"/>
          <w:sz w:val="20"/>
          <w:lang w:val="en-US" w:eastAsia="en-US" w:bidi="ar-SA"/>
        </w:rPr>
        <w:t xml:space="preserve">. Parties should not however be unduly deterred from bringing a meritorious, albeit uncertain claim, because of the fear that a punishing cost order could potentially wipe out their award of damage award. In that regard I note the comments of McLachlin J.A., as she then was, in </w:t>
      </w:r>
      <w:r>
        <w:rPr>
          <w:rFonts w:ascii="arial" w:eastAsia="arial" w:hAnsi="arial" w:cs="arial"/>
          <w:b/>
          <w:i/>
          <w:color w:val="000000"/>
          <w:sz w:val="20"/>
          <w:lang w:val="en-US" w:eastAsia="en-US" w:bidi="ar-SA"/>
        </w:rPr>
        <w:t>Houweling Nurseries Ltd. v. Fisons Western Corp.</w:t>
      </w:r>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(1988), 37 B.C.L.R. (2d) 2</w:t>
        </w:r>
      </w:hyperlink>
      <w:r>
        <w:rPr>
          <w:rFonts w:ascii="arial" w:eastAsia="arial" w:hAnsi="arial" w:cs="arial"/>
          <w:color w:val="000000"/>
          <w:sz w:val="20"/>
          <w:lang w:val="en-US" w:eastAsia="en-US" w:bidi="ar-SA"/>
        </w:rPr>
        <w:t xml:space="preserve"> at 25, </w:t>
      </w:r>
      <w:hyperlink r:id="rId414" w:history="1">
        <w:r>
          <w:rPr>
            <w:rFonts w:ascii="arial" w:eastAsia="arial" w:hAnsi="arial" w:cs="arial"/>
            <w:i/>
            <w:color w:val="0077CC"/>
            <w:sz w:val="20"/>
            <w:u w:val="single"/>
            <w:shd w:val="clear" w:color="auto" w:fill="FFFFFF"/>
            <w:lang w:val="en-US" w:eastAsia="en-US" w:bidi="ar-SA"/>
          </w:rPr>
          <w:t>49 D.L.R. (4th) 205</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Costs in our system of litigation serve the purpose, not only of indemnifying the successful litigant to a greater or lesser degree, but of deterring frivolous actions or defences. Parties, in calculating the risks of proceeding with a particular action or defence, should be able to forecast with some degree of precision what penalty they face should they be unsuccessful. Moreover, there is a sound reason for keeping costs within relatively modest limits. The possibility of high costs may unduly deter a party from bringing an uncertain but meritorious claim or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Regardless of the merits of the plaintiff's case the defendant's offer to settle cannot be ignored, because to do so would undermine the purpose of the Rule. Having decided to proceed in face of a not insignificant and ultimately successful offer to settle, the plaintiff cannot avoid some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Taking all of the above matters into account, I order that the plaintiff be deprived of all tariff items to which she would otherwise be entitled in respect of the steps taken in the proceeding after February 1, 2008. The plaintiff will, however, be entitled to recover from the defendant all her disbursements. There will be no costs to either party in regard to the April 6, 2009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R.B.T. GOEPEL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May 19,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Revised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Please be advised that the attached Supplemental Reasons for Judgment of Mr. Justice R.B.T. Goepel dated April 15, 2009 have been edited.</w:t>
      </w:r>
      <w:r>
        <w:rPr>
          <w:rFonts w:ascii="arial" w:eastAsia="arial" w:hAnsi="arial" w:cs="arial"/>
          <w:sz w:val="20"/>
          <w:lang w:val="en-US" w:eastAsia="en-US" w:bidi="ar-SA"/>
        </w:rPr>
        <w:cr/>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last sentence of paragraph 54 on page 18, the word "</w:t>
      </w:r>
      <w:r>
        <w:rPr>
          <w:rFonts w:ascii="arial" w:eastAsia="arial" w:hAnsi="arial" w:cs="arial"/>
          <w:i/>
          <w:color w:val="000000"/>
          <w:sz w:val="20"/>
          <w:lang w:val="en-US" w:eastAsia="en-US" w:bidi="ar-SA"/>
        </w:rPr>
        <w:t>l</w:t>
      </w:r>
      <w:r>
        <w:rPr>
          <w:rFonts w:ascii="arial" w:eastAsia="arial" w:hAnsi="arial" w:cs="arial"/>
          <w:color w:val="000000"/>
          <w:sz w:val="20"/>
          <w:lang w:val="en-US" w:eastAsia="en-US" w:bidi="ar-SA"/>
        </w:rPr>
        <w:t>" has been replaced with "</w:t>
      </w:r>
      <w:r>
        <w:rPr>
          <w:rFonts w:ascii="arial" w:eastAsia="arial" w:hAnsi="arial" w:cs="arial"/>
          <w:b/>
          <w:i/>
          <w:color w:val="000000"/>
          <w:sz w:val="20"/>
          <w:lang w:val="en-US" w:eastAsia="en-US" w:bidi="ar-SA"/>
        </w:rPr>
        <w:t>in</w:t>
      </w:r>
      <w:r>
        <w:rPr>
          <w:rFonts w:ascii="arial" w:eastAsia="arial" w:hAnsi="arial" w:cs="arial"/>
          <w:color w:val="000000"/>
          <w:sz w:val="20"/>
          <w:lang w:val="en-US" w:eastAsia="en-US" w:bidi="ar-SA"/>
        </w:rPr>
        <w:t>".</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3"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21" w:history="1">
        <w:r>
          <w:rPr>
            <w:rFonts w:ascii="arial" w:eastAsia="arial" w:hAnsi="arial" w:cs="arial"/>
            <w:b/>
            <w:bCs/>
            <w:i/>
            <w:color w:val="0077CC"/>
            <w:kern w:val="32"/>
            <w:sz w:val="28"/>
            <w:szCs w:val="32"/>
            <w:u w:val="single"/>
            <w:shd w:val="clear" w:color="auto" w:fill="FFFFFF"/>
            <w:lang w:val="en-US" w:eastAsia="en-US" w:bidi="ar-SA"/>
          </w:rPr>
          <w:t>Auton (Guardian ad litem of) v. British Columbia (Minister of Health), [2001] B.C.J. No. 215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Allan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14 and 15,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6,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C984120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220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197 D.L.R. (4th) 165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3 W.W.R. 447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84 B.C.L.R. (3d) 259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80 C.R.R. (2d) 233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102 A.C.W.S. (3d) 816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B.C.T.C. 220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Connor Auton, an infant, by his Guardian ad litem, Michelle Auton, and the said Michelle Auton in her personal capacity, Michelle Tamir, an infant, by her Guardian ad litem, Sabrina Freeman, and the said Sabrina Freeman in her personal capacity, Jordon Lefaivre, an infant, by his Guardian ad litem, Leighton Lefaivre, and the said Leighton Lefaivre in his personal capacity, Russell Gordon Pearce, an infant, by his Guardian ad litem, Janet Gordon Pearce, and the said Janet Gordon Pearce in her personal capacity, petitioners, and The Attorney General of British Columbia and the Medical Services Commission of British Columbia,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4"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7" w:name="Keywords_24"/>
      <w:bookmarkEnd w:id="167"/>
      <w:r>
        <w:rPr>
          <w:rFonts w:ascii="arial" w:eastAsia="arial" w:hAnsi="arial" w:cs="arial"/>
          <w:b/>
          <w:color w:val="000000"/>
          <w:sz w:val="20"/>
          <w:lang w:val="en-US" w:eastAsia="en-US" w:bidi="ar-SA"/>
        </w:rPr>
        <w:t>Civil rights — Canadian Charter of Rights and Freedoms — Denial of rights — Remedies, scope of — Remedies, damages — Remedies, declaration of rights — Government programs — Health and social services — Handicapped children — Funding for therapy — Damages — Nominal damages — For breach of statutory duty.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8" w:name="Case Summary_24"/>
            <w:bookmarkEnd w:id="16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the appropriate remedy arising from a declaration that the rights of the infant petitioners under section 15 of the Canadian Charter of Rights and Freedoms were violated by the failure of the British Columbia government to provide them with treatment for autism. The government had not offered to reimburse the petitioners for the past or future costs of treatment and did not intend to fund individual treatment programs. The petitioners sought an order of mandamus requiring the Crown to compensate them for the cost of a specific autism treatment. They also sought monetary damages to compensate them for the cost of treatment that they incurred as a result of the failure of the government to provide funded treatment for their children. The petitioners argued that the government should be required to fund treatment for children over the age of six. The government argued that funding was appropriate for treatment of children between the ages of two and six only, given the evidence of effectiveness of early treatment for autism. It argued that there were no restrictions on the type of treatment which it was required to fund.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9" w:name="Holdings of Court_22"/>
            <w:bookmarkEnd w:id="169"/>
            <w:r>
              <w:rPr>
                <w:rFonts w:ascii="arial" w:eastAsia="arial" w:hAnsi="arial" w:cs="arial"/>
                <w:color w:val="000000"/>
                <w:sz w:val="20"/>
                <w:lang w:val="en-US" w:eastAsia="en-US" w:bidi="ar-SA"/>
              </w:rPr>
              <w:t>HELD: The petitioners were entitled to a symbolic sum of damages of $20,000 each on account of the fact that they had shouldered the burden of litigation on behalf of all autistic children.</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premature to make an order of mandamus, as the government had commenced implementation of a treatment program. The court could not direct the government to provide the specific treatment requested by the petitioners. The government was entitled to determine the nature and extent of the intervention that it would provide. However, it was not entitled to deny or delay implementation of a program on the basis of cost. It was not possible to compensate the petitioners for their expenses without opening the floodgates to a much larger group seeking reimbursement for privately funded treatment for their children.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0" w:name="Legislation Cited_15"/>
      <w:bookmarkEnd w:id="17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5"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ss. 1, 7, 15, 24(1).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Employment Insurance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Judicial Review Procedure Act, </w:t>
      </w:r>
      <w:r>
        <w:rPr>
          <w:rFonts w:ascii="arial" w:eastAsia="arial" w:hAnsi="arial" w:cs="arial"/>
          <w:i/>
          <w:color w:val="000000"/>
          <w:sz w:val="20"/>
          <w:lang w:val="en-US" w:eastAsia="en-US" w:bidi="ar-SA"/>
        </w:rPr>
        <w:t>R.S.B.C. 1996, c. 241</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1" w:name="Counsel_25"/>
      <w:bookmarkEnd w:id="17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6" style="position:absolute;z-index:251787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 Hinkson, Q.C., and Birgitta Von Krosigk, for the petitioners. Lisa Mrozinski and Leah Greathead, for the respondents.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2" w:name="Judgment_25"/>
      <w:bookmarkEnd w:id="172"/>
      <w:r>
        <w:pict>
          <v:line id="_x0000_s1147" style="position:absolute;z-index:25183744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3" w:name="ALLAN J."/>
            <w:bookmarkEnd w:id="173"/>
            <w:r>
              <w:rPr>
                <w:rFonts w:ascii="arial" w:eastAsia="arial" w:hAnsi="arial" w:cs="arial"/>
                <w:b/>
                <w:color w:val="000000"/>
                <w:sz w:val="30"/>
                <w:lang w:val="en-US" w:eastAsia="en-US" w:bidi="ar-SA"/>
              </w:rPr>
              <w:t>ALLAN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July 26, 2000, I delivered reasons for judgment in Auton (Guardian ad litem of) v. British Columbia (Attorney General) </w:t>
      </w:r>
      <w:hyperlink r:id="rId422" w:history="1">
        <w:r>
          <w:rPr>
            <w:rFonts w:ascii="arial" w:eastAsia="arial" w:hAnsi="arial" w:cs="arial"/>
            <w:i/>
            <w:color w:val="0077CC"/>
            <w:sz w:val="20"/>
            <w:u w:val="single"/>
            <w:shd w:val="clear" w:color="auto" w:fill="FFFFFF"/>
            <w:lang w:val="en-US" w:eastAsia="en-US" w:bidi="ar-SA"/>
          </w:rPr>
          <w:t>(2000), 78 B.C.L.R. (3d) 55</w:t>
        </w:r>
      </w:hyperlink>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2000 BCSC 1142</w:t>
        </w:r>
      </w:hyperlink>
      <w:r>
        <w:rPr>
          <w:rFonts w:ascii="arial" w:eastAsia="arial" w:hAnsi="arial" w:cs="arial"/>
          <w:color w:val="000000"/>
          <w:sz w:val="20"/>
          <w:lang w:val="en-US" w:eastAsia="en-US" w:bidi="ar-SA"/>
        </w:rPr>
        <w:t xml:space="preserve"> ("Auton #2"). In those reasons, I declared that the failure of the Government of British Columbia (the "Government") to provide the infant petitioners with effective treatment for autism, a medical condition from which they suffer, violated their rights to equality guaranteed under s. 15 of the Charter. On that application, counsel agreed that I would render judgment on the issue of liability and all remaining issues would be dealt with subsequently. Accordingly, counsel have provided further lengthy written and oral arguments relating to the appropriate remedy that flows from that declaration.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relief sought by the petitioners: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petitioners seek a declaration that the Government has breached the petitioners' equality rights, accompanied by an order of mandamus if the Government fails to redress its breach, and compensation for the costs of Lovaas Autism Treatment. Specifically, they seek:</w:t>
      </w:r>
      <w:r>
        <w:rPr>
          <w:rFonts w:ascii="arial" w:eastAsia="arial" w:hAnsi="arial" w:cs="arial"/>
          <w:sz w:val="20"/>
          <w:lang w:val="en-US" w:eastAsia="en-US" w:bidi="ar-SA"/>
        </w:rPr>
        <w:cr/>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of damages to reimburse the adult petitioners for their expenses for Lovaas Autism Treatment from the commencement of the treatment until the date of this judgment;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petitioners receive their full expenses for future Lovaas Autism Treatment from the date of this judgment for so long as it is recommended by a medical practitioner or psychologist licensed to practice in B.C. and with the intensity recommended by that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petitioners suggest that if the respondents considered further treatment unnecessary in a specific case, they could, on 60 days notice, apply to Court to vary their obligation to fund Lovaas Autism Treatment upon application supported by a competing medical opinion from a licenced medical practitioner or psychologist.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Crown submits that the only appropriate remedy flowing from the judgment in Auton #2 is a declaration coupled with a direction by the Court that, in order to comply with its constitutional obligations, the Crown must fund early intensive behavioural intervention treatment ("Early IBI") for autism (including autism spectrum disorder). That treatment has also been described in the literature as Intensive Behavioural Intervention ("IBI") or Applied Behavioural Analysis ("ABA"). The Crown objects to a direction that it fund treatment whenever, and to the extent that, a medical practitioner or psychologist recommends it on the basis that such a direction would narrow legitimate policy options with respect to diagnosis and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Crown also seeks a suspension of the effect of a declaration for a reasonable period of time in which to implement its proposed treatment programme.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Finally, the Crown opposes an order that it be obliged to pay the petitioners for their past or future costs of Lovaas Autism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reasons for judgment in Auton #1 and Auton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order to provide a context for these reasons, it is appropriate to set out my conclusions in Auton (Guardian ad litem of) v. British Columbia (Minister of Health) (1999), 32 C.P.C. (4th) 305 (B.C.S.C.) ("Auton #1") and Auton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Initially, Connor Auton and his mother sought to bring a class action on behalf of all autistic children and their families who had requested and been denied funding for Lovaas Autism Treatment from the Government. Following the application for certification under the 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I was persuaded that a class proceeding was inappropriate where the remedies sought included mandamus as well as a declaration: Auton #1. One purpose of the Judicial Review Procedure Act, </w:t>
      </w:r>
      <w:r>
        <w:rPr>
          <w:rFonts w:ascii="arial" w:eastAsia="arial" w:hAnsi="arial" w:cs="arial"/>
          <w:i/>
          <w:color w:val="000000"/>
          <w:sz w:val="20"/>
          <w:lang w:val="en-US" w:eastAsia="en-US" w:bidi="ar-SA"/>
        </w:rPr>
        <w:t>R.S.B.C. 1996, c. 241</w:t>
      </w:r>
      <w:r>
        <w:rPr>
          <w:rFonts w:ascii="arial" w:eastAsia="arial" w:hAnsi="arial" w:cs="arial"/>
          <w:color w:val="000000"/>
          <w:sz w:val="20"/>
          <w:lang w:val="en-US" w:eastAsia="en-US" w:bidi="ar-SA"/>
        </w:rPr>
        <w:t xml:space="preserve"> (the "JRPA"), is to ensure that the nature and extent of public duties be determined summarily.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Although it opposed a class proceeding, the Crown acknowledged that a finding that the Government was in breach of its obligations to the petitioners would mean that it was in breach of its obligations to autistic children generally. Counsel for the Crown agreed that, in the event of such a finding, a judicial declaration as to a statutory duty should be swiftly enforced. I held that if the plaintiffs were successful in obtaining the declaration they sought, that declaration would apply to all of the members of the group whose s. 15 rights had been violated.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Auton #2, at paras. 153-161, I reached the following conclusions: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infant petitioners suffer from a serious mental disability for which effective treatment in the form of ABA is available. The inability of the petitioners to access that treatment is primarily an issue of health care, not education or social services.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Crown, and specifically the Ministry of Health, provides no effective treatment for the medical disability of autism. The respondents' argument that they are unable to provide effective treatment for autism because of constraints in the legislation governing medicare attempts to erect a false barrier. Early intensive behavioral treatment could be provided by MOH in one of two ways. MSC may determine that behavioural therapy merits funding according to the criteria set out under the Medical Services Plan and add behavioural therapists to the scheduled list of health care providers by regulation. Alternatively, MOH could pay for the treatment through block funding as it has done to pay for interpreters for the deaf to comply with the decision in Eldridge, supra. It is for the Crown to determine the measures it will take to comply with its constitutional obligations.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it is the government, rather than the Ministry of Health, that has failed to meet its constitutional obligations. Accordingly, it makes no difference if the Crown fulfils its obligations through another ministry as the governments of Alberta and Ontario have done.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Crown discriminates against the petitioners contrary to s. 15(1) by failing to accommodate their disadvantaged position by providing effective treatment for autism. It is beyond debate that the appropriate treatment is ABA or early intensive behavioural intervention.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clinical results of Lovaas Autism Treatment are impressive, I agree with the Crown that the Court has no jurisdiction to specifically order Lovaas therapy or to order that MSC list Lovaas behavioural therapists as service providers on the MSC tariff.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infant petitioners are entitled to a declaration that the Crown has violated their section 15(1) Charter rights.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petitioners also seek an order of mandamus directing the Crown to pay the costs of past and future Lovaas Autism Treatment. The Crown adamantly opposes any relief in the nature of mandamus on constitutional and administrative grounds. They note that in Eldridge, the Court made a declaration that the Crown's failure to provide interpreters denied the petitioners' s. 15 rights. The Court resisted giving injunctive relief on the basis that there were myriad options available to the Crown to rectify the unconstitutionality of its procedures. However, the declaration included a direction to the Crown to administer its health legislation in a manner consistent with the requirements of s. 15(1).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counsel have agreed to address the issue of the petitioners' claim for a remedy under s. 24(1) of the Charter at a subsequent hearing. Counsel may then make further submissions as to whether an order of mandamus is justified in this case and, if not, whether the declaration should include a direction to the Crown to provide early intensive behavioural treatment, or funding for that treatment, within reasonable parameters when a diagnosis of autism or autism spectrum disorder has been made by a physician and that physician and the child's family have agreed upon a mode of 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Counsel may set down a further application in chambers to make submissions which I expect will address the following issues: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specific terms of a declaration and/or an order of mandamus;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petitioners are entitled to be indemnified for monies expended to date on Lovaas Autism Treatment or for future ABA treatment;</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petitioners are entitled to additional damages;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and</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issues properly arising from these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 relating to Charter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Section 24(1) of the Charter provides as follows:</w:t>
      </w:r>
      <w:r>
        <w:rPr>
          <w:rFonts w:ascii="arial" w:eastAsia="arial" w:hAnsi="arial" w:cs="arial"/>
          <w:sz w:val="20"/>
          <w:lang w:val="en-US" w:eastAsia="en-US" w:bidi="ar-SA"/>
        </w:rPr>
        <w:cr/>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Anyone whose rights or freedoms, as guaranteed by this Charter, have been infringed or denied may apply to a court of competent jurisdiction to obtain such remedy as the court considers appropriate and just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Section 24(1) is a remedial section, to be interpreted purposively: R. v. Gamble, </w:t>
      </w:r>
      <w:hyperlink r:id="rId423" w:history="1">
        <w:r>
          <w:rPr>
            <w:rFonts w:ascii="arial" w:eastAsia="arial" w:hAnsi="arial" w:cs="arial"/>
            <w:i/>
            <w:color w:val="0077CC"/>
            <w:sz w:val="20"/>
            <w:u w:val="single"/>
            <w:shd w:val="clear" w:color="auto" w:fill="FFFFFF"/>
            <w:lang w:val="en-US" w:eastAsia="en-US" w:bidi="ar-SA"/>
          </w:rPr>
          <w:t>[1988] 2 S.C.R. 595</w:t>
        </w:r>
      </w:hyperlink>
      <w:r>
        <w:rPr>
          <w:rFonts w:ascii="arial" w:eastAsia="arial" w:hAnsi="arial" w:cs="arial"/>
          <w:color w:val="000000"/>
          <w:sz w:val="20"/>
          <w:lang w:val="en-US" w:eastAsia="en-US" w:bidi="ar-SA"/>
        </w:rPr>
        <w:t xml:space="preserve"> at 641. The Courts must exercise their wide discretion to fashion remedies that are both just and appropriate to the particular violation: Perera v. Canada (A.G.), </w:t>
      </w:r>
      <w:hyperlink r:id="rId424" w:history="1">
        <w:r>
          <w:rPr>
            <w:rFonts w:ascii="arial" w:eastAsia="arial" w:hAnsi="arial" w:cs="arial"/>
            <w:i/>
            <w:color w:val="0077CC"/>
            <w:sz w:val="20"/>
            <w:u w:val="single"/>
            <w:shd w:val="clear" w:color="auto" w:fill="FFFFFF"/>
            <w:lang w:val="en-US" w:eastAsia="en-US" w:bidi="ar-SA"/>
          </w:rPr>
          <w:t>[1998] 3 F.C. 381</w:t>
        </w:r>
      </w:hyperlink>
      <w:r>
        <w:rPr>
          <w:rFonts w:ascii="arial" w:eastAsia="arial" w:hAnsi="arial" w:cs="arial"/>
          <w:color w:val="000000"/>
          <w:sz w:val="20"/>
          <w:lang w:val="en-US" w:eastAsia="en-US" w:bidi="ar-SA"/>
        </w:rPr>
        <w:t xml:space="preserve"> (F.C.A.); Dixon v. B.C.(A.G.) </w:t>
      </w:r>
      <w:hyperlink r:id="rId425" w:history="1">
        <w:r>
          <w:rPr>
            <w:rFonts w:ascii="arial" w:eastAsia="arial" w:hAnsi="arial" w:cs="arial"/>
            <w:i/>
            <w:color w:val="0077CC"/>
            <w:sz w:val="20"/>
            <w:u w:val="single"/>
            <w:shd w:val="clear" w:color="auto" w:fill="FFFFFF"/>
            <w:lang w:val="en-US" w:eastAsia="en-US" w:bidi="ar-SA"/>
          </w:rPr>
          <w:t>(1989), 35 B.C.L.R. (2d) 273</w:t>
        </w:r>
      </w:hyperlink>
      <w:r>
        <w:rPr>
          <w:rFonts w:ascii="arial" w:eastAsia="arial" w:hAnsi="arial" w:cs="arial"/>
          <w:color w:val="000000"/>
          <w:sz w:val="20"/>
          <w:lang w:val="en-US" w:eastAsia="en-US" w:bidi="ar-SA"/>
        </w:rPr>
        <w:t xml:space="preserve"> at 307-08 (B.C.S.C.); Osborne v. Canada (Treasury Board), </w:t>
      </w:r>
      <w:r>
        <w:rPr>
          <w:rFonts w:ascii="arial" w:eastAsia="arial" w:hAnsi="arial" w:cs="arial"/>
          <w:i/>
          <w:color w:val="000000"/>
          <w:sz w:val="20"/>
          <w:lang w:val="en-US" w:eastAsia="en-US" w:bidi="ar-SA"/>
        </w:rPr>
        <w:t>[1991] 2 S.C.R. 69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"Damages as a Remedy for Infringement of the Canadian Charter of Rights and Freedoms" (1984) 62 Can. Bar Rev. 517 at 519, Marilyn Pilkington suggests that the Courts should address three goals in fashioning an appropriate Charter remedy:</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should redress the wrong suffered by the applicant;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should foster the implementation of the constitution by deterring future infringements and ensuring future compliance; and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should interfere as little as possible with the exercise of legislative and executive responsibilities.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Section 24(1) provides the Court with an unfettered remedial discretion to provide such remedy "as the court considers appropriate and just" to persons who have had their Charter rights infringed. The words "appropriate" and "just" are broad and capable of being interpreted in a variety of ways. In this case, an appropriate and just remedy must respond to both the circumstances of the petitioners and to other autistic children and their families whose Charter rights were violated.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Declarations are the primary civil remedy under s. 24(1). Where the Crown acknowledges its responsibility to rectify unconstitutional legislation or alter its policy where it has infringed rights by failing to provide necessary treatment to accommodate disabilities, the Courts are inclined to permit governments sufficient flexibility to determine their method of effecting compliance: Eldridge v. British Columbia (Attorney General), </w:t>
      </w:r>
      <w:hyperlink r:id="rId426" w:history="1">
        <w:r>
          <w:rPr>
            <w:rFonts w:ascii="arial" w:eastAsia="arial" w:hAnsi="arial" w:cs="arial"/>
            <w:i/>
            <w:color w:val="0077CC"/>
            <w:sz w:val="20"/>
            <w:u w:val="single"/>
            <w:shd w:val="clear" w:color="auto" w:fill="FFFFFF"/>
            <w:lang w:val="en-US" w:eastAsia="en-US" w:bidi="ar-SA"/>
          </w:rPr>
          <w:t>[1997] 3 S.C.R. 624</w:t>
        </w:r>
      </w:hyperlink>
      <w:r>
        <w:rPr>
          <w:rFonts w:ascii="arial" w:eastAsia="arial" w:hAnsi="arial" w:cs="arial"/>
          <w:color w:val="000000"/>
          <w:sz w:val="20"/>
          <w:lang w:val="en-US" w:eastAsia="en-US" w:bidi="ar-SA"/>
        </w:rPr>
        <w:t>. This restraint represents judicial deference to the role of the legislature.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an order of mandamus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One recognized purpose of constitutional remedies is to regulate and modify governmental behaviour. The Crown asserts that it intends to, and will, comply with its constitutional obligations. It submits that a declaration will suffice and an order of mandamus is unnecessary. The petitioners submit that a mandatory order is required to ensure compliance.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An order of mandamus compels the performance of a statutory duty owed to the applicant. Such an order, requiring the Crown to execute a legal duty, is justified if a government fails to respond appropriately to a declaration.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Marchand v. Simcoe County Board of Education </w:t>
      </w:r>
      <w:hyperlink r:id="rId427" w:history="1">
        <w:r>
          <w:rPr>
            <w:rFonts w:ascii="arial" w:eastAsia="arial" w:hAnsi="arial" w:cs="arial"/>
            <w:i/>
            <w:color w:val="0077CC"/>
            <w:sz w:val="20"/>
            <w:u w:val="single"/>
            <w:shd w:val="clear" w:color="auto" w:fill="FFFFFF"/>
            <w:lang w:val="en-US" w:eastAsia="en-US" w:bidi="ar-SA"/>
          </w:rPr>
          <w:t>(1986), 29 D.L.R. (4th) 596</w:t>
        </w:r>
      </w:hyperlink>
      <w:r>
        <w:rPr>
          <w:rFonts w:ascii="arial" w:eastAsia="arial" w:hAnsi="arial" w:cs="arial"/>
          <w:color w:val="000000"/>
          <w:sz w:val="20"/>
          <w:lang w:val="en-US" w:eastAsia="en-US" w:bidi="ar-SA"/>
        </w:rPr>
        <w:t xml:space="preserve"> (Ont. H.C.J.), the Court granted the declaratory relief sought and a mandatory order that the School Board provide facilities and resources in order to accommodate the plaintiff's minority language education rights. The Court noted that in view of a long history of resistance and "negative attitude" by the defendant Board, a mandatory injunction was required to implement the plaintiff's constitutional rights under s. 23 to prevent their further infringement or denial. Similarly, in Levesque v. Attorney-General of Canada </w:t>
      </w:r>
      <w:hyperlink r:id="rId428" w:history="1">
        <w:r>
          <w:rPr>
            <w:rFonts w:ascii="arial" w:eastAsia="arial" w:hAnsi="arial" w:cs="arial"/>
            <w:i/>
            <w:color w:val="0077CC"/>
            <w:sz w:val="20"/>
            <w:u w:val="single"/>
            <w:shd w:val="clear" w:color="auto" w:fill="FFFFFF"/>
            <w:lang w:val="en-US" w:eastAsia="en-US" w:bidi="ar-SA"/>
          </w:rPr>
          <w:t>(1985), 25 D.L.R. (4th) 184</w:t>
        </w:r>
      </w:hyperlink>
      <w:r>
        <w:rPr>
          <w:rFonts w:ascii="arial" w:eastAsia="arial" w:hAnsi="arial" w:cs="arial"/>
          <w:color w:val="000000"/>
          <w:sz w:val="20"/>
          <w:lang w:val="en-US" w:eastAsia="en-US" w:bidi="ar-SA"/>
        </w:rPr>
        <w:t xml:space="preserve"> (F.C.T.D.), the Court ordered both declaratory relief and mandamus requiring the Crown to establish the necessary administrative machinery to permit the applicant to vote in a provincial election. Several Solicitors-General had failed to co-operate with the chief Electoral Officer of Quebec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Government's response to Auton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Government has not offered to reimburse the adult petitioners for the past or future costs of Lovaas Autism Treatment, nor does it intend to fund individual treatment programmes.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Prior to July 26, 2000, when the reasons for judgment in Auton #2 were delivered, the Government was in the course of designing and implementing a pilot project directed toward delivering services to autistic children. Following that judgment, representatives from the Ministries of Health, Education, and Children and Families and the Attorney General formed an inter-Ministerial committee to develop a proposal for an effective treatment programme for autistic children under six years of age. The Government converted the pilot project to a programme that includes Early IBI for autistic children between the ages of two and six. This programme, the Provincial Centre for Autism and Related Disorders ("P-CARD"), is said to include the following elements: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Inter-Ministerial collaboration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Building expertise within B.C.</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Enhancement of current capacity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Supplementing existing early intervention services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Links to academia;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Broad based advisory component.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Counsel for the Crown says the Government is moving swiftly, and in good faith, to implement an effective programme that complies with the judgment in Auton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Government proposes that P-CARD will deliver province-wide services that will include Early IBI based upon "empirically derived best practices" for autistic children. Counsel described in detail the steps that the Government has taken to implement P-CARD and the elements of that programme. It is proposed that P-CARD will provide direct services, including Early IBI, for a minimum of 20 hours per week to at least 100 children with autism between January and April 2001 and to another 100 children by late 2001 or January 2002. It contemplates providing Early IBI treatment to all autistic children under six years of age, who have been diagnosed and assessed by a multi-disciplinary team, in 2003. The Government recognizes the shortage of therapists with Early IBI expertise and seeks to import professionals from other jurisdictions to train BC personnel. The Government is also taking steps to reduce the waiting lists for assessment and diagnosis at Sunny Hill and Queen Alexandra Hospitals.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Crown states that the Government considered but rejected the concept of providing individualized funding to families with autistic children. It felt that a "two tier" approach would interfere with the equitable distribution of resources. The Government asserts that its efforts are directed toward ensuring that as many children obtain as much treatment as possible, as soon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petitioners do not support the Government's proposed treatment programme, its consultation methods, or its policy development methods. They take the position that the proposed P-CARD, which has no Lovaas Autism Treatment component, will not provide adequate treatment for autistic children. They say the proposed programme is too little, too late, too restricted, and fails to provide effective treatment. Their specific criticisms of P-CARD include the following:</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restricted to children aged six and younger;</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diagnosis and assessment by a multi-disciplinary team (rather than a physician or psychologist) is inappropriate and creates unreasonable delay;</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 hours of Early IBI per week is insufficient;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proposed treatment is not Lovaas Autism Treatment or effective Early IBI;</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will not be implemented quickly enough to be of assistance to children whose "window of opportunity" is closing; and</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Government is not consulting with the petitioners or persons approved by the petitioners.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determined in Auton #2 that by failing to provide Early IBI treatment to autistic children, the Government breached its constitutional obligations to them. Such treatment was, according to overwhelming expert opinion, the only chance these children have to overcome the devastating effects of an autistic disorder. However, I concluded that the Court cannot direct the Government to fund or provide Lovaas Autism Treatment, the specific treatment desired by the petitioners, and in the amount they request. I venture the opinion, albeit with some hesitation, that the Government's failure to at least include Lovaas Autism Treatment in its arsenal of effective treatment techniques appears to result from some antipathy to the petitioners and the vehemence and effectiveness of their cause. Certainly the evidence established that Lovaas Autism Treatment has been embraced as an integral part of many government programmes in Canada, the U.S., and abroad and is supported by numerous family doctors, pediatricians, psychologists and child psychiatrists in B.C. However, as I have stated above, it remains within the competence of Government, not this Court, to determine, upon appropriate professional advice, the nature and extent of the Early IBI it will provide. Nor can the Court direct that Government provide Early IBI treatment when it is recommended by a physician or psychologist, rather than by a multi-disciplinary diagnostic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This case raises significant public policy issues as to the respective roles of the judiciary and the legislature. The issues raised by the petitioners underscore the difficulties inherent in a process where the Court's finding of unconstitutionality is designed to change governmental behaviour. The effective treatment of autistic children must be delivered within a framework that is necessarily constrained by the resources available and the need to allocate those resources equitably in response to competing demands. As the Court stated in Schachter v. Canada, </w:t>
      </w:r>
      <w:r>
        <w:rPr>
          <w:rFonts w:ascii="arial" w:eastAsia="arial" w:hAnsi="arial" w:cs="arial"/>
          <w:i/>
          <w:color w:val="000000"/>
          <w:sz w:val="20"/>
          <w:lang w:val="en-US" w:eastAsia="en-US" w:bidi="ar-SA"/>
        </w:rPr>
        <w:t>[1992] 2 S.C.R. 679</w:t>
      </w:r>
      <w:r>
        <w:rPr>
          <w:rFonts w:ascii="arial" w:eastAsia="arial" w:hAnsi="arial" w:cs="arial"/>
          <w:color w:val="000000"/>
          <w:sz w:val="20"/>
          <w:lang w:val="en-US" w:eastAsia="en-US" w:bidi="ar-SA"/>
        </w:rPr>
        <w:t xml:space="preserve"> at 709, although budgetary considerations "cannot be used to justify a violation under s. 1" of the Charter, they are "clearly relevant once a violation which does not survive s. 1 has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While the Government's programmes and policies are subject to review by the Courts to ensure constitutional compliance, the judiciary cannot dictate what treatment programmes should or should not be implemented, nor can it dictate how limited financial resources should be allocated. It is not the role of the Courts to undertake the nature and degree of supervision of the delivery of Early IBI treatment suggested by the petitioners. An overly robust judicial approach may interfere with legitimate policy making choices.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Reference re: Public Schools Act (Man.), </w:t>
      </w:r>
      <w:hyperlink r:id="rId429" w:history="1">
        <w:r>
          <w:rPr>
            <w:rFonts w:ascii="arial" w:eastAsia="arial" w:hAnsi="arial" w:cs="arial"/>
            <w:i/>
            <w:color w:val="0077CC"/>
            <w:sz w:val="20"/>
            <w:u w:val="single"/>
            <w:shd w:val="clear" w:color="auto" w:fill="FFFFFF"/>
            <w:lang w:val="en-US" w:eastAsia="en-US" w:bidi="ar-SA"/>
          </w:rPr>
          <w:t>[1993] 1 S.C.R. 839</w:t>
        </w:r>
      </w:hyperlink>
      <w:r>
        <w:rPr>
          <w:rFonts w:ascii="arial" w:eastAsia="arial" w:hAnsi="arial" w:cs="arial"/>
          <w:color w:val="000000"/>
          <w:sz w:val="20"/>
          <w:lang w:val="en-US" w:eastAsia="en-US" w:bidi="ar-SA"/>
        </w:rPr>
        <w:t xml:space="preserve"> at 860, the Court stated: "[t]his Court should be loath ... to detail what legislation the Government of Manitoba must enact in order to meet its constitutional obligations." See also Mahe v. Alberta, </w:t>
      </w:r>
      <w:hyperlink r:id="rId430" w:history="1">
        <w:r>
          <w:rPr>
            <w:rFonts w:ascii="arial" w:eastAsia="arial" w:hAnsi="arial" w:cs="arial"/>
            <w:i/>
            <w:color w:val="0077CC"/>
            <w:sz w:val="20"/>
            <w:u w:val="single"/>
            <w:shd w:val="clear" w:color="auto" w:fill="FFFFFF"/>
            <w:lang w:val="en-US" w:eastAsia="en-US" w:bidi="ar-SA"/>
          </w:rPr>
          <w:t>[1990] 1 S.C.R. 342</w:t>
        </w:r>
      </w:hyperlink>
      <w:r>
        <w:rPr>
          <w:rFonts w:ascii="arial" w:eastAsia="arial" w:hAnsi="arial" w:cs="arial"/>
          <w:color w:val="000000"/>
          <w:sz w:val="20"/>
          <w:lang w:val="en-US" w:eastAsia="en-US" w:bidi="ar-SA"/>
        </w:rPr>
        <w:t>, to the same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the other hand, the Government is obliged to provide effective treatment to accommodate the disadvantaged position of autistic children. It cannot deny or delay implementation of Early IBI on the basis of cost. In fact, the evidence adduced in this case clearly established that early effective treatment of autistic children would effect a huge cost saving to Government in the long run.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While the petitioners seek to cast the Government as intransigent, I would not, at this stage, interpret the steps taken by the Government since July 2000 as a reluctant or negative response to the Court's finding that it had breached the petitioners' s. 15 equality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Should the Government be required to fund Early IBI to children over the age of six?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Government's proposed programme contemplates treatment for children between the ages of two and six. On this application, the petitioners submit that treatment for an autistic child should not be discontinued when that child reaches the age of six. They argue that, because a child is not "cured" of autism when he or she reaches the age of six, (indeed an autistic person is never "cured"), it is unreasonable to cut off treatment at the age of six where that treatment is beneficial. They seek an order compelling the Government to provide Early IBI to the infant petitioners, all of whom are six or 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present status of the infant petitioners: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infant petitioners, who have received varying amounts of Lovaas Autism Treatment over diverse periods of time, have attained different levels of achievement.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Connor Auton, who is 8 years old, has not received Lovaas Autism Treatment for almost two years because of his parents' inability to fund that treatment. His mother has deposed that without treatment, his behaviour has deteriorated drastically. A pediatrician has recommended that Connor receive 30 hours per week of Lovaas Autism Treatment during the school year and 40 hours per week during the holidays.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Michelle (Miki) Tamir is 12 years old. Her mother estimates that she has spent approximately $240,000 on Lovaas Autism Treatment since 1992. Miki's doctor has recommended that Miki receive 21 hours per week of Lovaas Autism Treatment during the school year and 44 hours per week during the summer.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Jordan Lefaivre, who is six years old, continues to receive Lovaas Autism Treatment funded by his parents. They estimate that they have spent approximately $31,000 since July 1998. A pediatrician has recommended that Jordan receive 30 hours of Lovaas Autism Treatment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Russell Pearce is six years old. Happily, he no longer requires Lovaas Autism Treatment and is doing well in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Auton #2, I considered the most compelling argument for Early IBI, advanced by experts for both the petitioners and the Government, to be that autistic children have a "narrow window of opportunity" to benefit from early intensive treatment. That period of time extends from the time they are first diagnosed with autism (usually at age two or three) until the age of six, approximately.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There was extensive material before the Court describing Lovaas Autism Treatment. At para. 24 of my reasons in Auton #2, I stated: "Lovaas Autism Treatment is a highly intensive form of one-on-one behavioural therapy </w:t>
      </w:r>
      <w:r>
        <w:rPr>
          <w:rFonts w:ascii="arial" w:eastAsia="arial" w:hAnsi="arial" w:cs="arial"/>
          <w:color w:val="000000"/>
          <w:sz w:val="20"/>
          <w:u w:val="single"/>
          <w:lang w:val="en-US" w:eastAsia="en-US" w:bidi="ar-SA"/>
        </w:rPr>
        <w:t>administered for up to 40 hours a week for two to three years</w:t>
      </w:r>
      <w:r>
        <w:rPr>
          <w:rFonts w:ascii="arial" w:eastAsia="arial" w:hAnsi="arial" w:cs="arial"/>
          <w:color w:val="000000"/>
          <w:sz w:val="20"/>
          <w:lang w:val="en-US" w:eastAsia="en-US" w:bidi="ar-SA"/>
        </w:rPr>
        <w:t>." (emphasis added) The original treatment by Dr. Lovaas was designed to permit very young autistic children to catch up with their normal peers by first grade. High priority is given in Early IBI to moving the children into a more typical environment (e.g. school) wherever possible. It became clear that, as the infant petitioners grew up during the course of this litigation, and at least one of them, Russell, no longer required further treatment, a judgment favourable to the petitioners could benefit autistic children who had not yet entered the "window of opportunity" for treatment but might not assist the petitioners.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Crown submits that the imposition of age limits is reasonable and the proposed age limit of six years is not arbitrary; it is based on the evidence and the reasons for judgment and, indeed, on the petitioners' own submissions as to the effectiveness of treatment for young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One of the petitioners' complaints in Auton #2 was that treatment for children between the ages of two and six "fell between the cracks" because the Ministry of Health refused to recognize their need for treatment as a health issue and the Ministry of Education took the position they lacked jurisdiction over children under school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P-CARD programme contemplates a transitional period to integrate children into the school system, after which time it would be the responsibility of the school districts to provide appropriate educational programmes.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petitioners framed the issues in this litigation as whether the denial of Lovaas Autism Treatment violated sections 7 and 15 of the Charter and whether the Government could be compelled to pay the costs of past and future Lovaas Autism Treatment. It was determined that the Government's failure to provide early IBI violated s. 15. In view of those issues, that determination, and the evidence adduced, I do not consider it appropriate to determine here whether or not the Government will breach its obligations to autistic children by failing to accommodate their disabilities after they reach school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Should there be a remedial transition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Understandably, any further delay in delivering effective treatment is a source of immense frustration for the families of autistic children. However, the Government cannot reasonably be expected to immediately provide Early IBI to all autistic children between the ages of two and six. The Crown seeks a "reasonable period of time in which to implement an effective treatment programme."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some cases, it is necessary to suspend the effect of a declaration where legislation is struck down as unconstitutional in order to bridge the inevitable hiatus before new legislation can be enacted. Suspensions have also been granted in cases where the breach consists of a failure to accommodate a disability. In Eldridge, the Court granted a six-month suspension of the effect of the declaration that the Government was in breach of its constitutional obligations by failing to provide interpreters to enable the deaf applicants to access medical services. That suspension was extended for a further six-month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As the Government has commenced implementation of P-CARD, I consider it unnecessary that there be a suspension of the effect of the declaration for a specific period of time. It is premature to judge the bona fides and efficacy of the Government's proposed treatment programme for autistic children on this application. Consequently, it is premature to make an order of mandamus.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However, as Iacobucci J. noted in Vriend v. Alberta, </w:t>
      </w:r>
      <w:hyperlink r:id="rId431" w:history="1">
        <w:r>
          <w:rPr>
            <w:rFonts w:ascii="arial" w:eastAsia="arial" w:hAnsi="arial" w:cs="arial"/>
            <w:i/>
            <w:color w:val="0077CC"/>
            <w:sz w:val="20"/>
            <w:u w:val="single"/>
            <w:shd w:val="clear" w:color="auto" w:fill="FFFFFF"/>
            <w:lang w:val="en-US" w:eastAsia="en-US" w:bidi="ar-SA"/>
          </w:rPr>
          <w:t>[1998] 1 S.C.R. 493</w:t>
        </w:r>
      </w:hyperlink>
      <w:r>
        <w:rPr>
          <w:rFonts w:ascii="arial" w:eastAsia="arial" w:hAnsi="arial" w:cs="arial"/>
          <w:color w:val="000000"/>
          <w:sz w:val="20"/>
          <w:lang w:val="en-US" w:eastAsia="en-US" w:bidi="ar-SA"/>
        </w:rPr>
        <w:t xml:space="preserve"> at 559-560, there are limits to judicial deference to government's policy making role: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groups that have historically been the target of discrimination cannot be expected to wait patiently for the protection of their human dignity and equal rights while governments move toward reform one step at a time. If the infringement of the rights and freedoms of these groups is permitted to persist while governments fail to pursue equality diligently, then the guarantees of the Charter will be reduced to little more than empty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While the Court is not an appropriate referee between the claims of the petitioners and the defences of the Government, I propose to maintain a limited supervisory role. If the Government does not implement a timely effective programme of Early IBI, the petitioners have leave to renew their application for a mandatory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Are the petitioners entitled to an award of monetary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is common ground that a just and appropriate remedy in this case is one of broad application, requiring the Government to comply with its constitutional obligations towards all autistic children. That goal will be accomplished by a declaration and, if necessary, an order of mandamus. The adult petitioners also seek specific monetary damages to compensate them for their past and future expenses for Lovaas Autism Treatment. A declaration, even if coupled with a mandatory order, will not assist these petitioners if Early IBI is not provided to autistic children past the age of six. Accordingly, the petitioners assert that damages for the cost of Lovaas Autism Treatment is the only effective remedy to address the infringement of their Charter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adult petitioners (and the families of autistic children "behind the scenes" in this litigation) are remarkable individuals. As parents of autistic children, they have endured emotional and financial hardships and grief unknown to most people. They have exerted tremendous energy educating themselves and others, including physicians, with respect to the nature of the autistic disorder and the efficacy of Early IBI. They have lobbied Government, formed support groups, educated the public, and expended significant resources bringing and maintaining costly ongoing litigation. Their success in obtaining a declaration that the Government's failure to provide effective Early IBI breached the petitioners' equality rights has galvanized the Government into action. Yet their own children are unlikely to benefit from the imminent introduction of Early IBI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reported cases support arguments both for and against an award of monetary damages for a Charter breach. The purpose of such an award may be to regulate governmental behaviour or to compensate a wronged litigant, or both. Perhaps the strongest rationale for damages is found in the reasons of Madam Justice Wilson, alone in her dissent, in McKinney v. University of Guelph, </w:t>
      </w:r>
      <w:hyperlink r:id="rId432" w:history="1">
        <w:r>
          <w:rPr>
            <w:rFonts w:ascii="arial" w:eastAsia="arial" w:hAnsi="arial" w:cs="arial"/>
            <w:i/>
            <w:color w:val="0077CC"/>
            <w:sz w:val="20"/>
            <w:u w:val="single"/>
            <w:shd w:val="clear" w:color="auto" w:fill="FFFFFF"/>
            <w:lang w:val="en-US" w:eastAsia="en-US" w:bidi="ar-SA"/>
          </w:rPr>
          <w:t>[1990] 3 S.C.R. 229</w:t>
        </w:r>
      </w:hyperlink>
      <w:r>
        <w:rPr>
          <w:rFonts w:ascii="arial" w:eastAsia="arial" w:hAnsi="arial" w:cs="arial"/>
          <w:color w:val="000000"/>
          <w:sz w:val="20"/>
          <w:lang w:val="en-US" w:eastAsia="en-US" w:bidi="ar-SA"/>
        </w:rPr>
        <w:t>. After determining the defendant university's mandatory retirement policy was an unjustified restriction on equality rights, she held that compensatory damages for the loss of income and benefits incurred by the appellants should follow, notwithstanding the defendant had acted in good faith: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believe it is appropriate and just in these circumstances to award compensatory damages for the loss of income and benefits sustained by the appellants through the breach of their s. 15 rights. Compensation for losses which flow as a direct result of the infringement of constitutional rights should generally be awarded unless compelling reasons dictate otherwise.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pages 410-411]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Lewis v. Burnaby School District No. 41 </w:t>
      </w:r>
      <w:hyperlink r:id="rId433" w:history="1">
        <w:r>
          <w:rPr>
            <w:rFonts w:ascii="arial" w:eastAsia="arial" w:hAnsi="arial" w:cs="arial"/>
            <w:i/>
            <w:color w:val="0077CC"/>
            <w:sz w:val="20"/>
            <w:u w:val="single"/>
            <w:shd w:val="clear" w:color="auto" w:fill="FFFFFF"/>
            <w:lang w:val="en-US" w:eastAsia="en-US" w:bidi="ar-SA"/>
          </w:rPr>
          <w:t>(1992), 71 B.C.L.R. (2d) 183</w:t>
        </w:r>
      </w:hyperlink>
      <w:r>
        <w:rPr>
          <w:rFonts w:ascii="arial" w:eastAsia="arial" w:hAnsi="arial" w:cs="arial"/>
          <w:color w:val="000000"/>
          <w:sz w:val="20"/>
          <w:lang w:val="en-US" w:eastAsia="en-US" w:bidi="ar-SA"/>
        </w:rPr>
        <w:t xml:space="preserve"> (B.C.S.C.), Lander J. following that reasoning, awarded damages to a teacher who had been forced to retire at the age of 65. However, the Court of Appeal, which reversed that decision on the basis that mandatory retirement in a government setting was constitutional, declined to address the issue of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Crossman v. The Queen </w:t>
      </w:r>
      <w:hyperlink r:id="rId434" w:history="1">
        <w:r>
          <w:rPr>
            <w:rFonts w:ascii="arial" w:eastAsia="arial" w:hAnsi="arial" w:cs="arial"/>
            <w:i/>
            <w:color w:val="0077CC"/>
            <w:sz w:val="20"/>
            <w:u w:val="single"/>
            <w:shd w:val="clear" w:color="auto" w:fill="FFFFFF"/>
            <w:lang w:val="en-US" w:eastAsia="en-US" w:bidi="ar-SA"/>
          </w:rPr>
          <w:t>(1984), 9 D.L.R. (4th) 588</w:t>
        </w:r>
      </w:hyperlink>
      <w:r>
        <w:rPr>
          <w:rFonts w:ascii="arial" w:eastAsia="arial" w:hAnsi="arial" w:cs="arial"/>
          <w:color w:val="000000"/>
          <w:sz w:val="20"/>
          <w:lang w:val="en-US" w:eastAsia="en-US" w:bidi="ar-SA"/>
        </w:rPr>
        <w:t xml:space="preserve"> (F.C.T.D.), the Federal Court awarded the plaintiff $500 for breach of his s. 10(b) Charter right to retain and instruct counsel without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Jane Doe v. Metropolitan Toronto (Municipality) Commissioners of Police </w:t>
      </w:r>
      <w:hyperlink r:id="rId435" w:history="1">
        <w:r>
          <w:rPr>
            <w:rFonts w:ascii="arial" w:eastAsia="arial" w:hAnsi="arial" w:cs="arial"/>
            <w:i/>
            <w:color w:val="0077CC"/>
            <w:sz w:val="20"/>
            <w:u w:val="single"/>
            <w:shd w:val="clear" w:color="auto" w:fill="FFFFFF"/>
            <w:lang w:val="en-US" w:eastAsia="en-US" w:bidi="ar-SA"/>
          </w:rPr>
          <w:t>(1998), 160 D.L.R. (4th) 697</w:t>
        </w:r>
      </w:hyperlink>
      <w:r>
        <w:rPr>
          <w:rFonts w:ascii="arial" w:eastAsia="arial" w:hAnsi="arial" w:cs="arial"/>
          <w:color w:val="000000"/>
          <w:sz w:val="20"/>
          <w:lang w:val="en-US" w:eastAsia="en-US" w:bidi="ar-SA"/>
        </w:rPr>
        <w:t xml:space="preserve"> (Ont.Ct.Gen.Div.), the Court found that that the plaintiff's section 7 and 15 Charter rights had been infringed by the failure of the police to warn her and other women living in the area of the presence of a serial rapist. While she was entitled to a s. 24 remedy, she also succeeded in establishing that the police were negligent. The Court stated that she was entitled to one award of damages to compensate her and not to "extra" damages arising out of the Charter breach. However, the Court's statement that "assuming she is otherwise fully compensated, a declaration will suffice" suggests that, were it not for her ability to recover damages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she would have been compensated for the breach of her Charter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Crown vigorously opposes an award of damages. Ms. Mrozinski submits that while the JRPA does not provide damages as a remedy, the Crown did not rely on that fact as a technical bar to the petitioners' claims. She notes, however, that the absence of that remedy in that Act underscores the fact that the issues are public law issues for which the historical remedy is prerogative relief against the Crown and not damages. In my opinion, the absence of a damages remedy in the JRPA is irrelevant. That Act, which embodies historical legislation governing remedies against government actions or omissions, both predates the Charter and is subject to its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resisting an award of monetary damages, the Crown relies on the qualified immunity enjoyed by a government acting under authority of a statute subsequently found to be unconstitutional. Ms. Mrozinski submits that, in the absence of wrongful conduct, bad faith,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collateral purpose, qualified immunity applies to all breaches arising out of its exercise of policy functions. She relies on the principles in Guimond v. Quebec (Attorney General), </w:t>
      </w:r>
      <w:hyperlink r:id="rId436" w:history="1">
        <w:r>
          <w:rPr>
            <w:rFonts w:ascii="arial" w:eastAsia="arial" w:hAnsi="arial" w:cs="arial"/>
            <w:i/>
            <w:color w:val="0077CC"/>
            <w:sz w:val="20"/>
            <w:u w:val="single"/>
            <w:shd w:val="clear" w:color="auto" w:fill="FFFFFF"/>
            <w:lang w:val="en-US" w:eastAsia="en-US" w:bidi="ar-SA"/>
          </w:rPr>
          <w:t>[1996] 3 S.C.R. 347</w:t>
        </w:r>
      </w:hyperlink>
      <w:r>
        <w:rPr>
          <w:rFonts w:ascii="arial" w:eastAsia="arial" w:hAnsi="arial" w:cs="arial"/>
          <w:color w:val="000000"/>
          <w:sz w:val="20"/>
          <w:lang w:val="en-US" w:eastAsia="en-US" w:bidi="ar-SA"/>
        </w:rPr>
        <w:t xml:space="preserve"> at paras. 13-19. See also Shewfelt v. Canada </w:t>
      </w:r>
      <w:hyperlink r:id="rId437" w:history="1">
        <w:r>
          <w:rPr>
            <w:rFonts w:ascii="arial" w:eastAsia="arial" w:hAnsi="arial" w:cs="arial"/>
            <w:i/>
            <w:color w:val="0077CC"/>
            <w:sz w:val="20"/>
            <w:u w:val="single"/>
            <w:shd w:val="clear" w:color="auto" w:fill="FFFFFF"/>
            <w:lang w:val="en-US" w:eastAsia="en-US" w:bidi="ar-SA"/>
          </w:rPr>
          <w:t>(1997), 28 B.C.L.R. (3d) 340</w:t>
        </w:r>
      </w:hyperlink>
      <w:r>
        <w:rPr>
          <w:rFonts w:ascii="arial" w:eastAsia="arial" w:hAnsi="arial" w:cs="arial"/>
          <w:color w:val="000000"/>
          <w:sz w:val="20"/>
          <w:lang w:val="en-US" w:eastAsia="en-US" w:bidi="ar-SA"/>
        </w:rPr>
        <w:t xml:space="preserve"> (B.C.S.C.) and Stenner v. British Columbia (Securities Commission) </w:t>
      </w:r>
      <w:hyperlink r:id="rId438" w:history="1">
        <w:r>
          <w:rPr>
            <w:rFonts w:ascii="arial" w:eastAsia="arial" w:hAnsi="arial" w:cs="arial"/>
            <w:i/>
            <w:color w:val="0077CC"/>
            <w:sz w:val="20"/>
            <w:u w:val="single"/>
            <w:shd w:val="clear" w:color="auto" w:fill="FFFFFF"/>
            <w:lang w:val="en-US" w:eastAsia="en-US" w:bidi="ar-SA"/>
          </w:rPr>
          <w:t>(1993), 23 Admin. L.R. (2d) 247</w:t>
        </w:r>
      </w:hyperlink>
      <w:r>
        <w:rPr>
          <w:rFonts w:ascii="arial" w:eastAsia="arial" w:hAnsi="arial" w:cs="arial"/>
          <w:color w:val="000000"/>
          <w:sz w:val="20"/>
          <w:lang w:val="en-US" w:eastAsia="en-US" w:bidi="ar-SA"/>
        </w:rPr>
        <w:t xml:space="preserve"> (B.C.S.C.), affd. </w:t>
      </w:r>
      <w:hyperlink r:id="rId439" w:history="1">
        <w:r>
          <w:rPr>
            <w:rFonts w:ascii="arial" w:eastAsia="arial" w:hAnsi="arial" w:cs="arial"/>
            <w:i/>
            <w:color w:val="0077CC"/>
            <w:sz w:val="20"/>
            <w:u w:val="single"/>
            <w:shd w:val="clear" w:color="auto" w:fill="FFFFFF"/>
            <w:lang w:val="en-US" w:eastAsia="en-US" w:bidi="ar-SA"/>
          </w:rPr>
          <w:t>(1996), 141 D.L.R. (4th) 122</w:t>
        </w:r>
      </w:hyperlink>
      <w:r>
        <w:rPr>
          <w:rFonts w:ascii="arial" w:eastAsia="arial" w:hAnsi="arial" w:cs="arial"/>
          <w:color w:val="000000"/>
          <w:sz w:val="20"/>
          <w:lang w:val="en-US" w:eastAsia="en-US" w:bidi="ar-SA"/>
        </w:rPr>
        <w:t xml:space="preserve"> (B.C.C.A.) on other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Krznaric v. Chevrette </w:t>
      </w:r>
      <w:hyperlink r:id="rId440" w:history="1">
        <w:r>
          <w:rPr>
            <w:rFonts w:ascii="arial" w:eastAsia="arial" w:hAnsi="arial" w:cs="arial"/>
            <w:i/>
            <w:color w:val="0077CC"/>
            <w:sz w:val="20"/>
            <w:u w:val="single"/>
            <w:shd w:val="clear" w:color="auto" w:fill="FFFFFF"/>
            <w:lang w:val="en-US" w:eastAsia="en-US" w:bidi="ar-SA"/>
          </w:rPr>
          <w:t>(1997), 154 D.L.R. (4th) 527</w:t>
        </w:r>
      </w:hyperlink>
      <w:r>
        <w:rPr>
          <w:rFonts w:ascii="arial" w:eastAsia="arial" w:hAnsi="arial" w:cs="arial"/>
          <w:color w:val="000000"/>
          <w:sz w:val="20"/>
          <w:lang w:val="en-US" w:eastAsia="en-US" w:bidi="ar-SA"/>
        </w:rPr>
        <w:t xml:space="preserve"> (Ont.Ct.Gen.Div.), the Court made an award of $5,000 for loss of opportunity to work and $7,773 for pecuniary loss to a police officer whose employer had discriminated against him by failing to accommodate his disability contrary to s. 15. At p. 549, Pardu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Policy reasons which limit relief for negligent breach of a statutory duty are not necessarily appropriate in the context of a Charter breach, given the importance of the values enshrined in the 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reached the following conclusion, at p. 550: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duty to accommodate the needs of disabled persons promotes the independence, and individual self-worth of vulnerable persons. Whether the infringement of the right is committed maliciously or merely negligently may make little difference to the victim.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Plaintiff in this case should be fully compensated for his financial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Professor Roach in his book, Constitutional Remedies in Canada (Aurora: Canada Law Book, 2000) at para. 11.420 has suggested that qualified immunities for government have been justified on the basis "they are required to treat officials fairly and that without them, officials might be prevented from performing their public duties in a vigorous fashion." I agree with his further suggestion that the rationale for a qualified immunity is more relevant to the liability of individual officials rather than (as in this case) governments because it is much more difficult to "overdeter" governments than officials.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conclude that the issues of immunity and good faith are not relevant in this case where the Government's breach consisted of a failure to accommodate the needs of the autistic petitioners.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Crown points out that no damages were awarded (or sought) in such cases as Eldridge where the legislation's failure to provide interpreters denied the deaf petitioners access to health services. The appropriate remedy in the latter case was a declaration accompanied by a direction to administer the relevant legislation in a manner consistent with the requirements of the 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It would seem that an award of monetary damages may be more appropriate in the case of a violation of Charter rights of a single person or identifiable group of persons (as in Krznaric). In this case, the petitioners represent but four families of a large and unidentified group of autistic children and their parents, all of whom could presumably claim an infringement of their s. 15 rights. To compensate the petitioners for all of their expenses for Lovaas Autism Treatment could open the "floodgates" to a much larger group seeking reimbursement for the past and future costs of Lovaas Autism Treatment or other autism treatment that they have funded privately. On the other hand, is it appropriate and just that these petitioners recoup their treatment expenses and those who have not sued the Crown for compensation do not, despite the breach of their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petitioners submit that compensatory damages would restore them to the economic position they would have been in but for the Charter violation. I do not agree that fully reimbursing the petitioners for the costs of Lovaas Autism Treatment would place them in that position. The evidence unequivocally establishes that had the Government provided Early IBI, such treatment would not have been in the form of Lovaas Autism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Schachter, the Court held the Employment Insurance Act that provided some benefits to adoptive parents that were not given to biological parents to be under-inclusive. The benefit was not one the government was constitutionally obligated to provide to either group. However, by virtue of the section 15 Charter violation, Parliament was obliged to equalize the provision of the benefit if it was to be provided at all. The Court stated at page 725: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classic doctrine of damages is that the plaintiff is to be put in the position he or she would have occupied had there been no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considered two possibilities. The plaintiff could have received the benefit equally with the other beneficiaries, or Parliament could have failed to provide the benefit to anyone. It was likely that the group of biological parents to whom the benefit was previously excluded vastly outnumbered the group of adoptive parents to whom the benefit had been provided. Since it could not be assumed that Parliament would have enacted the benefit to include biological parents, the plaintiff could not show that she was in a worse position than had there been no wrong. An award of damages was therefore inappropriate.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family of Miki Tamir has apparently spent in excess of $240,000 on Lovaas Autism Treatment. To their credit, they made that decision to expend those moneys in their daughter's best interests. But it cannot be assumed that had the Government offered Early IBI to autistic children, including Miki, at all relevant times, it would have expended that sum of money on a single child. A just and appropriate award cannot be determined by reference to the petitioners' outlay of funds for Lovaas Autism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While each case must be determined individually, I see no reason in principle why an award of damages cannot be made in an appropriate case to advance the twin remedial purposes of governmental behaviour modification and compensation for an applicant whose Charter rights have been breached. I conclude that it is appropriate and just to award a symbolic sum of damages of $20,000 to each of the four adult petitioners who have shouldered the financial and emotional burdens of litigation on behalf of, and for the benefit of, a wider community of autistic families. These relatively modest awards make no attempt to quantify any damages suffered by the petitioners and do not reflect actual costs incurred for autism treatment to the infant petitioners. They symbolize, in some tangible fashion, the fact that the petitioners have achieved a real victory on behalf of all autistic children whose rights were infringed. A symbolic figure also avoids an inquiry into what expenses the Government would have funded had it complied with its constitutional requirements to treat the infant petitioners' disability. In sum, a symbolic award provides partial, albeit minimal, compensation to the petitioners and acknowledges the intransigence of Government in responding to long-standing requests and demands for autism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An "appropriate and just" remedy must be determined by the particular circumstances of the case under consideration. I conclude that the petitioners are entitled to the following relief:</w:t>
      </w:r>
      <w:r>
        <w:rPr>
          <w:rFonts w:ascii="arial" w:eastAsia="arial" w:hAnsi="arial" w:cs="arial"/>
          <w:sz w:val="20"/>
          <w:lang w:val="en-US" w:eastAsia="en-US" w:bidi="ar-SA"/>
        </w:rPr>
        <w:cr/>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will be a declaration that the Crown's failure to provide the infant petitioners with effective treatment for their medical condition of autism constitutes a denial of their rights under s. 15(1) Charter.</w:t>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will also be a direction that the Crown fund early intensive behavioural therapy for children with autism, including autism spectrum disorder. It is presumed that the Government will act in good faith in implementing the appropriate policies to meet its constitutional obligations.</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adult petitioners are each entitled to an award of $20,000 for monetary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 I stated in Auton #2, it is the Government, rather than a particular Ministry or the Medical Services Commission ("MSC"), that failed to meet its constitutional obligations to provide the petitioners with appropriate treatment for their medical disability. It is for the Government, through one or more of its Ministries, to provide the necessary treatment. Accordingly, the proceeding against MSC is unnecessary and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Counsel indicated that they wish to address the issue of costs separately. In the circumstances, I incline to the view that the petitioners, who have shouldered the load on behalf of all parents of young autistic children, should be appropriately compensated for the costs of maintaining this extensive litigation. However, I am also aware of the recent decision of the Court in Little Sisters Book and Art Emporium v. Canada (Minister of Justice), </w:t>
      </w:r>
      <w:hyperlink r:id="rId441" w:history="1">
        <w:r>
          <w:rPr>
            <w:rFonts w:ascii="arial" w:eastAsia="arial" w:hAnsi="arial" w:cs="arial"/>
            <w:i/>
            <w:color w:val="0077CC"/>
            <w:sz w:val="20"/>
            <w:u w:val="single"/>
            <w:shd w:val="clear" w:color="auto" w:fill="FFFFFF"/>
            <w:lang w:val="en-US" w:eastAsia="en-US" w:bidi="ar-SA"/>
          </w:rPr>
          <w:t>[2000] S.C.J. No. 66</w:t>
        </w:r>
      </w:hyperlink>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2000 SCC 69</w:t>
        </w:r>
      </w:hyperlink>
      <w:r>
        <w:rPr>
          <w:rFonts w:ascii="arial" w:eastAsia="arial" w:hAnsi="arial" w:cs="arial"/>
          <w:color w:val="000000"/>
          <w:sz w:val="20"/>
          <w:lang w:val="en-US" w:eastAsia="en-US" w:bidi="ar-SA"/>
        </w:rPr>
        <w:t>, upholding the decision of Mr. Justice Smith awarding the applicant party and party costs on an increased basis (rather than the equivalent of solicitor and client costs): (1996), 48 C.P.C. (3d) 323 (B.C.S.C.). If counsel cannot agree on the appropriate method of assessing costs, they may set the matter down for a further hearing at a convenient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8"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43"/>
          <w:headerReference w:type="default" r:id="rId444"/>
          <w:footerReference w:type="even" r:id="rId445"/>
          <w:footerReference w:type="default" r:id="rId446"/>
          <w:headerReference w:type="first" r:id="rId447"/>
          <w:footerReference w:type="first" r:id="rId44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49" w:history="1">
        <w:r>
          <w:rPr>
            <w:rFonts w:ascii="arial" w:eastAsia="arial" w:hAnsi="arial" w:cs="arial"/>
            <w:b/>
            <w:bCs/>
            <w:i/>
            <w:color w:val="0077CC"/>
            <w:kern w:val="32"/>
            <w:sz w:val="28"/>
            <w:szCs w:val="32"/>
            <w:u w:val="single"/>
            <w:shd w:val="clear" w:color="auto" w:fill="FFFFFF"/>
            <w:lang w:val="en-US" w:eastAsia="en-US" w:bidi="ar-SA"/>
          </w:rPr>
          <w:t>Bank of Montreal v. Tseshaht Indian Band, [2003] B.C.J. No. 1649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Hood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12,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11,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S026274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1649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1095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123 A.C.W.S. (3d) 730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Bank of Montreal, plaintiff, and Tseshaht Indian Band also known as the Tseshaht First Nation, Nation Seafood Inc., Skidegate Sales &amp; Service Ltd., Tsisha Investments Ltd., Clayoquot Sound Products Ltd., Al Nikiforuk and Frank Kendall,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9"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4" w:name="Keywords_25"/>
      <w:bookmarkEnd w:id="174"/>
      <w:r>
        <w:rPr>
          <w:rFonts w:ascii="arial" w:eastAsia="arial" w:hAnsi="arial" w:cs="arial"/>
          <w:b/>
          <w:color w:val="000000"/>
          <w:sz w:val="20"/>
          <w:lang w:val="en-US" w:eastAsia="en-US" w:bidi="ar-SA"/>
        </w:rPr>
        <w:t>Guarantee and indemnity — Relations between co-sureties — Joint liability of co-sureties — Discharge and other defences of surety — Lack of independent legal advice — Acts of guarantor — Misrepresentation to guarantor — Practice — Trials — Summary trials — Availability of.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5" w:name="Case Summary_25"/>
            <w:bookmarkEnd w:id="17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Bank for judgment by way of summary trial against the defendant Tseshaht Indian Band on a guarantee. Nation was a joint venture between the Band and the other defendants, including Nation Seafood. The Band passed a resolution providing that it was affiliated and had business relations with Nation and authorizing the execution of the guarantee in favour of the Bank. It signed the guarantee on the same day. The defendant Tsisha Investments, in which the Band was a 51 per cent shareholder, and the individual defendants also executed a guarantee of Nation's debt. Nation became insolvent. The Bank did not advise the Band to seek independent legal advice before signing the guarantee. The Band claimed that it was not advised it would be potentially liable for the entire amount of the guarantee. There was no evidence that the Band had asked about the effect of the guarantee. The Band was a long-term customer of the Bank.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6" w:name="Holdings of Court_23"/>
            <w:bookmarkEnd w:id="176"/>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evidence was more than adequate and to proceed summarily did not result in an injustice. There was no basis for a finding of innocent misrepresentation by silence. The Bank, by remaining silent, did not breach any duty to the Band. It was not required to go after all of the guarantors. The Band was an active participant in the joint venture sufficiently that the absence of independent legal advice was not a defence. There was no special relationship between the Band and the Bank. There was no duty on the Bank to warn the Band that Nation's business might be risky or that its co-guarantors likely would not be able to contribute to any loss in the event of default.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7" w:name="Legislation Cited_16"/>
      <w:bookmarkEnd w:id="17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0"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78" w:name="Counsel_26"/>
      <w:bookmarkEnd w:id="17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1" style="position:absolute;z-index:251788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 Roberts, for the plaintiff. J. Gailus, for the defendant, Tseshaht Indian Band and Tsisha Investments Ltd. No one appeared for the other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9" w:name="Judgment_26"/>
      <w:bookmarkEnd w:id="179"/>
      <w:r>
        <w:pict>
          <v:line id="_x0000_s1152" style="position:absolute;z-index:25183846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0" w:name="HOOD J."/>
            <w:bookmarkEnd w:id="180"/>
            <w:r>
              <w:rPr>
                <w:rFonts w:ascii="arial" w:eastAsia="arial" w:hAnsi="arial" w:cs="arial"/>
                <w:b/>
                <w:color w:val="000000"/>
                <w:sz w:val="30"/>
                <w:lang w:val="en-US" w:eastAsia="en-US" w:bidi="ar-SA"/>
              </w:rPr>
              <w:t>HOOD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18A trial. The plaintiff seeks judgment against the Tseshaht Indian Band (the Band) only, on a guarantee dated June 27, 2000, of the debts and liabilities of the defendant Nation Seafood Inc. (the Company). The Bank of Montreal (the Bank) has default judgments against the other defendants save the defendants Skidegate Sales &amp; Service Ltd. and Frank Kendall. No relief is sought against the latter two defendants, and they have no interest in the motion. In fact the Band has judgments against both of them in the Band's action, to which I will refer in a moment.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amount claimed is $92,445.09 as of September 12, 2002. The interest payable is Prime + 1% per annum.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are few material facts in dispute, if any. By a written application which is dated June 23, 2000, the Company applied to the Bank for a credit facility, subject to the terms and conditions therein set out. The application was signed by the Company's authorized signatories, Darleen Watts, Allen Stanley Nikiforuk and Frank Kendall.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By its letter to the Company dated June 6, 2000, the Bank confirmed its approval of the written credit application subject to terms and conditions detailed in an attachment to the credit offering letter. The June 6, 2000 letter was signed by all of the defendants, expressly accepting and acknowledging the terms and conditions of the letter of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terms and conditions in the letter included the Company providing a General Security Agreement and a General Assignment of Book Debts, and all of the defendants providing joint and several guarantees in the amount of $100,000.00 for the borrowings of the Company and the Band and the corporate guarantors providing enabling resolutions. A certified copy of adequate insurance coverage, with a Standard Mortgage Clause showing Bank of Montreal as loss payee as to indicated interest RE: 4815 Josephine Street, Port Alberni, was also to be provided. "Other conditions", under s. 10, included the providing of personal statements of worth by the defendants Nikiforuk and Kendall, a financial statement by Skidegate Sales &amp; Service Ltd., and the confirmation from Clayoquot Sound Products Ltd. that no inter-company relationship existed between Clayoquot and Island Seafoods International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Darleen Watts, Allen Nikiforuk and Frank Kendall were, at the material times, both members of the Tseshaht Indian Band council and/or directors and officers of the Company. And at all material times Darleen Watts, Wendy Gallic and Dave Watts were directors and/or officers of Tsisha Investments Ltd. (Tsisha). The Band is a 51% shareholder in Tsisha.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June 27, 2000, the defendant Tsisha passed a resolution, in which it is stated that Tsisha is affiliated with and has business relations with the Company, authorizing the execution of a guarantee on behalf of Tsisha in the aggregate principle sum of $100,000.00 and attaching to the resolution a form of the guarantee to be executed.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the same day, June 27, 2000, the Band passed a resolution, in which it is stated that the Band is affiliated with and has business relations with the Company, similarly authorizing the execution of a guarantee in favour of the Bank, and attaching to the resolution a form of the guarantee to be executed. The resolution was signed by the councillors of the Band, Doug Robinson, Gerald Fred Jr., Robert Thomas, Charlie Sam, Wendy Gallic, David Watts, Darleen Watts, William Sam, Marlene Dick, George Watts and Gail Gus.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June 27, 2000, the Band signed the guarantee for the indebtedness of the Company. The guarantee was signed by Darlene Watts, William Sam, Marlene Dick, Doug Robinson, Wendy Gallic, all members of the Band's council, and Allen Nikiforuk, and Frank Kendall. And on June 29, 2000, Tsisha signed a guarantee for the indebtedness of the Company. Its guarantee was signed by Wendy Gallic and David Watts as authorized signatories. The guarantee was also signed by authorized signatories for the defendants Clayoquot Sound Products Ltd. and Skidegate Sales &amp; Service Ltd., Allen Stanley Nikiforuk, Lawrence McLean and Frank Kendall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Company was incorporated on August 30, 1999. It was a joint venture between Allen Nikiforuk, Frank Kendall, the Band and their respective companies, Clayoquot Sound Products Ltd., Skidegate Sales &amp; Service Ltd. and Tsisha. The Company was created to operate a fish plant, which it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Company became insolvent. And on November 8, 2001, Dave Watts Sr., acting as interim chief of the Band, wrote to the Bank stating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am pleased by the decision of the Bank of Montreal to allow the Tseshaht First Nation until the end of December to sort out the Nation Seafood situation. </w:t>
      </w:r>
      <w:r>
        <w:rPr>
          <w:rFonts w:ascii="arial" w:eastAsia="arial" w:hAnsi="arial" w:cs="arial"/>
          <w:color w:val="000000"/>
          <w:sz w:val="20"/>
          <w:u w:val="single"/>
          <w:lang w:val="en-US" w:eastAsia="en-US" w:bidi="ar-SA"/>
        </w:rPr>
        <w:t>By that time will be in a position to either pay out the loan or term it out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are grateful for the patience shown by the Bank of Montreal. </w:t>
      </w:r>
      <w:r>
        <w:rPr>
          <w:rFonts w:ascii="arial" w:eastAsia="arial" w:hAnsi="arial" w:cs="arial"/>
          <w:color w:val="000000"/>
          <w:sz w:val="20"/>
          <w:u w:val="single"/>
          <w:lang w:val="en-US" w:eastAsia="en-US" w:bidi="ar-SA"/>
        </w:rPr>
        <w:t>I wish to assure you of our intention to honour our obligations</w:t>
      </w:r>
      <w:r>
        <w:rPr>
          <w:rFonts w:ascii="arial" w:eastAsia="arial" w:hAnsi="arial" w:cs="arial"/>
          <w:color w:val="000000"/>
          <w:sz w:val="20"/>
          <w:lang w:val="en-US" w:eastAsia="en-US" w:bidi="ar-SA"/>
        </w:rPr>
        <w:t>.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observed that none of the defences raised in the action is referred to in the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While the letter is written by Mr. Watts, Mr. Rezansoff, the Band's present CEO attempts to explain it in para. 6 of his affidavit sworn May 12, 2003, as follows:</w:t>
      </w:r>
      <w:r>
        <w:rPr>
          <w:rFonts w:ascii="arial" w:eastAsia="arial" w:hAnsi="arial" w:cs="arial"/>
          <w:sz w:val="20"/>
          <w:lang w:val="en-US" w:eastAsia="en-US" w:bidi="ar-SA"/>
        </w:rPr>
        <w:cr/>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letter from Tseshaht First Nation to the plaintiff, attached to Exhibit "D" in affidavit #2 of C.A. Olson sworn April 1, 2003, was prepared prior to being aware that the plaintiff was relying solely on the Tseshaht First Nation guarantee for the entire amount rather than seeking its proportionate share. Moreover, the letter was written prior to my conversation with Mr. Moroz.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will return to Mr. Rezansoff's evidence with regard to the conversation in a moment since the Band places much emphasis on it as giving rise to a duty to inform on the part of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On November 20, 2001, the Band, Tsisha, and the Company sued Clayoquot Sound Products Ltd., Allen Nikiforuk, Skidegate Sales &amp; Service Ltd., Frank Kendall and others with respect to the joint venture agreement claiming breach of contract, breach of fiduciary duty, conspiracy,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negligent misrepresentation, and fraud. It is my understanding that the action has not proceeded, other than that the Band obtained default judgment on July 31, 2002, against Kendall and on September 27, 2002, against Skidegate Sales &amp; Service Ltd. Nikiforuk declared personal bankruptcy on February 25,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material terms of the guarantee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consideration of the Bank ... dealing with Nation Seafood Inc., herein referred to as the Customer, the undersigned hereby jointly and severally guarantee(s) payment to the Bank of all present and future debts and liabilities direct or indirect or otherwise, now or at any time and from time to time hereafter due or owing to the Bank from the Customer, ...: provided, however, that the liability of the undersigned and each of the undersigned herein is limited to One Hundred Thousand Dollars ($100,000.00) with interest thereon at a rate of prime + 1% per annum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FURTHER AGREED that the Bank, </w:t>
      </w:r>
      <w:r>
        <w:rPr>
          <w:rFonts w:ascii="arial" w:eastAsia="arial" w:hAnsi="arial" w:cs="arial"/>
          <w:color w:val="000000"/>
          <w:sz w:val="20"/>
          <w:u w:val="single"/>
          <w:lang w:val="en-US" w:eastAsia="en-US" w:bidi="ar-SA"/>
        </w:rPr>
        <w:t>without consent of the undersigned and without exonerating in whole or in part the undersigned</w:t>
      </w:r>
      <w:r>
        <w:rPr>
          <w:rFonts w:ascii="arial" w:eastAsia="arial" w:hAnsi="arial" w:cs="arial"/>
          <w:color w:val="000000"/>
          <w:sz w:val="20"/>
          <w:lang w:val="en-US" w:eastAsia="en-US" w:bidi="ar-SA"/>
        </w:rPr>
        <w:t xml:space="preserve">, or any of them, ..., may grant time, renewals, extensions, indulgences, releases and discharges to, may take securities from and give the same and any or all existing securities up to, may abstain from taking securities from, or from perfecting securities of, may accept compositions from, </w:t>
      </w:r>
      <w:r>
        <w:rPr>
          <w:rFonts w:ascii="arial" w:eastAsia="arial" w:hAnsi="arial" w:cs="arial"/>
          <w:color w:val="000000"/>
          <w:sz w:val="20"/>
          <w:u w:val="single"/>
          <w:lang w:val="en-US" w:eastAsia="en-US" w:bidi="ar-SA"/>
        </w:rPr>
        <w:t>and may otherwise change the terms of any of the debts and liabilities hereby guaranteed and otherwise deal with the Customer and all other persons (including the undersigned, or any of them, and any other guarantor)</w:t>
      </w:r>
      <w:r>
        <w:rPr>
          <w:rFonts w:ascii="arial" w:eastAsia="arial" w:hAnsi="arial" w:cs="arial"/>
          <w:color w:val="000000"/>
          <w:sz w:val="20"/>
          <w:lang w:val="en-US" w:eastAsia="en-US" w:bidi="ar-SA"/>
        </w:rPr>
        <w:t xml:space="preserve"> and securities, as the Bank sees fit, ... (My emphasis)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IT IS FURTHER AGREED that this shall be a continuing guarantee, and shall cover and secure any ultimate balance owing to the Bank, including all costs, charges and expenses which the Bank may incur in enforcing or obtaining payment of the sums of money due to the Bank from the Customer ... The Bank shall not be obliged to seek any recourse against the Customer or any other persons or the securities it may hold before being entitled to payment from the undersigned of all and every debts and liabilities hereby guaranteed. The undersigned and each of them (if more than one) hereby renounces the benefits of discussion and division. The undersigned and each of them (if more than one) renounces to claim against, or set up against, the Bank any right which the undersigned ... may have to be subrogated in any of the rights, hypothecs, privileges and other security held from time to time by the Bank.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UNDERSIGNED</w:t>
      </w:r>
      <w:r>
        <w:rPr>
          <w:rFonts w:ascii="arial" w:eastAsia="arial" w:hAnsi="arial" w:cs="arial"/>
          <w:color w:val="000000"/>
          <w:sz w:val="20"/>
          <w:lang w:val="en-US" w:eastAsia="en-US" w:bidi="ar-SA"/>
        </w:rPr>
        <w:t xml:space="preserve"> and each of them (if more than one) acknowledges that </w:t>
      </w:r>
      <w:r>
        <w:rPr>
          <w:rFonts w:ascii="arial" w:eastAsia="arial" w:hAnsi="arial" w:cs="arial"/>
          <w:color w:val="000000"/>
          <w:sz w:val="20"/>
          <w:u w:val="single"/>
          <w:lang w:val="en-US" w:eastAsia="en-US" w:bidi="ar-SA"/>
        </w:rPr>
        <w:t>this Guarantee has been delivered free of any conditions and that no representations have been made to the undersigned or any of them</w:t>
      </w:r>
      <w:r>
        <w:rPr>
          <w:rFonts w:ascii="arial" w:eastAsia="arial" w:hAnsi="arial" w:cs="arial"/>
          <w:color w:val="000000"/>
          <w:sz w:val="20"/>
          <w:lang w:val="en-US" w:eastAsia="en-US" w:bidi="ar-SA"/>
        </w:rPr>
        <w:t xml:space="preserve"> (if more than one) affecting the liability of the undersigned or any of them (if more than one) under this Guarantee save as may be specifically embodied herein and agrees that this Guarantee is in addition to and not in substitution for any other Guarantees held or which may be hereafter be held by the said Bank. The present Guarantee shall remain in full force and effect until all debts and obligations hereby secured have been irrevocably and indefeasibly paid and released.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While the Bank is suing both the Band and Tsisha on their guarantees, which for all intents and purposes are identical, Mr. Roberts told me that the Bank is now only seeking judgment against the Band. That being the case I do not propose to deal further with Tsisha or its guarantee. If I am wrong then the disposition with regard to the Band will apply equally to Tsisha.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seeks judgment against the Band on its guarantee in the amount of $92,445.09 together with interest after September 12, 2002, to the date of payment or judgment at the rate of prime + 1% per annum.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their defence, the Band and Tsisha raise three defences entitled therein:</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Misrepresentation of guarantees;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Abuse of special relationship; and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will outline the defences here and return to them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MISREPRESENTATION OF GUARANTEES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Band alleges that prior to entering into the guarantees, the plaintiff was aware that the guarantors, except the Band and Tsisha, likely would not be able to pay "their proportionate share" of the guarantees. The plaintiff did not make these defendants aware of this information prior to these defendants entering into the guarantees. Hence these defendants say that the plaintiff's silence was a misrepresentation of the guarantees.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Band pleads that they relied on the plaintiff's misrepresentation when they entered into the guarantees, and that they would not have entered into the guarantees if they were aware of the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ABUSE OF SPECIAL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Band says that the plaintiff is the financial institution that provides most of the financial services of the Band and Tsisha, and that the plaintiff has a special relationship with them as their banker. The Band says that the plaintiff did not make the Band and Tsisha aware that independent legal advice should be sought prior to these defendants entering into the guarantees; that the plaintiff's silence was an abuse of its special relationship with these defendants. They say further that they would not have entered into the guarantees had they received independent legal advice and that the guarantees should be rescinded due to the plaintiff's misrepresentation of the guarantees, and the plaintiff's abuse of its special relationship with these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Band says alternatively that the plaintiff is estopped from demanding payment from them in accordance with the guarantees due to its misrepresentation of the guarantees and its abuse of its special relationship with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Before turning to the submissions I will set out in part the assertions made by Mr. Watts in his affidavit sworn March 17, 2003. I say "assertions" because it will be seen that the Band's evidence on most issues is no more than generalized assertions.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Watts says: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Tseshaht have exclusively done business with the Bank of Montreal for at least ten years. All our accounts are currently with the Bank of Montreal. Moreover, the Bank of Montreal has operated a branch on Tsahehah Indian Reserve No. 1 for the past seven years pursuant to an agreement with Tseshaht.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that the Tseshaht entered into the guarantee with the Bank of Montreal, the Tseshaht were unaware of the financial position of NSI, Kendall or Nikiforuk. The Tseshaht were not advised by the Bank of Montreal regarding the financial position of any of the other guarantors or NSI.</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Tseshaht understood that its liability pursuant to the guarantee was limited to one-sixth of the total amount. We were not advised by the Bank of Montreal that we would potentially be liable for the entire amount of the guarantee. We were not advised by the Bank of Montreal to seek independent legal advice and did not do so. Had the Tseshaht been aware of its potential exposure for the entire amount of the loan we would not have signed the guarantee.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told by Harry Rezansoff, Chief Executor Officer of Tseshaht that he was advised by Jim Moroz of the Bank of Montreal that the Bank did not intend to rely on the guarantees of Kendall and Nikiforuk and would not have given the loan but for the Tseshaht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Roberts for the Bank said that in the circumstances of this case an 18A trial was appropriate. Judgment should be granted. There is no foundation in law or in fact for any defences asserted.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Roberts observed that there is no evidence before the court, and no suggestion, that the Band made any inquiries of the Bank, for example, could the Bank only sue one of the guarantors upon a default occurring? When it was suggested that if the Bank was required to pursue and sue all of the guarantors, then if all of the guarantors were bankrupt save the Band, the Bank could not sue the Band, Mr. Gailus' response was that he agreed that in such circumstances the Bank could not sue the Band, adding "but that is not my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Mr. Roberts relies on the decision of Taggart J.A. in C.I.B.C. v. Trapp </w:t>
      </w:r>
      <w:hyperlink r:id="rId450" w:history="1">
        <w:r>
          <w:rPr>
            <w:rFonts w:ascii="arial" w:eastAsia="arial" w:hAnsi="arial" w:cs="arial"/>
            <w:i/>
            <w:color w:val="0077CC"/>
            <w:sz w:val="20"/>
            <w:u w:val="single"/>
            <w:shd w:val="clear" w:color="auto" w:fill="FFFFFF"/>
            <w:lang w:val="en-US" w:eastAsia="en-US" w:bidi="ar-SA"/>
          </w:rPr>
          <w:t>(1987), 12 B.C.L.R. (2d) 35</w:t>
        </w:r>
      </w:hyperlink>
      <w:r>
        <w:rPr>
          <w:rFonts w:ascii="arial" w:eastAsia="arial" w:hAnsi="arial" w:cs="arial"/>
          <w:color w:val="000000"/>
          <w:sz w:val="20"/>
          <w:lang w:val="en-US" w:eastAsia="en-US" w:bidi="ar-SA"/>
        </w:rPr>
        <w:t xml:space="preserve"> (C.A.) at p. 40 for the proposition that where a guarantor makes no express inquiry of the bank regarding the effect of a guarantee or the indebtedness of the debtor, the bank, by remaining silent, will not be held to have breached any duty to the guarantor or to have made any innocent or negligent misrepresentations entitling the guarantor to avoid the guarantee. This is old law, and I agree. Even if it were found that the Band thought its liability was limited to one-sixth of the debt or that the Bank could not come after the Band alone, and there is no evidence of that, there is no evidence that the Band made any inquiries of the Bank in that regard, or of the Bank making any representations in that regard. Thus there is no basis for a finding of innocent misrepresentation by silence.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Mr. Roberts also relies on Bank of Montreal v. Sorich </w:t>
      </w:r>
      <w:hyperlink r:id="rId451" w:history="1">
        <w:r>
          <w:rPr>
            <w:rFonts w:ascii="arial" w:eastAsia="arial" w:hAnsi="arial" w:cs="arial"/>
            <w:i/>
            <w:color w:val="0077CC"/>
            <w:sz w:val="20"/>
            <w:u w:val="single"/>
            <w:shd w:val="clear" w:color="auto" w:fill="FFFFFF"/>
            <w:lang w:val="en-US" w:eastAsia="en-US" w:bidi="ar-SA"/>
          </w:rPr>
          <w:t>(1990), 6 C.B.R. (3d) 113</w:t>
        </w:r>
      </w:hyperlink>
      <w:r>
        <w:rPr>
          <w:rFonts w:ascii="arial" w:eastAsia="arial" w:hAnsi="arial" w:cs="arial"/>
          <w:color w:val="000000"/>
          <w:sz w:val="20"/>
          <w:lang w:val="en-US" w:eastAsia="en-US" w:bidi="ar-SA"/>
        </w:rPr>
        <w:t xml:space="preserve"> (B.C.S.C.) a decision of Ryan J., as she then was, and other cases which I need not refer to, for the proposition that unless the circumstances are so commercially unusual, there is no obligation on a bank to disclose to a surety the circumstances of the debtor's finances, absent specific inquiry by the surety; that the financial state or poor credit of a debtor does not create "an unusual circumstance" requiring any disclosure by a bank. Again, this is old law. Mr. Roberts goes further and says that these propositions apply equally to a co-guarantor. There was no obligation on the bank to speak to one guarantor about the financial situation of another guarantor. And reference is made to Sorich, supra, at p. 120.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observe that there is no evidence before me as to what the Bank knew about the Company or any of the co-guarantors. And one might reasonably expect that the Band, rather than the Bank, would have had sufficient information in these areas, from Band members and fellow joint venturers, when they all went to the Bank to obtain the loan. And as in Sorich, supra, there is no evidence that the Band made any inquiries of the Bank about their own joint venturers, nor is there any evidence that the circumstances were so unusual that the Bank ought to have drawn the Band's attention to the financial circumstances of the other joint venturers, if in fact they knew anything about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Even the failure of a creditor to take all available security in support of a loan, for which it has also obtained a guarantee, will not entitle a guarantor to avoid the guarantee even where the creditor did not advise the guarantor that all available security had not been taken. And the surety is competent to contract out of the equitable rule that a creditor must protect and preserve the security and be in a position to reassign that security to the surety on repayment of the debt; as was done in this case. See the decision of Lowry J., as he then was, in Royal Bank of Canada v. Vidulich, </w:t>
      </w:r>
      <w:hyperlink r:id="rId452" w:history="1">
        <w:r>
          <w:rPr>
            <w:rFonts w:ascii="arial" w:eastAsia="arial" w:hAnsi="arial" w:cs="arial"/>
            <w:i/>
            <w:color w:val="0077CC"/>
            <w:sz w:val="20"/>
            <w:u w:val="single"/>
            <w:shd w:val="clear" w:color="auto" w:fill="FFFFFF"/>
            <w:lang w:val="en-US" w:eastAsia="en-US" w:bidi="ar-SA"/>
          </w:rPr>
          <w:t>[1996] B.C.J. No. 337</w:t>
        </w:r>
      </w:hyperlink>
      <w:r>
        <w:rPr>
          <w:rFonts w:ascii="arial" w:eastAsia="arial" w:hAnsi="arial" w:cs="arial"/>
          <w:color w:val="000000"/>
          <w:sz w:val="20"/>
          <w:lang w:val="en-US" w:eastAsia="en-US" w:bidi="ar-SA"/>
        </w:rPr>
        <w:t xml:space="preserve"> (S.C.) at p. 2, and Bauer v. Bank of Montreal </w:t>
      </w:r>
      <w:hyperlink r:id="rId453" w:history="1">
        <w:r>
          <w:rPr>
            <w:rFonts w:ascii="arial" w:eastAsia="arial" w:hAnsi="arial" w:cs="arial"/>
            <w:i/>
            <w:color w:val="0077CC"/>
            <w:sz w:val="20"/>
            <w:u w:val="single"/>
            <w:shd w:val="clear" w:color="auto" w:fill="FFFFFF"/>
            <w:lang w:val="en-US" w:eastAsia="en-US" w:bidi="ar-SA"/>
          </w:rPr>
          <w:t>(1980), 110 D.L.R. (3d) 424</w:t>
        </w:r>
      </w:hyperlink>
      <w:r>
        <w:rPr>
          <w:rFonts w:ascii="arial" w:eastAsia="arial" w:hAnsi="arial" w:cs="arial"/>
          <w:color w:val="000000"/>
          <w:sz w:val="20"/>
          <w:lang w:val="en-US" w:eastAsia="en-US" w:bidi="ar-SA"/>
        </w:rPr>
        <w:t xml:space="preserve"> (S.C.C.) at p. 427. In my opinion the Bank does not have to go after all of the guarantors, or any particular security, either by contract or by law. The Bank can go after one guarantor if it chooses to do so, and usually does; the guarantor with assets which are the easiest to get 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Finally under this topic there must be a misrepresentation, and reliance on it for the Band to succeed. Here in my view there is no evidence of any representation by the Bank to the Band, nor is there any evidence that the Band relied on anything that the Bank said or did not say and was thereby induced to be a guarantor.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INDEPENDENT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Mr. Roberts says that there is no basis for the proposition that the Bank was required to advise the Band to obtain independent legal advice. They are not in the same position as a wife or third party, who had no interest in the transaction, and would not benefit from it. The Band was an active participant in the joint venture sufficiently that the absence of independent legal advice is not a defence. See in this regard the decision of McLachlin J.A., as she then was, speaking for the court, in North West Life Assur. Co. of Canada v. Shannon Height Developments Ltd. </w:t>
      </w:r>
      <w:hyperlink r:id="rId454" w:history="1">
        <w:r>
          <w:rPr>
            <w:rFonts w:ascii="arial" w:eastAsia="arial" w:hAnsi="arial" w:cs="arial"/>
            <w:i/>
            <w:color w:val="0077CC"/>
            <w:sz w:val="20"/>
            <w:u w:val="single"/>
            <w:shd w:val="clear" w:color="auto" w:fill="FFFFFF"/>
            <w:lang w:val="en-US" w:eastAsia="en-US" w:bidi="ar-SA"/>
          </w:rPr>
          <w:t>(1987), 12 B.C.L.R. (2d) 346</w:t>
        </w:r>
      </w:hyperlink>
      <w:r>
        <w:rPr>
          <w:rFonts w:ascii="arial" w:eastAsia="arial" w:hAnsi="arial" w:cs="arial"/>
          <w:color w:val="000000"/>
          <w:sz w:val="20"/>
          <w:lang w:val="en-US" w:eastAsia="en-US" w:bidi="ar-SA"/>
        </w:rPr>
        <w:t xml:space="preserve"> (C.A.), particularly at p. 349.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Mr. Roberts submitted that no estoppel exists where it is not first established that the party against whom the estoppel is asserted was under a positive duty to make disclosure of the subject circumstances. Without the existence of such a duty, no estoppel can be established merely by remaining silent. See British American Oil v. Kos, </w:t>
      </w:r>
      <w:hyperlink r:id="rId455" w:history="1">
        <w:r>
          <w:rPr>
            <w:rFonts w:ascii="arial" w:eastAsia="arial" w:hAnsi="arial" w:cs="arial"/>
            <w:i/>
            <w:color w:val="0077CC"/>
            <w:sz w:val="20"/>
            <w:u w:val="single"/>
            <w:shd w:val="clear" w:color="auto" w:fill="FFFFFF"/>
            <w:lang w:val="en-US" w:eastAsia="en-US" w:bidi="ar-SA"/>
          </w:rPr>
          <w:t>[1964] S.C.R. 167</w:t>
        </w:r>
      </w:hyperlink>
      <w:r>
        <w:rPr>
          <w:rFonts w:ascii="arial" w:eastAsia="arial" w:hAnsi="arial" w:cs="arial"/>
          <w:color w:val="000000"/>
          <w:sz w:val="20"/>
          <w:lang w:val="en-US" w:eastAsia="en-US" w:bidi="ar-SA"/>
        </w:rPr>
        <w:t xml:space="preserve"> at p. 176. He also says that a party who was careless in the execution of a written instrument is estopped, as against an innocent transferee, from denying the validity of the document. And reference is made to Marvco Color Research Ltd. v. Harris </w:t>
      </w:r>
      <w:hyperlink r:id="rId456" w:history="1">
        <w:r>
          <w:rPr>
            <w:rFonts w:ascii="arial" w:eastAsia="arial" w:hAnsi="arial" w:cs="arial"/>
            <w:i/>
            <w:color w:val="0077CC"/>
            <w:sz w:val="20"/>
            <w:u w:val="single"/>
            <w:shd w:val="clear" w:color="auto" w:fill="FFFFFF"/>
            <w:lang w:val="en-US" w:eastAsia="en-US" w:bidi="ar-SA"/>
          </w:rPr>
          <w:t>(1983), 141 D.L.R. (3d) 577</w:t>
        </w:r>
      </w:hyperlink>
      <w:r>
        <w:rPr>
          <w:rFonts w:ascii="arial" w:eastAsia="arial" w:hAnsi="arial" w:cs="arial"/>
          <w:color w:val="000000"/>
          <w:sz w:val="20"/>
          <w:lang w:val="en-US" w:eastAsia="en-US" w:bidi="ar-SA"/>
        </w:rPr>
        <w:t xml:space="preserve"> (S.C.C.) at p. 585.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Roberts points out that counsel for the Band says that because there was a special relationship between the Bank and the Band, estoppel arises and the guarantee is unenforceable. He says that the only evidence of the special relationship asserted is that the Bank had the Band as a customer for some 10 years, and that on occasion apparently the Bank gave some investment advice to the Band. No particulars are given, and more importantly, there is no evidence of any advice being asked for or given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Counsel submitted that the evidence is woefully inadequate to define a special relationship or its effect. Further, even if such a relationship existed, the Band still has to show a positive duty on the Bank to tell the Band something.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only communication referred to is that which is set out in the affidavit of Mr. Harry Rezansoff, the Band's CEO, wherein 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or about January 27, 2003, I had a conversation with Jim Moroz, Branch Manager of the Bank of Montreal. Mr. Moroz stated that </w:t>
      </w:r>
      <w:r>
        <w:rPr>
          <w:rFonts w:ascii="arial" w:eastAsia="arial" w:hAnsi="arial" w:cs="arial"/>
          <w:color w:val="000000"/>
          <w:sz w:val="20"/>
          <w:u w:val="single"/>
          <w:lang w:val="en-US" w:eastAsia="en-US" w:bidi="ar-SA"/>
        </w:rPr>
        <w:t>the bank was aware at the time the guarantees were entered into that the Defendants, Kendall and Nikiforuk and their companies, Clayoquot and Skidegate, had no value if the Bank demanded payment</w:t>
      </w:r>
      <w:r>
        <w:rPr>
          <w:rFonts w:ascii="arial" w:eastAsia="arial" w:hAnsi="arial" w:cs="arial"/>
          <w:color w:val="000000"/>
          <w:sz w:val="20"/>
          <w:lang w:val="en-US" w:eastAsia="en-US" w:bidi="ar-SA"/>
        </w:rPr>
        <w:t>.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Roberts says that this allegation is of no assistance to the Band because the Band must establish that when the guarantees were signed the Bank was under a positive duty at that time, absent any inquiry by the Band, to tell the Band about the assets of their co-guarantors. The cases establish that the Bank was not under any such duty unless unusual circumstances can be shown, and none have been shown. Where there is no duty estoppel cannot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have already indicated my agreement with counsel's submission. While a bank may gather in guarantees from all of the participants in a project, on the basis that by the time there is a default some of the security may have value, it is not obligated to look to all or any particular guarantor. The bank will always look to the guarantor who has assets at the time of default. And the fact that the Band was the "best bet" at the time that the guarantees were signed did not impose a positive duty on the Bank to tell the Band this or to discuss the credibility of the co-guarantors or their assets. There are simply no special or unusual circumstances in this case giving rise to such a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his summary Mr. Roberts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Gailus cannot establish a special relationship between the Band and the Bank. There is no evidence of a positive representation by the Bank. Silence at law is not a misrepresentation that will vacate a guarantee. This is not a complex case, and most of the facts are agreed to. There is no necessity for discoveries because the Bank made no representations to the Band, and the Band made no inquiries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With regard to what a special relationship is reference was made to Hayward v. Bank of Nova Scotia </w:t>
      </w:r>
      <w:hyperlink r:id="rId457" w:history="1">
        <w:r>
          <w:rPr>
            <w:rFonts w:ascii="arial" w:eastAsia="arial" w:hAnsi="arial" w:cs="arial"/>
            <w:i/>
            <w:color w:val="0077CC"/>
            <w:sz w:val="20"/>
            <w:u w:val="single"/>
            <w:shd w:val="clear" w:color="auto" w:fill="FFFFFF"/>
            <w:lang w:val="en-US" w:eastAsia="en-US" w:bidi="ar-SA"/>
          </w:rPr>
          <w:t>(1985), 51 O.R. (2d) 193</w:t>
        </w:r>
      </w:hyperlink>
      <w:r>
        <w:rPr>
          <w:rFonts w:ascii="arial" w:eastAsia="arial" w:hAnsi="arial" w:cs="arial"/>
          <w:color w:val="000000"/>
          <w:sz w:val="20"/>
          <w:lang w:val="en-US" w:eastAsia="en-US" w:bidi="ar-SA"/>
        </w:rPr>
        <w:t xml:space="preserve"> (C.A.) at pp. 194-5. That was the case of a cautious widow in her sixties who had transacted her banking business with the defendant bank for over 40 years. She was quite concerned about her financial security, and knowing nothing about "exotic cows", went to her bank manager to discuss the investment. Her bank manager, who had substantial knowledge of the business, recommended the investment despite evidence available at the bank's regional office that the exotic cattle business was risky. A loan application was granted and money was advanced and invested, and subsequently the business went under.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At p. 194 Houlden J.A. speaking for the court, refers to the decision of Lord Scarman, who gave the unanimous decision of the House of Lords in National Westminster Bank v. Morgan, [1985] 1 All E.R. 821 at pp. 830-1, discussing the relationship which has to be proved, one of dominating influence, and had this to say at p. 195: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follows that rarely will the ordinary loan transaction be set aside. </w:t>
      </w:r>
      <w:r>
        <w:rPr>
          <w:rFonts w:ascii="arial" w:eastAsia="arial" w:hAnsi="arial" w:cs="arial"/>
          <w:color w:val="000000"/>
          <w:sz w:val="20"/>
          <w:u w:val="single"/>
          <w:lang w:val="en-US" w:eastAsia="en-US" w:bidi="ar-SA"/>
        </w:rPr>
        <w:t>It must be a transaction to the manifest disadvantage</w:t>
      </w:r>
      <w:r>
        <w:rPr>
          <w:rFonts w:ascii="arial" w:eastAsia="arial" w:hAnsi="arial" w:cs="arial"/>
          <w:color w:val="000000"/>
          <w:sz w:val="20"/>
          <w:lang w:val="en-US" w:eastAsia="en-US" w:bidi="ar-SA"/>
        </w:rPr>
        <w:t xml:space="preserve"> to the customer and the banker </w:t>
      </w:r>
      <w:r>
        <w:rPr>
          <w:rFonts w:ascii="arial" w:eastAsia="arial" w:hAnsi="arial" w:cs="arial"/>
          <w:color w:val="000000"/>
          <w:sz w:val="20"/>
          <w:u w:val="single"/>
          <w:lang w:val="en-US" w:eastAsia="en-US" w:bidi="ar-SA"/>
        </w:rPr>
        <w:t>must have and exercise a dominating influence either directly or indirectly over the customer.</w:t>
      </w:r>
      <w:r>
        <w:rPr>
          <w:rFonts w:ascii="arial" w:eastAsia="arial" w:hAnsi="arial" w:cs="arial"/>
          <w:color w:val="000000"/>
          <w:sz w:val="20"/>
          <w:lang w:val="en-US" w:eastAsia="en-US" w:bidi="ar-SA"/>
        </w:rPr>
        <w:t xml:space="preserve">. In those circumstances the relationship will arise </w:t>
      </w:r>
      <w:r>
        <w:rPr>
          <w:rFonts w:ascii="arial" w:eastAsia="arial" w:hAnsi="arial" w:cs="arial"/>
          <w:color w:val="000000"/>
          <w:sz w:val="20"/>
          <w:u w:val="single"/>
          <w:lang w:val="en-US" w:eastAsia="en-US" w:bidi="ar-SA"/>
        </w:rPr>
        <w:t>imposing the duty upon the banker</w:t>
      </w:r>
      <w:r>
        <w:rPr>
          <w:rFonts w:ascii="arial" w:eastAsia="arial" w:hAnsi="arial" w:cs="arial"/>
          <w:color w:val="000000"/>
          <w:sz w:val="20"/>
          <w:lang w:val="en-US" w:eastAsia="en-US" w:bidi="ar-SA"/>
        </w:rPr>
        <w:t xml:space="preserve"> to ensure that the customer formed an independent judgment based upon full disclosure before entering into the transaction.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will be observed that in the case at bar no special relationship between the Bank and the Band is proven. There was no duty on the Bank to warn the Band that the Company's business might be risky or that its co-guarantors, at least at that time, likely would not be able to contribute to any loss in the event of default, if that was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turn now to the submissions of Mr. Gailus for the Band. He commenced by saying that this is "not an issue of guarantee" but one of "an issue of equity."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Mr. Gailus emphasized the following information contained in Mr. Watts' affidavit and in Mr. Rezansoff's affidavit: the Band entered into an agreement through its corporate entity, Tsisha, with the other defendants in this action, to carry out the business of a seafood processing facility. The business of the Company failed due to, inter alia, the actions of the other defendants in the action, and the Band sued them for fraud, breach of fiduciary duty,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so on. The Band did not take part in the management of the Company. The other individually named defendants actively misled the Band as to the financial status of the Company as well as their own personal financial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Band has banked exclusively with the plaintiff Bank for at least the last 10 years. All of the Band's accounts and investments are with the plaintiff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Band was informed in January 2003 by the branch manager of the plaintiff Bank that the Bank was aware prior to entering into the guarantee that the guarantees of the other parties, Nikiforuk, Kendall, Clayoquot, and Skidegate "were of no value and that it was solely relying upon the Band to cover the entire obligation of the guarantee in the event that the Company defaulted." The Band did not seek independent legal advice. Moreover the resolutions passed by the Band were prepared "by the plaintiff's solicitor, before whom the guarantee was executed." Had the Band been aware that the plaintiff was solely relying on the Band to cover the loan, the Band would not have executed the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After referring to basic 18A law as set out in Inspiration Management et al v. McDermid St. Lawrence </w:t>
      </w:r>
      <w:hyperlink r:id="rId458"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in his written submission, Mr. Galius says, referring to the Band as TFN,</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TFN submits that it would be unjust to decide the issues under Rule 18A as there is </w:t>
      </w:r>
      <w:r>
        <w:rPr>
          <w:rFonts w:ascii="arial" w:eastAsia="arial" w:hAnsi="arial" w:cs="arial"/>
          <w:color w:val="000000"/>
          <w:sz w:val="20"/>
          <w:u w:val="single"/>
          <w:lang w:val="en-US" w:eastAsia="en-US" w:bidi="ar-SA"/>
        </w:rPr>
        <w:t>conflicting evidence</w:t>
      </w:r>
      <w:r>
        <w:rPr>
          <w:rFonts w:ascii="arial" w:eastAsia="arial" w:hAnsi="arial" w:cs="arial"/>
          <w:color w:val="000000"/>
          <w:sz w:val="20"/>
          <w:lang w:val="en-US" w:eastAsia="en-US" w:bidi="ar-SA"/>
        </w:rPr>
        <w:t xml:space="preserve">. Moreover, </w:t>
      </w:r>
      <w:r>
        <w:rPr>
          <w:rFonts w:ascii="arial" w:eastAsia="arial" w:hAnsi="arial" w:cs="arial"/>
          <w:color w:val="000000"/>
          <w:sz w:val="20"/>
          <w:u w:val="single"/>
          <w:lang w:val="en-US" w:eastAsia="en-US" w:bidi="ar-SA"/>
        </w:rPr>
        <w:t>the plaintiff has provided no evidence regarding the discussions, if any,</w:t>
      </w:r>
      <w:r>
        <w:rPr>
          <w:rFonts w:ascii="arial" w:eastAsia="arial" w:hAnsi="arial" w:cs="arial"/>
          <w:color w:val="000000"/>
          <w:sz w:val="20"/>
          <w:lang w:val="en-US" w:eastAsia="en-US" w:bidi="ar-SA"/>
        </w:rPr>
        <w:t xml:space="preserve"> that took place to the execution of the guarantee. The plaintiff takes the position that the documents speak for themselves. </w:t>
      </w:r>
      <w:r>
        <w:rPr>
          <w:rFonts w:ascii="arial" w:eastAsia="arial" w:hAnsi="arial" w:cs="arial"/>
          <w:color w:val="000000"/>
          <w:sz w:val="20"/>
          <w:u w:val="single"/>
          <w:lang w:val="en-US" w:eastAsia="en-US" w:bidi="ar-SA"/>
        </w:rPr>
        <w:t>Credibility is key issue in this action.</w:t>
      </w:r>
      <w:r>
        <w:rPr>
          <w:rFonts w:ascii="arial" w:eastAsia="arial" w:hAnsi="arial" w:cs="arial"/>
          <w:color w:val="000000"/>
          <w:sz w:val="20"/>
          <w:lang w:val="en-US" w:eastAsia="en-US" w:bidi="ar-SA"/>
        </w:rPr>
        <w:t>. There must be discovery and cross-examination of plaintiff officials to determine exactly what knowledge the plaintiff had at the time that it entered into the guarantees. The affidavit provided by the plaintiff is from someone who apparently has no knowledge of the events that transpired prior to the guarantee be executed.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TFN claims that the plaintiff was aware of material facts</w:t>
      </w:r>
      <w:r>
        <w:rPr>
          <w:rFonts w:ascii="arial" w:eastAsia="arial" w:hAnsi="arial" w:cs="arial"/>
          <w:color w:val="000000"/>
          <w:sz w:val="20"/>
          <w:lang w:val="en-US" w:eastAsia="en-US" w:bidi="ar-SA"/>
        </w:rPr>
        <w:t xml:space="preserve"> that ought to have been disclosed to TFN. Had the TFN been aware of such facts, they would not have entered into the guarantee. Moreover, those individuals who were involved with the TFN are no longer in those positions. </w:t>
      </w:r>
      <w:r>
        <w:rPr>
          <w:rFonts w:ascii="arial" w:eastAsia="arial" w:hAnsi="arial" w:cs="arial"/>
          <w:color w:val="000000"/>
          <w:sz w:val="20"/>
          <w:u w:val="single"/>
          <w:lang w:val="en-US" w:eastAsia="en-US" w:bidi="ar-SA"/>
        </w:rPr>
        <w:t>The TFN requires times to interview those individuals with regard to their knowledge of the background of the transaction</w:t>
      </w:r>
      <w:r>
        <w:rPr>
          <w:rFonts w:ascii="arial" w:eastAsia="arial" w:hAnsi="arial" w:cs="arial"/>
          <w:color w:val="000000"/>
          <w:sz w:val="20"/>
          <w:lang w:val="en-US" w:eastAsia="en-US" w:bidi="ar-SA"/>
        </w:rPr>
        <w:t>.</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all the circumstances, </w:t>
      </w:r>
      <w:r>
        <w:rPr>
          <w:rFonts w:ascii="arial" w:eastAsia="arial" w:hAnsi="arial" w:cs="arial"/>
          <w:color w:val="000000"/>
          <w:sz w:val="20"/>
          <w:u w:val="single"/>
          <w:lang w:val="en-US" w:eastAsia="en-US" w:bidi="ar-SA"/>
        </w:rPr>
        <w:t>the evidence provided by the plaintiff is inadequate</w:t>
      </w:r>
      <w:r>
        <w:rPr>
          <w:rFonts w:ascii="arial" w:eastAsia="arial" w:hAnsi="arial" w:cs="arial"/>
          <w:color w:val="000000"/>
          <w:sz w:val="20"/>
          <w:lang w:val="en-US" w:eastAsia="en-US" w:bidi="ar-SA"/>
        </w:rPr>
        <w:t xml:space="preserve"> and to proceed would result in an injustice. The action is at a preliminary stage, there have been no discoveries or any other steps taken. Clearly, given the plaintiff's financial position there is no urgency to the matter either. The TFN submits that the plaintiff's application be dismissed and the issue should be remitted to trial.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observe at this point that in my view there is an onus on the parties to bring before the court their best evidence pertaining to their case. An 18A trial is still a matter of evidence, not conjecture, suspicion or mere assertion. In this regard it is noted that in the passages quoted counsel refers to the usual "flags" which often are contrary to the appropriateness of the 18A proceedings, i.e., "conflicting evidence" and "credibility is a key issue." Yet there is no evidence before me of either situation. And I assume, safely I believe, that the Band has put forward its evidence pertaining to the somewhat narrow issues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Band, having exhausted its claims against its fellow co-venturers and guarantors, now seeks to avoid payment to the Bank. What the Band really wants to do at this late date is to conduct examinations for discovery with the hope that some evidence might turn up which will assist the Band in its defence of the Bank's claims. In my view, such a fishing expedition is no reason to prevent an 18A trial. In this regard, in his oral submissions, Mr. Galius said that it was possible that credibility was an issue "depending on what I find out at discovery." He said he wants to find out what information the Bank had in its possession at the time that the guarantees were signed; also that the issue then would be whether the information was material and whether there was a duty on the Bank to disclose that information to the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Yet the Band leads no evidence of any discussions or conversations between the Bank and their many participating members, where inquiries were made of the Bank with regard to the Company or any of the guarantors, or where the Bank gave the Band advice about their business or their proposed co-guarantors, on which a claim of inducement might be founded. The Band relies only on silent misrepresentation of the guarantees where on the evidence there was no duty to advise or disclose. The complaints in the passages quoted that "The plaintiff has provided no evidence regarding the discussions, if any," and "The evidence provided by the plaintiff is inadequate" are somewhat telling. The Band has no evidence to support its defences. It seeks to obtain such evidence from the plaintiff. But discoveries in those areas will not change anything as regards the defences raised, since there was no duty on the Bank to hand over to the Band what information it had gathered with regard to the credit of the Band's co-guarantors, information which was available to the Band I am sure on the asking, and no duty to advise the Band to seek independent legal advice. The Band is forced to this position because to its participants' knowledge there is no evidence that the Band ever made any inquiries of the Bank or that the Bank gave the Band any advice or that the Band relied on anything that the Bank said or did not say or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return to counsel's submissions. He pointed out that the Band has banked exclusively with the Bank for at least 10 years, and that all of its accounts and investments are with the Bank. He then referred to the Rezansoff evidence, extending its interpretation to mean that the guarantees of the other co-guarantors were of no value, and that the Bank was "relying solely upon TFN to cover the entire obligation of the guarantee in the event that the company defaulted."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He also referred to Mr. Rezansoff's evidence that a Mr. Hirano, the Band's previous CEO "who was involved in this transaction, moved to Hawaii and we have been unable to discuss his recollection of the events leading up to the bank guarantee", saying that "it is unclear exactly what transpired between the band and the bank during this time." I observe that none of the documents relating to the subject transactions refer to Mr. Hirano, and one might reasonably expect that the persons named in the documents would be the persons representing the Band and who most likely would have knowledge as to what went on. And I believe on the evidence the problem for the Band is that in fact it is clear what transpired between the Band and the Bank at the material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Counsel's submission on the special relationship issue is best set out in para. 28 of his written submissions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TFN is a long-time customer of the plaintiff. The TFN carries out almost all its financial transactions and investments through the plaintiff. Over several years, the TFN had built up trust and confidence in the plaintiff. The plaintiff was aware of this trust and confidence, which placed a positive obligation on the plaintiff to inform the TFN of its view that in the event that the business was unsuccessful, it was solely relying upon the TFN to pay the entire amount of the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Counsel suggested that without more where a guarantor is a long-term, exclusive customer, a positive duty is imposed on the Bank to make the customer aware of any information or concerns it might have with the transaction, citing Hayward, supra. I am unable to agree with these propositions generally or as regards their application in the case at bar. A bank could not carry on business if it had to advise its long-time customer on every deal it proposed to enter into, and especially to advise the customer about its proposed partners or guarantors. Surely that is the customer's responsibility, not the bank's, and this is particularly so when no inquiries are made or advice of the bank sought. In Hayward, the long-time customer specifically sought advice from the bank manager about the investment and the bank manager recommended the investment knowing that it was quite risky. At the time that the Band was entering into the joint venture and arranging for the guarantors to attend to sign the guarantee, surely the Band knew far more about the business it was proposing to enter and about its participating friends and partners than the Bank did or reasonably could have been expected to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Finally counsel reiterated what I believe to be his main point, that the Bank was aware of material facts that ought to have been disclosed to the Band. When asked what those facts were counsel referred to the "other conditions" of the terms and conditions detailed in the attachment to the credit offering letter, particularly Item 10 which I referred to earlier. Counsel said that the Band was entitled to have that information shared with them before they entered into the guarantees. I point out that the Band knew what information the Bank was seeking about their co-venturers under Item 10. If the Band was interested in that information it simply had to ask the Bank to provide it. I observe also that it is the worth or value of the guarantor if and when default occurs, and that is why the Bank gathers in as many guarantees as they can. The value at the time of the transaction may not be as important but having assets at the time no doubt would be of comfort to the Bank. And in this regard it could not come as a surprise to the Band that the Bank looked on the established entity of the Band as its primary, if not only real guarantor, when compared to the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his reply Mr. Roberts said that while his friend said that he relied on "proven facts" there is little before the court other than the statement of claim. For example, the Band alleges that it was actively misled by Nikiforuk and Kendall who are described as "non-native businessmen." However, there is no evidence before the court other than the allegation and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While the Band now appears to reply on an alleged fiduciary relationship between it and the Bank, it is not pleaded. What is pleaded is a special relationship and the only evidence of that relationship is the fact that the Bank held all of the Band's accounts for the last 10 years, has provided investment advice at times, no doubt when sought, and has arranged for the investment of trust funds and treaty monies received from the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Mr. Roberts says those facts fall woefully short of establishing a special relationship. For example, there is no pattern of recurring investment advice being given, reliance of any kind or of the Band seeking advice from the Bank. And the Band did not seek any advice from the Bank pertaining to the subject transactions. The case is similar to C.I.B.C. v. Trapp </w:t>
      </w:r>
      <w:hyperlink r:id="rId450" w:history="1">
        <w:r>
          <w:rPr>
            <w:rFonts w:ascii="arial" w:eastAsia="arial" w:hAnsi="arial" w:cs="arial"/>
            <w:i/>
            <w:color w:val="0077CC"/>
            <w:sz w:val="20"/>
            <w:u w:val="single"/>
            <w:shd w:val="clear" w:color="auto" w:fill="FFFFFF"/>
            <w:lang w:val="en-US" w:eastAsia="en-US" w:bidi="ar-SA"/>
          </w:rPr>
          <w:t>(1987), 12 B.C.L.R. (2d) 35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Counsel noted that all of the guarantors would have known from Item 10 of the June 6, 2002 letter which they signed, exactly what information the Bank was seeking. None of them asked that whatever information the Bank received be given to them. Counsel submitted that it was absurd to say that the Bank must automatically give this information to all of the guarantors.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Roberts said that it was simply not accurate to say that credibility was a "possible" issue in this case. The Band must put forth some evidence of a conflict in the evidence or of a credibility issue. There is none before the court. The Band relies only on misrepresentation by silence.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Finally, it was submitted that the cases show that a duty to disclose arises only on two occasions. First, where the circumstances are so unusual that they require disclosure; and second, when the Bank is asked about matters, which is not this case. Unusual circumstances arise when the Bank is in a conflict of interest of some kind or the guarantor has nothing to do with the business and has no knowledge about it, for example, a wife. Here there is a straightforward transaction involving numerous members of an organized band who entered into a joint venture and who were 51% owners of the debtor, the Company, and who, based on the pleadings in its action against the other guarantors, obviously had some kind of a ongoing business relationship with the other parties involved. On those facts the court cannot find the unusual circumstances necessary to impose a duty to disclose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BRIEF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While most of Mr. Galius' submissions focused on the issue of whether or not an 18A trial was appropriate, it did confirm in my view that the Band simply does not have a defence to the Bank's claim on the Band's guarantee. I am satisfied on the evidence, including the Band's evidence, that no inquiries were made of the Bank and that the Bank did not give the Band any advice on the Company, the transaction or its fellow guarantors; nor was the Bank obligated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If the worth or the value of the Band's fellow guarantors was of interest to the Band then the Band should have investigated its co-guarantors or at the least asked the Bank for whatever information it had about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There was no duty on the Bank to disclose to the Band what information the Bank had received about the worth or value of the co-defendants, Kendall and Nikiforuk and their companies or the Bank's views of it. That information was available to the Band by simply asking for it. There was no silent misrepresentation made by the Bank with regard to the worth or the value of the co-defendants and their guarantees. And the fact that the Bank was of the view at the time that the guarantees were entered into, that the co-guarantors "had no value if the Bank demanded payment", assuming that was the case, makes no difference. The Band bound itself jointly and severally to pay the Company's indebtedness to the Bank unconditionally and without any representations by the Bank. The Bank as a matter of contract and law could go after all or any one or more of the guarantors in its discretion. There was no obligation on the Bank to tell the Band at the time the guarantees were signed that it was likely that the other defendants would not be able to pay "their proportionate share of the guarantees" at least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Further, there was no special relationship between the Bank and the Band which required the Bank to advise the Band of their views of the worth or value of the co-guarantors, or that the Band should obtain independent legal advice. And it follows that no estoppel could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With regard to the 18A issue I refer to the decision of Goldie J.A. speaking for the Court of Appeal in Hamilton v. Sutherland </w:t>
      </w:r>
      <w:hyperlink r:id="rId459" w:history="1">
        <w:r>
          <w:rPr>
            <w:rFonts w:ascii="arial" w:eastAsia="arial" w:hAnsi="arial" w:cs="arial"/>
            <w:i/>
            <w:color w:val="0077CC"/>
            <w:sz w:val="20"/>
            <w:u w:val="single"/>
            <w:shd w:val="clear" w:color="auto" w:fill="FFFFFF"/>
            <w:lang w:val="en-US" w:eastAsia="en-US" w:bidi="ar-SA"/>
          </w:rPr>
          <w:t>(1992), 68 B.C.L.R. (2d) 115</w:t>
        </w:r>
      </w:hyperlink>
      <w:r>
        <w:rPr>
          <w:rFonts w:ascii="arial" w:eastAsia="arial" w:hAnsi="arial" w:cs="arial"/>
          <w:color w:val="000000"/>
          <w:sz w:val="20"/>
          <w:lang w:val="en-US" w:eastAsia="en-US" w:bidi="ar-SA"/>
        </w:rPr>
        <w:t>. There at p. 119 Mr. Justice Goldie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summary trial procedure provided for in Rule 18A does not alter the burden of proof nor does it alter the role of the trier of fact and law. Broadly speaking, it confers upon the judges of the trial court a discretionary jurisdiction to conduct a summary trial, in whole or as to any issue, unless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is inadequate; or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proceed summarily would result in an injustice.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my opinion, in the case at bar, the evidence is more than adequate and to proceed summarily does not result in an injustice.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Hamilton, supra, as in the case at bar, the defendant's real objection was that she wanted to conduct examinations for discovery and see what "might turn up." The court concluded that it was not unjust that the appellant's claim of undue influence was dismissed on a summary trial even though she had been denied an opportunity to conduct discoveries. In that case there was no evidence to support her claim of undue influence other than her own suspicions, assertions and opinions. It was held that the suggestion that something might come up on discoveries was insufficient to defeat the application, and the case is cited for this proposition at p. SC-112 of the British Columbia Annual Practice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my view, Hamilton, supra, is on all fours with the case at bar. Counsel wishes to examine a representative of the Bank for discovery with the hope that some evidence might turn up in support of some form of innocent misrepresentation on the part of the Bank, or of a special relationship with the Bank, giving rise to advisory duties on the part of the Bank; in the face of the clear evidence that no advice or information was sought by the Band, no advice or information was given by the Bank, and of a contract provision which provides that the Band's guarantee was delivered without condition or any representations made by the Bank. I am unable to envisage evidence given at discovery which would enable the Band to succeed on any of the perhaps fanciful and speculative defences asserted by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This is not a case like Bank of British Columbia v. Anglo-American Cedar Products Ltd. </w:t>
      </w:r>
      <w:hyperlink r:id="rId460" w:history="1">
        <w:r>
          <w:rPr>
            <w:rFonts w:ascii="arial" w:eastAsia="arial" w:hAnsi="arial" w:cs="arial"/>
            <w:i/>
            <w:color w:val="0077CC"/>
            <w:sz w:val="20"/>
            <w:u w:val="single"/>
            <w:shd w:val="clear" w:color="auto" w:fill="FFFFFF"/>
            <w:lang w:val="en-US" w:eastAsia="en-US" w:bidi="ar-SA"/>
          </w:rPr>
          <w:t>(1984), 57 B.C.L.R. 350</w:t>
        </w:r>
      </w:hyperlink>
      <w:r>
        <w:rPr>
          <w:rFonts w:ascii="arial" w:eastAsia="arial" w:hAnsi="arial" w:cs="arial"/>
          <w:color w:val="000000"/>
          <w:sz w:val="20"/>
          <w:lang w:val="en-US" w:eastAsia="en-US" w:bidi="ar-SA"/>
        </w:rPr>
        <w:t xml:space="preserve"> (S.C.), a decision of MacDonald J. of this court, which was also an action on a guarantee. There, the defence alleged that the plaintiff was in breach of express or implied collateral terms and fraudulent or negligent misrepresentations. The learned judge thought that, unlike in the case at bar, the defendant's case would in large part be made, if it could be made at all, out of the plaintiff's own documents and the explanations of the plaintiff's witnesses in connection with the documents. He concluded at para.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there is a </w:t>
      </w:r>
      <w:r>
        <w:rPr>
          <w:rFonts w:ascii="arial" w:eastAsia="arial" w:hAnsi="arial" w:cs="arial"/>
          <w:color w:val="000000"/>
          <w:sz w:val="20"/>
          <w:u w:val="single"/>
          <w:lang w:val="en-US" w:eastAsia="en-US" w:bidi="ar-SA"/>
        </w:rPr>
        <w:t>real possibility</w:t>
      </w:r>
      <w:r>
        <w:rPr>
          <w:rFonts w:ascii="arial" w:eastAsia="arial" w:hAnsi="arial" w:cs="arial"/>
          <w:color w:val="000000"/>
          <w:sz w:val="20"/>
          <w:lang w:val="en-US" w:eastAsia="en-US" w:bidi="ar-SA"/>
        </w:rPr>
        <w:t xml:space="preserve"> that the defendant can bolster its defence by discovery of documents and examinations for discovery, </w:t>
      </w:r>
      <w:r>
        <w:rPr>
          <w:rFonts w:ascii="arial" w:eastAsia="arial" w:hAnsi="arial" w:cs="arial"/>
          <w:color w:val="000000"/>
          <w:sz w:val="20"/>
          <w:u w:val="single"/>
          <w:lang w:val="en-US" w:eastAsia="en-US" w:bidi="ar-SA"/>
        </w:rPr>
        <w:t>and where there is a triable issue disclosed on the material</w:t>
      </w:r>
      <w:r>
        <w:rPr>
          <w:rFonts w:ascii="arial" w:eastAsia="arial" w:hAnsi="arial" w:cs="arial"/>
          <w:color w:val="000000"/>
          <w:sz w:val="20"/>
          <w:lang w:val="en-US" w:eastAsia="en-US" w:bidi="ar-SA"/>
        </w:rPr>
        <w:t xml:space="preserve"> now before the Court, it would be unjust to decide the issues on this application.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pleadings and the evidence in the case at bar clearly distinguish the Anglo-American Cedar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conclusion the defendant Band has not persuaded me that it would be unjust to proceed in a summary trial. While the plaintiff has satisfied me that it is entitled to judgment on the guarantee in the amount claimed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3"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B.C. Marine Industry Standard Welfare Plan (Trustees of) v. Dizdarevich, [2004] B.C.J. No. 1049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Ralph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23,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25,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S031383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1049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696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29 B.C.L.R. (4th) 333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131 A.C.W.S. (3d) 150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Terry Engler, James Meredith, Brian E. Sims, Brian Siemens and Ted White, Trustees of the B.C. Marine Industry Standard Welfare Plan (also known as the B.C. Marine Industry Employee Health Benefit Plan), plaintiffs, and Ron Dizdarevich,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4"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1" w:name="Keywords_26"/>
      <w:bookmarkEnd w:id="181"/>
      <w:r>
        <w:rPr>
          <w:rFonts w:ascii="arial" w:eastAsia="arial" w:hAnsi="arial" w:cs="arial"/>
          <w:b/>
          <w:color w:val="000000"/>
          <w:sz w:val="20"/>
          <w:lang w:val="en-US" w:eastAsia="en-US" w:bidi="ar-SA"/>
        </w:rPr>
        <w:t xml:space="preserve">Contracts — Formations — Parties — Damages — General damages — For personal injuries — Insurance law — Subrogation — Labour law — Employees — Benefits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Wills, Estates &amp; Trusts Law — Trusts — Administration.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2" w:name="Case Summary_26"/>
            <w:bookmarkEnd w:id="18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BC Marine Industry Standard Welfare Plan Trustees for an order requiring the defendant Dizdarevich to repay $29,016. The money was loaned to Dizdarevich after he was disabled following two car accidents in 1998. He signed a loan agreement providing that the Plan would lend him $558 per week for a maximum of 52 weeks, which loan would be repaid by any monies Dizdarevich received as a result of his disability. Dizdarevich was subsequently successful in two tort actions in respect of the accidents. Combined, he was awarded $135,712, of which approximately $31,000 was applied towards his legal fees. The Trustees sought repayment from these awards. Dizdarevich claimed that the claim should be either dismissed or reduced. He claimed that the loan agreement was void, and that three sources, the trust agreement, the collective agreement and the health plan, created a contract of insurance creating a right of subrogation in the insurer. This right, Dizdarevich argued, was limited to 72.5 percent of the amount sought because 27.5 per cent of the judgment was applied towards legal fees.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3" w:name="Holdings of Court_24"/>
            <w:bookmarkEnd w:id="183"/>
            <w:r>
              <w:rPr>
                <w:rFonts w:ascii="arial" w:eastAsia="arial" w:hAnsi="arial" w:cs="arial"/>
                <w:color w:val="000000"/>
                <w:sz w:val="20"/>
                <w:lang w:val="en-US" w:eastAsia="en-US" w:bidi="ar-SA"/>
              </w:rPr>
              <w:t>HELD: Application granted.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trustees were entitled to judgment for the amount advanced. The plan administered by the trust was not a type of insurance, and the common law right of subrogation did not apply. The three sources referred to by Dizdarevich did not constitute a contract. The trustees were not party to the collective agreement, and Dizdarevich was not a party to the Trust Agreement. There was no contractual relationship between the trustees and Disdarevich other than the Loan Agreement. The loan agreement was not void for want of consideration. The loan made to Dizdarevich was not a payment to which Dizdarevich was entitled under the Plan, and the requisite consideration to secure the loan repayment agreement was the payment of the loan. The Trustees were not unjustly enriched by reason of failing to reduce the amount sought to take Dizdarevich's legal fees into account, because the terms of the loan agreement provided a juristic reason to permit recovery of the full amount of the loan.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4" w:name="Counsel_27"/>
      <w:bookmarkEnd w:id="18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5"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A.M. 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K.H. Wirsig and B. Trainor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5" w:name="Judgment_27"/>
      <w:bookmarkEnd w:id="185"/>
      <w:r>
        <w:pict>
          <v:line id="_x0000_s1156" style="position:absolute;z-index:25178931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6" w:name="RALPH J."/>
            <w:bookmarkEnd w:id="186"/>
            <w:r>
              <w:rPr>
                <w:rFonts w:ascii="arial" w:eastAsia="arial" w:hAnsi="arial" w:cs="arial"/>
                <w:b/>
                <w:color w:val="000000"/>
                <w:sz w:val="30"/>
                <w:lang w:val="en-US" w:eastAsia="en-US" w:bidi="ar-SA"/>
              </w:rPr>
              <w:t>RALPH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Dizdarevich is an employee of a company that participates in the B.C. Marine Industry Employee Health Benefit Plan ("the Plan"). This action raises the issue of what obligation he has to repay the Plan from damages he recovered in an action arising out of two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are trustees of the Plan, which is operated by means of a trust to provide a number of benefits including dental, extended health and disability benefits to employees of participating employers. The Plan is constituted by a June 1, 1976, "Trust Agreement." Its creation and maintenance result from agreements reached and collective agreements between bargaining entities representing employers in the marine industry and the union representing employees working in the industry. Employers and employees contribute to a trust fund that provides the financial support for the operation of the Plan. The employers' group and the union each appoint three trustees of the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Trust Agreement includes the following provisions: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4.01 The Trustees shall receive, hold and deal with any and all monies received by them or coming under their control by reason of this Trust Agreement and the Plan upon trust for the sole purpose of operating the Plan and making payments pursuant to its provisions.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5.01 The Trustees shall formulate, create and establish and thereafter maintain a Welfare Plan to be known as "the B.C. Marine Industry Standard Welfare Plan" to administer the Fund to provide medical, death disability, dental sickness, accident and/or health benefits for Members in accordance with the terms of the collective agreements from time to time in force between the Employers and the Unions and may therefor prescribe qualifications for eligibility whether concerning the minimum contribution or period of employment necessary to qualify, degrees of dependency, and any other factors, and prescribe such conditions for the termination of coverage as they deem necessary, provided that all such qualifications and conditions shall be applied uniformly to all persons otherwise qualified for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Dizdarevich was injured in two motor vehicle accidents, one in February 1998 and one in October 1998. The accidents disabled him from income-earning employment. Following the first accident Mr. Dizdarevich applied for financial assistance under the Plan. On April 23, 1998, Mr. Dizdarevich and representatives of the Plan signed a document entitled "Loan and Replacement Agreement"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Agreement provided that the Plan would advance to Mr. Dizdarevich $558.00 per week to a maximum of 52 weeks. Mr. Dizdarevich agreed that the total advance was a loan. He further agreed: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repay the Plan's Loan from any monies received by the Employee paid as a result of the Disability, which monies are inclusive but not limited to contributions from Workers' Compensation Board, any no fault insurance, the Employer or its agents, employees and assigns, or any other party corporate or personal who may be responsible for the Disability;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subrogate and assign to the Plan any cause of action the Employee may have to claim damages inclusive of Wage Loss arising from the Disability should the Employee either not commence legal proceedings, or commence legal proceedings, but fail to prosecute the legal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Plan advanced $29,016 to Mr. Dizdarevich under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parties agree that if a worker claiming under the Plan had no right of recovery as against a third party, benefits would be paid to an eligible worker without the worker having to sign the Loan and Replacement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Dizdarevich retained counsel on the basis of a 27.5% contingency fee and commenced tort actions for damages resulting from both motor vehicle accidents. The two actions were heard at trial together and judgment was returned in favour of Mr. Dizdarevich. Judgment on the February accident was in the amount of $76,563, not including costs. Judgment on the October accident was $59,149, not including costs. Both judgments included awards for non-pecuniary damages, past income loss and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legal fees and taxes paid to the lawyer in the two actions were $42,995. The assessable costs recovered, exclusive of disbursements, were $11,862. Essentially all of the disbursements were also recovered. In effect, net of the costs recovered by Mr. Dizdarevich, approximately $31,000 of his award was applied to payment of his legal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say that it is clear that the defendant has received substantial monies as a result of the tort action brought for damages arising out of the February 14, 1998, motor vehicle accident and that the monies were "paid as a result of the Disability" as described in the Agreement. They also say that there is no provision for deducting the legal expense incurred from the amount to be repaid to the Plan. As a result, the plaintiffs say that they should have judgment for the amount advanced plus court order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Dizdarevich has presented a number of grounds for dismissing the plaintiffs' claim or reducing the amount to be repaid. Central to a number of his submissions is a characterization of the relationship between the plaintiffs and the defendant as a "contract between the parties." The "contract" said to exist is not the Loan and Replacement Agreement but rather one whose terms are to be found in "Three Sources":</w:t>
      </w:r>
      <w:r>
        <w:rPr>
          <w:rFonts w:ascii="arial" w:eastAsia="arial" w:hAnsi="arial" w:cs="arial"/>
          <w:sz w:val="20"/>
          <w:lang w:val="en-US" w:eastAsia="en-US" w:bidi="ar-SA"/>
        </w:rPr>
        <w:cr/>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Trust Agreement,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Collective Agreement, and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1993 Health Plan Booklet which the defendant says summarizes all of the terms, conditions and benefits of the Health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Dizdarevich submits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an offer made by the plaintiffs to extend health benefits to the Defendant if he complied with the terms of the Health Plan; there was acceptance by the Defendant of the Plaintiff's offer; and consideration passed from the Defendant in the form of his provision of labor and his direct cash contributions made pursuant to any payroll deductions made under paragraph 7.01 of the Trust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Dizdarevich says that the "contractual effect" of the Three Sources is to create a contract of insurance that is, at common law, a contract of indemnity. A contract of indemnity at common law creates a right of subrogation in the insurer but that right is limited where the insured is not fully indemnified for the loss sustained. Mr. Dizdarevich says that, because 27.5% of his judgment was utilized to pay legal fees, he was indemnified for only 72.5% of his claim and the Trustees are therefore not entitled to exercise what Mr. Dizdarevich asserts is a common law right of subrogation.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addition to his submission that the Three Sources constitute a contract between the parties, Mr. Dizdarevich submits that the Loan and Replacement Agreement is void on certain grounds. Alternatively he says that the claim should be reduced to recognize that the defendant would otherwise unfairly bear all of the legal costs in assisting the plaintiffs to recover the whole of the funds they paid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Mr. Dizdarevich submits further that the loan to him constitutes an investment which is outside the "legal list" set out in the Trustee Act, </w:t>
      </w:r>
      <w:r>
        <w:rPr>
          <w:rFonts w:ascii="arial" w:eastAsia="arial" w:hAnsi="arial" w:cs="arial"/>
          <w:i/>
          <w:color w:val="000000"/>
          <w:sz w:val="20"/>
          <w:lang w:val="en-US" w:eastAsia="en-US" w:bidi="ar-SA"/>
        </w:rPr>
        <w:t>R.S.B.C. 1996, c. 464</w:t>
      </w:r>
      <w:r>
        <w:rPr>
          <w:rFonts w:ascii="arial" w:eastAsia="arial" w:hAnsi="arial" w:cs="arial"/>
          <w:color w:val="000000"/>
          <w:sz w:val="20"/>
          <w:lang w:val="en-US" w:eastAsia="en-US" w:bidi="ar-SA"/>
        </w:rPr>
        <w:t>. With respect, however, I do not see how such a finding, even if it is correct, would defeat the plaintiff's entitlement to recover the funds it "invested" in Mr. Dizdarevich.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say that the only contract between the parties is the Loan and Replacement Agreement. They say that there can be no finding that there was any contract made up of the "Three Sources" to which the defendant is a party and such a finding would be contrary to authorities cited by the plaintiff. As to the Loan and Replacement Agreement, the plaintiffs say it is a valid and binding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IWA - Forest Industry Long Term Disability Plan (Trustees of) v. Audia, </w:t>
      </w:r>
      <w:hyperlink r:id="rId468" w:history="1">
        <w:r>
          <w:rPr>
            <w:rFonts w:ascii="arial" w:eastAsia="arial" w:hAnsi="arial" w:cs="arial"/>
            <w:i/>
            <w:color w:val="0077CC"/>
            <w:sz w:val="20"/>
            <w:u w:val="single"/>
            <w:shd w:val="clear" w:color="auto" w:fill="FFFFFF"/>
            <w:lang w:val="en-US" w:eastAsia="en-US" w:bidi="ar-SA"/>
          </w:rPr>
          <w:t>[1994] B.C.J. No. 441</w:t>
        </w:r>
      </w:hyperlink>
      <w:r>
        <w:rPr>
          <w:rFonts w:ascii="arial" w:eastAsia="arial" w:hAnsi="arial" w:cs="arial"/>
          <w:color w:val="000000"/>
          <w:sz w:val="20"/>
          <w:lang w:val="en-US" w:eastAsia="en-US" w:bidi="ar-SA"/>
        </w:rPr>
        <w:t xml:space="preserve"> (S.C.) aff'd </w:t>
      </w:r>
      <w:hyperlink r:id="rId469" w:history="1">
        <w:r>
          <w:rPr>
            <w:rFonts w:ascii="arial" w:eastAsia="arial" w:hAnsi="arial" w:cs="arial"/>
            <w:i/>
            <w:color w:val="0077CC"/>
            <w:sz w:val="20"/>
            <w:u w:val="single"/>
            <w:shd w:val="clear" w:color="auto" w:fill="FFFFFF"/>
            <w:lang w:val="en-US" w:eastAsia="en-US" w:bidi="ar-SA"/>
          </w:rPr>
          <w:t>(1995), 5 B.C.L.R. (3d) 341</w:t>
        </w:r>
      </w:hyperlink>
      <w:r>
        <w:rPr>
          <w:rFonts w:ascii="arial" w:eastAsia="arial" w:hAnsi="arial" w:cs="arial"/>
          <w:color w:val="000000"/>
          <w:sz w:val="20"/>
          <w:lang w:val="en-US" w:eastAsia="en-US" w:bidi="ar-SA"/>
        </w:rPr>
        <w:t xml:space="preserve"> (C.A.), the defendant employee was injured in a motor vehicle accident. He was paid benefits from the Long Term Disability Plan and signed a reimbursement agreement in relation to the payments. He was awarded damages in a tort claim but was found 40% at fault thereby recovering less than the full amount of his damages. The plan sought repayment of the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court found that the disability plan was a trust agreement and not an insurance policy. It also found that, although being 40% at fault and also paying legal fees significantly reduced the defendant's recovery, the provision in the reimbursement agreement to repay the plan was not inoperative.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British Columbia Life &amp; Casualty Co. v. Meek, </w:t>
      </w:r>
      <w:hyperlink r:id="rId470" w:history="1">
        <w:r>
          <w:rPr>
            <w:rFonts w:ascii="arial" w:eastAsia="arial" w:hAnsi="arial" w:cs="arial"/>
            <w:i/>
            <w:color w:val="0077CC"/>
            <w:sz w:val="20"/>
            <w:u w:val="single"/>
            <w:shd w:val="clear" w:color="auto" w:fill="FFFFFF"/>
            <w:lang w:val="en-US" w:eastAsia="en-US" w:bidi="ar-SA"/>
          </w:rPr>
          <w:t>[1999] B.C.J. No. 980</w:t>
        </w:r>
      </w:hyperlink>
      <w:r>
        <w:rPr>
          <w:rFonts w:ascii="arial" w:eastAsia="arial" w:hAnsi="arial" w:cs="arial"/>
          <w:color w:val="000000"/>
          <w:sz w:val="20"/>
          <w:lang w:val="en-US" w:eastAsia="en-US" w:bidi="ar-SA"/>
        </w:rPr>
        <w:t xml:space="preserve"> (S.C.), aff'd </w:t>
      </w:r>
      <w:hyperlink r:id="rId471" w:history="1">
        <w:r>
          <w:rPr>
            <w:rFonts w:ascii="arial" w:eastAsia="arial" w:hAnsi="arial" w:cs="arial"/>
            <w:i/>
            <w:color w:val="0077CC"/>
            <w:sz w:val="20"/>
            <w:u w:val="single"/>
            <w:shd w:val="clear" w:color="auto" w:fill="FFFFFF"/>
            <w:lang w:val="en-US" w:eastAsia="en-US" w:bidi="ar-SA"/>
          </w:rPr>
          <w:t>2000 BCCA 215</w:t>
        </w:r>
      </w:hyperlink>
      <w:r>
        <w:rPr>
          <w:rFonts w:ascii="arial" w:eastAsia="arial" w:hAnsi="arial" w:cs="arial"/>
          <w:color w:val="000000"/>
          <w:sz w:val="20"/>
          <w:lang w:val="en-US" w:eastAsia="en-US" w:bidi="ar-SA"/>
        </w:rPr>
        <w:t xml:space="preserve"> the court in a ruling in a special case interpreted a wage indemnity contract. The defendant had been injured in a motor vehicle accident and received disability benefits under an indemnity contract between her employer and a health services society. In order to receive benefits she was required to sign a reimbursement agreement. The court found that the wage indemnity contract was part of an employment contract and not an indemnity contract. While the court found that there was a contractual right of subrogation, it also found that there were additional provisions in the contract and in the reimbursement agreement which imposed on the employee an obligation to recover from the third party an amount sufficient to reimburse the benefit plan for the benefits paid. The provisions eliminated any entitlement to deduct from the debt any legal fees incurred in recovering damages from the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 find the decisions in Audia and in Meek, supra, to be applicable to the circumstances of the present case. For the reasons set out in those cases, I conclude that the Plan administered by the trust is not a type of insurance. As a result, the common law right of subrogation which provides that an insurer is not subrogated to the insured's portion of his tort recovery until the insured is fully indemnified for his loss is not applicable in this case (see Confederation Life Insurance Co. v. Causton, </w:t>
      </w:r>
      <w:hyperlink r:id="rId472" w:history="1">
        <w:r>
          <w:rPr>
            <w:rFonts w:ascii="arial" w:eastAsia="arial" w:hAnsi="arial" w:cs="arial"/>
            <w:i/>
            <w:color w:val="0077CC"/>
            <w:sz w:val="20"/>
            <w:u w:val="single"/>
            <w:shd w:val="clear" w:color="auto" w:fill="FFFFFF"/>
            <w:lang w:val="en-US" w:eastAsia="en-US" w:bidi="ar-SA"/>
          </w:rPr>
          <w:t>[1989] B.C.J. No. 1172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my opinion, while Mr. Dizdarevich may be entitled to receive certain benefits and to pursue certain remedies as a result of at least the first two of the "Three sources" he refers to, it does not follow that they constitute the terms of a contract to which he is a party. The trustees are not parties to the collective agreement. Mr. Dizdarevich is not a party to the Trust Agreement. If Mr. Dizdarevich is denied benefits or otherwise dealt with in a manner that calls into question the terms of his employment, he may be entitled to pursue grievance procedures under the collective agreement but that option arises as a result of the collective agreement. Even though the relationships are intertwined to some extent, I conclude that there is no contractual relationship between the plaintiffs and Mr. Dizdarevich other than through the Loan and Replacement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Loan and Replacement Agreement is not an insurance contract and in my opinion Mr. Dizdarevich's submissions relating to contracts of "adhesion" are therefore not applicable to this case (see Brissette Estate v. Westbury Life Insurance Co., </w:t>
      </w:r>
      <w:r>
        <w:rPr>
          <w:rFonts w:ascii="arial" w:eastAsia="arial" w:hAnsi="arial" w:cs="arial"/>
          <w:i/>
          <w:color w:val="000000"/>
          <w:sz w:val="20"/>
          <w:lang w:val="en-US" w:eastAsia="en-US" w:bidi="ar-SA"/>
        </w:rPr>
        <w:t>[1992] 3 S.C.R. 87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Dizdarevich raises other defences to the validity of the Loan and Replacement Agreement. He submits first of all that the agreement is void for failure of consideration. He says that at the time he signed the Agreement the plaintiffs were already bound to pay disability benefits to him "pursuant to the contract evidenced by the Three Sources." He says that, as a result, no new consideration passed between the parties. The plaintiffs say that they were not required to pay the benefit and the advancing of the funds constituted consideration for the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its face the Agreement describes the transaction as "financial assistance by way of a loan." It does not purport to be payment to which Mr. Dizdarevich was entitled under the Plan. Funds were paid to Mr. Dizdarevich pursuant to the Agreement. In my view the plaintiffs have proven consideration for the payment of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Dizdarevich says that the Agreement is also void for uncertainty in that there is an absence of any term dealing with the treatment of costs of recovery against a third party tortfeasor. He says that such a term is essential in a document purporting to grant subrogation rights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agree with the submission of the plaintiffs that such a term is not essential to their entitlement to enforce the Agreement. The Agreement contains two separate provisions. The first, which in my view is the applicable provision, permits Mr. Dizdarevich to pursue his claim against the tortfeasor, in which case he is required "to pay the Plan's Loan" from any monies received. In suing under this provision the plaintiffs are not exercising a right of subrogation, they are demanding repayment of the loan. While the second provision grants the Plan subrogation rights to the cause of action should Mr. Dizdarevich not pursue his claim at all, the provision is not engaged in the present case and it is not necessary for me to deal further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Dizdarevich also submits that if the plaintiffs can enforce the Agreement without paying any of the defendant's legal fees and costs of recovery, then the plaintiffs will be unjustly enriched. If, as I have concluded, the Agreement constitutes a loan of funds to Mr. Dizdarevich, their repayment pursuant to the terms of the contract provides a juristic reason for recovering the full amount of the loan. For this reason this submission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 further submission by Mr. Dizdarevich is that the effect of the plaintiff's actions in their claim against him is to nullify the insurance contract to provide benefits under the Plan. He says that the plaintiffs are effectively acting in a manner that deprives the defendant of the very disability benefits that were the object of the contract of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Counsel for Mr. Dizdarevich says "that the effect of demanding repayment of all benefits advanced to the defendant under the insurance policy, without accounting for the legal fees and recovery costs incurred by the defendant in his third-party tort action, is to arbitrarily and unilaterally deprive an injured worker of the very benefit for which the insurance contract was made." It appears to me that such an outcome may be the result in some cases but it is dependent upon the amount recovered for lost income against the tortfeasor. In Audia such an outcome was not found to be a basis for making the provision of the Disability Plan inoperative. I am not satisfied that in relation to the contract before me that this outcome has been the result. If it is an outcome that is in conflict with the provisions of the collective agreement, it may well be open to Mr. Dizdarevich to pursue the issue through the procedures provided in that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Dizdarevich has also submitted that in entering into this contract the plaintiffs are in breach of their obligation in Article 5.01 of the Plan to prescribe and apply qualifications and conditions "uniformly to all persons otherwise qualified for benefits." Even if such a breach were capable of supporting a defence to the present claim, I do not agree that applying qualifications and conditions differently between employees who have claims against third parties and those who do not necessarily constitutes a breach of Article 5.01.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result, I conclude that the plaintiffs are entitled to judgment for the amount advanced together with court order interest. In addition they are entitled to costs as provided for under Rule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RALPH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7" style="position:absolute;z-index:2518394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73"/>
          <w:headerReference w:type="default" r:id="rId474"/>
          <w:footerReference w:type="even" r:id="rId475"/>
          <w:footerReference w:type="default" r:id="rId476"/>
          <w:headerReference w:type="first" r:id="rId477"/>
          <w:footerReference w:type="first" r:id="rId47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79" w:history="1">
        <w:r>
          <w:rPr>
            <w:rFonts w:ascii="arial" w:eastAsia="arial" w:hAnsi="arial" w:cs="arial"/>
            <w:b/>
            <w:bCs/>
            <w:i/>
            <w:color w:val="0077CC"/>
            <w:kern w:val="32"/>
            <w:sz w:val="28"/>
            <w:szCs w:val="32"/>
            <w:u w:val="single"/>
            <w:shd w:val="clear" w:color="auto" w:fill="FFFFFF"/>
            <w:lang w:val="en-US" w:eastAsia="en-US" w:bidi="ar-SA"/>
          </w:rPr>
          <w:t>Blake v. Buy-Low Foods Ltd., [2002] B.C.J. No. 2672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Port Alberni,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Dillon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20, 21 and 24 - 26,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Port Alberni Registry No. 9997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2672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1647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118 A.C.W.S. (3d) 470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Kathleen Blake, plaintiff, and Buy-Low Foods Ltd. and Anthem Properties Corp.,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8"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7" w:name="Keywords_27"/>
      <w:bookmarkEnd w:id="187"/>
      <w:r>
        <w:rPr>
          <w:rFonts w:ascii="arial" w:eastAsia="arial" w:hAnsi="arial" w:cs="arial"/>
          <w:b/>
          <w:color w:val="000000"/>
          <w:sz w:val="20"/>
          <w:lang w:val="en-US" w:eastAsia="en-US" w:bidi="ar-SA"/>
        </w:rPr>
        <w:t xml:space="preserve">Torts — Occupiers' liability 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dangerous premises — Duty of occupier — Invitees, liability of particular occupiers (incl. duty and standard of care) — Retail business — Sidewalks, walkways, ramps, etc. — Damage awards — Injury and death — Leg injuries — Fibula or tibia — Special damage awards — Loss of wages — General damage awards — Loss of earning capacity — Pain and suffering, loss of amenities and other non-pecuniary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8" w:name="Case Summary_27"/>
            <w:bookmarkEnd w:id="18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Blake for damages for personal injury. Blake was shopping at a grocery store leased by the defendant, Buy-Low Foods, in a plaza owned by the defendant, Anthem Properties. After she returned her shopping cart to a corral located on the sidewalk in front of the store, she turned and fell off the edge of the curb onto the roadway. When she fell she fractured her tibia and fibula. She spent four days in hospital and was in a wheelchair for six months. Her prognosis was for residual symptoms and deformity on a permanent basis. She was at risk of developing post-traumatic osteoarthritis of the ankle. She had a limited work history and suffered from fibromyalgia, depression and headaches prior to the accident. The corral held two rows of carts. Because it was not bolted to the sidewalk, it moved back and forth and from side to side. An independent witness stated that at about the same time as the accident, the corral had moved so far over on the sidewalk that she had to lift her shopping cart off of the sidewalk onto the road to get by the corral to enter the store. There was a ramp directly in front of the entrance to the store, but the ramp did not extend as far as the end of the corral.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9" w:name="Holdings of Court_25"/>
            <w:bookmarkEnd w:id="189"/>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corral had moved into the sidewalk far enough that there was not enough room for Blake to take one full step to the side from the end of the corral before landing on the edge of the curb as she headed to the parking lot. Her foot twisted on the curb, causing her to fall. She probably would not have fallen if the ramp in front of the entrance had extended as far as the corral. Blake had exercised reasonable care for her own safety. The movement of the corral created an unusual danger. Buy-Low knew that the corral was not bolted and was subject to moving, particularly as more carts were placed into it. Those facts also should have been known to Anthem. Both defendants were equally liable to Blake for her injuries because either of them could have avoided the accident with minimal cost by bolting the corral. Anthem also could have ramped the curb further along the front of the store. Blake was awarded non-pecuniary damages of $50,000, $12,000 for past wage loss, $20,000 for loss of earning capacity, special damages of $2,664, and damages for spousal assistance in the amount of $3,041.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0" w:name="Legislation Cited_17"/>
      <w:bookmarkEnd w:id="19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9"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480" w:history="1">
        <w:r>
          <w:rPr>
            <w:rFonts w:ascii="arial" w:eastAsia="arial" w:hAnsi="arial" w:cs="arial"/>
            <w:i/>
            <w:color w:val="0077CC"/>
            <w:sz w:val="20"/>
            <w:u w:val="single"/>
            <w:shd w:val="clear" w:color="auto" w:fill="FFFFFF"/>
            <w:lang w:val="en-US" w:eastAsia="en-US" w:bidi="ar-SA"/>
          </w:rPr>
          <w:t>R.S.B.C. 1996, c. 337, s. 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1" w:name="Counsel_28"/>
      <w:bookmarkEnd w:id="19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0"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 Kosteckyj, for the plaintiff. G. Hagel, for the defendant Buy-Low Foods Ltd. N. Carfra, for the defendant, Anthem Properties Corp.</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2" w:name="Judgment_28"/>
      <w:bookmarkEnd w:id="192"/>
      <w:r>
        <w:pict>
          <v:line id="_x0000_s1161" style="position:absolute;z-index:25184051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3" w:name="DILLON J._1"/>
            <w:bookmarkEnd w:id="193"/>
            <w:r>
              <w:rPr>
                <w:rFonts w:ascii="arial" w:eastAsia="arial" w:hAnsi="arial" w:cs="arial"/>
                <w:b/>
                <w:color w:val="000000"/>
                <w:sz w:val="30"/>
                <w:lang w:val="en-US" w:eastAsia="en-US" w:bidi="ar-SA"/>
              </w:rPr>
              <w:t>DILLON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December 2, 1999, the plaintiff, Kathleen Blake, returned her shopping cart to the corral after grocery shopping at the defendant's Buy-Low Foods Ltd. ("Buy-Low") store in Port Alberni, British Columbia. When she turned to return to her vehicle, she fell over the curb of the sidewalk, breaking her fibula and tibia. The grocery store is located in the Northport Plaza owned by the defendant, Anthem Properties Corp. ("Anthem"). Both defendants deny any liability for the plaintiff's fall. Damages are contested.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attended at Buy-Low to shop for groceries on December 2, 1999 at about 3:30 p.m.. She had shopped at Buy-low on previous occasions and was familiar with the layout in front of the store. She had exited the store and placed her purchases in her car when she went to return the cart into the corral located on the sidewalk in front of the store, immediately to the left of the entrance. This was a different corral than from where she had obtained the cart. Just after the plaintiff put her cart into the corral, she turned to return to her car. As she turned, her left foot went onto the edge of the curb and turned inwards, causing her to fall onto the roadway. She had not even taken one full step. The plaintiff denied that she somehow twisted her ankle or stumbled. An incident report of the accident prepared by the store manager who attended upon the plaintiff reported that she slipped and fell from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corral held two rows of carts and was not bolted to the cement surface of the sidewalk. As a result, the corral tended to move. At issue in this trial is whether the corral had moved into the sidewalk on December 2, 1999, so narrowing the passageway to the extent that the plaintiff had no room to move even one step away from the end of the corral without falling off the curb onto the roadway. Also at issue is whether the ramp at the front of the store entrance should have extended further along the curb of the sidewalk where customers returned or obtained carts so as to avoid the almost nine inch drop-off from the curb.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December 2, 1999, Melissa Netzer was also shopping at Buy-Low around 3:30 p.m.. After securing a shopping cart, she proceeded to the entrance of the store along the sidewalk. She noticed that the carts in the corral had moved so far into the sidewalk that she was unable to pass with her cart. She had to physically lift her cart off of the sidewalk onto the road in order to get by the corral to go towards the entrance of the store. When she exited the store about twenty minutes later, she saw a woman lying on the road near the same corral that had blocked her path a few minutes earlier. A Buy-Low employee whom she knew was attending to the fallen woman. The fallen woman was Kathleen Blake, although Ms. Netzer did not recognize her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Several Buy-Low employees testified where the corral was usually kept and some said that it was there on December 2, 1999. The store manager said that the corral was against the wall on December 2, 1999 because he would have moved it back at the time if he had noticed that it was out from the wall. However, he also said that he had never noticed it out from the wall before and so would have had no reason to consider the placement of the corral when he assisted the plaintiff. He was also unaware whether the corral had been bolted to the cement at the time. He was aware that there was only room for one cart to pass the corral if it was in place along the wall of the store and thought that this was "wide enough" even though he had never measured the space prior to this incident and had never specifically considered how much space a pedestrian would need to pass the corral. The double corral was five feet wide and the sidewalk was eight feet six inches wide, leaving about three feet for pedestrians, assuming that the corral was tight up against the wall of the store. The carts used at the time were twenty-three inches wide. The store manager knew that two carts could not pass on the sidewalk with the double corral in place but expected customers to use the roadway to pass one another. This meant standing down from the curb onto the roadway because the curb was not ramped the full length in front of the store. After the incident, the store manager expressed to an employee that he was glad that the accident happened outside of the store, thinking that Buy-Low was therefore not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Another employee who had been in the office prior to the accident remembered "roughly" where the corral was on that date and said it was where it usually was, near the wall of the building. She had never noticed the corral away from the wall. Still another employee said that the corral was usually kept against the wall and said that she did not notice anything different on December 2, 1999 when she went outside to assist the plaintiff. This employee said that there was a lot of confusion at the time and she was going back and forth into the building relaying instructions. She did not look or examine where carts were. She also acknowledged that the corral was not bolted down and moved around, but said that she only noticed that it moved backwards and forwards, not sideways into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maintenance man from Anthem had never noticed the corral away from the wall and had never noticed if it was bolted to the sidewalk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employee whose duty it was to see that the carts were in place knew that the corral was not bolted and that it moved, including from side to side if lifted. He acknowledged that it was possible for one man or even a dog tied to it to move it from side to side, especially when empty of carts. He said that the flat iron holding the two sides of the corral together made it easier to move side to side rather than forwards and backwards. He also said that when there were a lot of carts to return to the corral, it was easier if the corral was at an angle from the wall. The boys who returned the carts from the parking lot angled the carts into the corral. He said that it was natural that the corral would end up at an angle to the wall of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 former employee who was employed and present on December 2, 1999 said that the corral was not bolted and that it moved around. She said that if there were a lot of carts to go into the corral, one would have to pull it out so that all of the carts could fit in. She confirmed that the corral moved away from the wall. She described that the curb was high where the carts were kept and that when one turned, you could not see the drop from the sidewalk onto the roadway. In fact, she had just about fallen a couple of times. This witness also said that she had passed on several complaints from customers about the narrowness of the sidewalk with the double wide corral. This was strongly denied by those to whom she said she passed on such statements. Although this witness lives across the street from the plaintiff, she said that until recently, she was unaware that the plaintiff had been involved in this incident and she was not socially friendly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From pictures entered into evidence, it is apparent that the corral made marks on the sidewalk that show that it moved sideways as well as back and forth along the sidewalk. The pictures also show that the corral moved away from the wall when there were carts inside it. The pictures further demonstrate that the corral moved along the sidewalk so that the distance from the end of the corral to the ramped area directly in front of the store entrance onto the paved roadway varied. The plaintiff's spouse was able to lift the corral with relative ease even when there were carts in it. The plaintiff and her spouse took the pictures after the accident and before the corral was moved into the parking lot and replaced by a single wide corral on the sidewalk in front of the store. Although not showing the exact position of the corral on December 2, 1999, the pictures indicate the movement of the corral and its position in relation to the ramp.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testified that she has seen the corral away from the wall on many occasions, although she did not particularly notice its placement on December 2, 1999. She previously had to walk on the roadway because there was not enough room on the sidewalk for two people to pass with the double wide corral there. She said that there was a lot of congestion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accept the evidence of Ms. Netzer as to the position of the corral on the sidewalk at the time that the plaintiff returned her cart on December 2, 1999. She had a specific memory that was not shaken by the suggestion that she knew the plaintiff. She did not recognize the plaintiff as the woman who had fallen and her relationship with the plaintiff was not proven to be terribly significant. Her evidence is consistent with the plaintiff's evidence of her fall and with the preponderance of evidence as to the sideward movement of the corral. I do not accept the evidence of Buy-Low employees that the corral was always along the wall and that it never moved away from the wall. These employees had discussed their evidence together before testifying and none had a specific recollection of the exact placement of the corral at 3:30 p.m. on December 2, 1999. The one employee who put coats on the corral that day could only remember "roughly" where the corral was situated when she attended to the plaintiff. These employees' testimony as to the "usual" placement is not convincing in face of the other evidence that the corral was not bolted and moved not only backwards and forwards but side to side. The employee responsible for the corral admitted that it moved away from the wall as more and more carts were placed into it and that this was a natural movement of the corral. This movement was evident in the pictures of the corral. Not only did the corral move forwards along the pavement, but it also moved sideward away from the wall of the store into the sidewalk, thus narrowing the passageway available for shoppers on the parking lot side of the sidewalk. This movement meant that the end of the corral tended to swing outwards into the sidewalk as more and more carts were placed into it, especially if the carts extended beyond the corral itself. The placement of the corral near the entrance to the store was considered a convenience to shoppers to encourage more shopping and avoided placement of the carts in the store itself, which would have taken up too much sales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found the plaintiff to be a reliable and credible witness. Her testimony was not shaken on cross-examination, despite attempts to characterize her fall as independently stumbling and twisting her ankle. Any apparent inconsistencies in her evidence about where she got her cart on December 2, 1999, or when faced with her medical records, were not so pertinent as to disturb my conclusion about her testimony. She was straightforward, responsive and did not exaggerate.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sidewalk alongside the corral was curbed to a depth of eight and a half inches with a ramp nearer to the entrance of the store that sloped towards the roadway. The curb was painted yellow to indicate an elevation change. There was no ramp from the curb to the roadway alongside the end of the corral, leaving several feet at least between the end of the corral and the start of the ramp, depending on how far backwards the corral was at any given time and how many carts were in the corral. The ramping was only directly in front of the entrance to the store and did not extend further. Customers were expected to step down from the sidewalk over the curb to the roadway if they proceeded directly to the roadway and parking lot after placing a cart in the corral. There was about seven or eight feet before the ramp started from the end of the corral in its usual placement. However, this distance varied from as little as three or four feet to nine feet according to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Anthem had an inspection done of the property before it purchased the plaza in 1997. The inspector testified that the curb near the corral in front of the store was 8 1/2 to 8 3/4 inches high. He said that most shopping centres avoid curbs as the more modern approach. He agreed that the ramp did not extend as far as the end of the cart corral and that it would have been a good idea to have extended the ramp because the expense was minimal. As a result of the inspection report, in the summer of 1999, the sidewalk was repaired and the ramp was adjusted so that there was not such an abrupt edge near the entrance of the store. The ramp was feathered into the roadway, gradually adjusting to the height of the curb. However, the ramp and its feathering did not extend to the end of the double wide corral. Anthem gave no thought to extending the ramp the full length of the storefront or to the end of the corral, even though extending the ramp would have cost relatively little in the summer of 1999 when the other improvements were made. The manager of the plaza had never noticed that the corral was not bolted to the sidewalk and had no prior concerns about the double wide corral on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manager of the grocery store phoned the plaza manager immediately after the accident to advise what had happened. The plaza manager told Buy-Low to remove the carts from the sidewalk. After further discussion, Buy-Low replaced the double wide corral with a single wide corral on the sidewalk. This appeared to both defendants to be a reasonable compromise that would add another twenty-four inches to the sidewalk, and also handle a public relations concern. The double corral was placed in the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double corral was owned by Buy-Low. Its employees were responsible for collecting and storing the grocery carts. The lease agreement with Anthem required Buy-Low to ensure that its shopping carts were collected and stored in common areas so as not to unduly interfere with or disrupt the use of the area by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was apparent from both the manager of Buy-Low and the manager of the plaza that specific responsibility for the corral and carts was not discussed prior to this incident. However, Anthem considered that it had the authority under the lease to tell Buy-Low to remove the corral from the common area of the sidewalk if it had any concerns about placement of the corral.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conclude that the double corral had moved into the sidewalk passage area by the late afternoon of December 2, 1999 so that there was not enough room for the plaintiff to take one full step sideward from the end of the corral before landing on the edge of the curb as she headed to the parking lot. Her foot twisted on the curb, causing her to fall off the curb into the roadway. This fall probably would not have happened if there had been a ramp from the edge of the sidewalk onto the roadway similar to the one that existed right in front of the door to the store. The plaintiff would have been able to check her movement with her other foot and so secure a better landing.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also conclude that Buy-Low knew that the corral was not bolted to the pavement and that it moved not only backwards and forwards, but also sideward into the sidewalk, particularly as more and more carts were moved into it. It was known that the placement of the corral caused narrowness of the sidewalk so that to pass another customer with a cart, customers had to use the roadway instead of the sidewalk. Placement of the double corral on the sidewalk was purposefully intended to encourage shoppers to take a cart in order to buy more goods at the store and to avoid having the carts inside the store itself. Anthem had made a decision not to extend the ramp beyond the front of the door to the store and did not consider extending the ramp to the end of the corral. As a result, customers who returned a cart to the corral were expected to manoeuvre over the curb directly in front of the end of the corral. When the corral extended across the sidewalk, this left too little room to turn around.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Both defendants have admitted that each is an occupier within the meaning of "occupier" in section 1 of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The question in this case is whether it was reasonable to see, in all of the circumstances, that the double cart corral that had moved out onto the passageway of the sidewalk, and/or that the almost nine inch curb along the end of the corral, rendered the sidewalk unreasonably unsafe for those using the premises. Did the defendants take reasonable care, in all of the circumstances, to see that Kathleen Blake was reasonably safe when she used the sidewalk in front of the Buy-Low store at the Northport Plaza?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consideration of this question, one factor to consider is that many others had passed this way without incident (Cahoon v. Wendy's Restaurant of Canada Inc., </w:t>
      </w:r>
      <w:hyperlink r:id="rId481" w:history="1">
        <w:r>
          <w:rPr>
            <w:rFonts w:ascii="arial" w:eastAsia="arial" w:hAnsi="arial" w:cs="arial"/>
            <w:i/>
            <w:color w:val="0077CC"/>
            <w:sz w:val="20"/>
            <w:u w:val="single"/>
            <w:shd w:val="clear" w:color="auto" w:fill="FFFFFF"/>
            <w:lang w:val="en-US" w:eastAsia="en-US" w:bidi="ar-SA"/>
          </w:rPr>
          <w:t>[2000] B.C.J. No. 762</w:t>
        </w:r>
      </w:hyperlink>
      <w:r>
        <w:rPr>
          <w:rFonts w:ascii="arial" w:eastAsia="arial" w:hAnsi="arial" w:cs="arial"/>
          <w:color w:val="000000"/>
          <w:sz w:val="20"/>
          <w:lang w:val="en-US" w:eastAsia="en-US" w:bidi="ar-SA"/>
        </w:rPr>
        <w:t xml:space="preserve"> at para. 16; Scriven v. Crescent (Pacific No. 240) Branch of The Royal Canadian Legion, </w:t>
      </w:r>
      <w:hyperlink r:id="rId482" w:history="1">
        <w:r>
          <w:rPr>
            <w:rFonts w:ascii="arial" w:eastAsia="arial" w:hAnsi="arial" w:cs="arial"/>
            <w:i/>
            <w:color w:val="0077CC"/>
            <w:sz w:val="20"/>
            <w:u w:val="single"/>
            <w:shd w:val="clear" w:color="auto" w:fill="FFFFFF"/>
            <w:lang w:val="en-US" w:eastAsia="en-US" w:bidi="ar-SA"/>
          </w:rPr>
          <w:t>[1985] B.C.J. No. 84</w:t>
        </w:r>
      </w:hyperlink>
      <w:r>
        <w:rPr>
          <w:rFonts w:ascii="arial" w:eastAsia="arial" w:hAnsi="arial" w:cs="arial"/>
          <w:color w:val="000000"/>
          <w:sz w:val="20"/>
          <w:lang w:val="en-US" w:eastAsia="en-US" w:bidi="ar-SA"/>
        </w:rPr>
        <w:t xml:space="preserve"> (S.C.) at para. 5; Crerar v. Dover, </w:t>
      </w:r>
      <w:hyperlink r:id="rId483" w:history="1">
        <w:r>
          <w:rPr>
            <w:rFonts w:ascii="arial" w:eastAsia="arial" w:hAnsi="arial" w:cs="arial"/>
            <w:i/>
            <w:color w:val="0077CC"/>
            <w:sz w:val="20"/>
            <w:u w:val="single"/>
            <w:shd w:val="clear" w:color="auto" w:fill="FFFFFF"/>
            <w:lang w:val="en-US" w:eastAsia="en-US" w:bidi="ar-SA"/>
          </w:rPr>
          <w:t>[1984] B.C.J. No. 2851</w:t>
        </w:r>
      </w:hyperlink>
      <w:r>
        <w:rPr>
          <w:rFonts w:ascii="arial" w:eastAsia="arial" w:hAnsi="arial" w:cs="arial"/>
          <w:color w:val="000000"/>
          <w:sz w:val="20"/>
          <w:lang w:val="en-US" w:eastAsia="en-US" w:bidi="ar-SA"/>
        </w:rPr>
        <w:t xml:space="preserve"> (S.C.) at paras. 22-27, app. denied, </w:t>
      </w:r>
      <w:hyperlink r:id="rId484" w:history="1">
        <w:r>
          <w:rPr>
            <w:rFonts w:ascii="arial" w:eastAsia="arial" w:hAnsi="arial" w:cs="arial"/>
            <w:i/>
            <w:color w:val="0077CC"/>
            <w:sz w:val="20"/>
            <w:u w:val="single"/>
            <w:shd w:val="clear" w:color="auto" w:fill="FFFFFF"/>
            <w:lang w:val="en-US" w:eastAsia="en-US" w:bidi="ar-SA"/>
          </w:rPr>
          <w:t>[1985] B.C.J. No. 2508</w:t>
        </w:r>
      </w:hyperlink>
      <w:r>
        <w:rPr>
          <w:rFonts w:ascii="arial" w:eastAsia="arial" w:hAnsi="arial" w:cs="arial"/>
          <w:color w:val="000000"/>
          <w:sz w:val="20"/>
          <w:lang w:val="en-US" w:eastAsia="en-US" w:bidi="ar-SA"/>
        </w:rPr>
        <w:t xml:space="preserve"> (C.A.)). I accept that no other incidents involving injury came to the attention of Buy-Low or Anthem. However, it was known to Buy-Low that the sidewalk was so narrow with the double wide corral that customers were required to step down onto the roadway to pass one another under the best of circumstances, that is, when the corral was right up against the wall of the store. It was also known to Buy-Low that the corral was not bolted to the cement sidewalk and that it angled out away from the wall of the store, especially as the day wore on and more and more customers replaced their carts or employees brought the carts from the larking area. These facts should also have been known to Anthem, whose inspector said that a feathered curb is the more modern approach to safety in shopping centres.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 was an unusual danger created because the double corral moved into the sidewalk, so narrowing the already narrow passageway even further. On the afternoon of December 2, 1999, there was not even enough room for the plaintiff to take a full step sideward away from the end of the corral. It should have been foreseeable that the angle of the corral away from the building created a danger for those returning carts to the corral. Customers such as the plaintiff could not have expected that a one step turn away from the corral would leave them precariously stepping onto the edge of a curb.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Although several employees of Buy-Low testified that he or she regularly returned carts to the double corral and that the corral was usually in place beside the wall of the store, most were not aware that the coral was not bolted to the cement or that it moved sideward. The employee responsible for the carts knew that it naturally moved sideward from the wall when carts were placed into it. No employee specifically recollected moving the corral into place that day and no employee testified to a normal routine to inspect the sidewalk at regular intervals. The evidence of Ms. Netzer is determinative as to the placement of the corral when the plaintiff fell. These circumstances are distinguished from the regular system of maintenance and inspection seen in Ball v. British Pacific Properties Ltd., </w:t>
      </w:r>
      <w:hyperlink r:id="rId485" w:history="1">
        <w:r>
          <w:rPr>
            <w:rFonts w:ascii="arial" w:eastAsia="arial" w:hAnsi="arial" w:cs="arial"/>
            <w:i/>
            <w:color w:val="0077CC"/>
            <w:sz w:val="20"/>
            <w:u w:val="single"/>
            <w:shd w:val="clear" w:color="auto" w:fill="FFFFFF"/>
            <w:lang w:val="en-US" w:eastAsia="en-US" w:bidi="ar-SA"/>
          </w:rPr>
          <w:t>[1991] B.C.J. No. 3250</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This danger was compounded by the situation of the curb. Anthem had not ramped the curb directly in front of the end of the corral, which could be up to ten feet away from the door to the store. The only ramping to the roadway was directly in front of the doors to the store. The ramping was to ensure the safety for those entering the store or returning carts to the corral, but it was not long enough. It failed to extend the whole distance of the corral to where customers could be expected to turn after they replaced the carts. This created an unusual danger, especially when the unbolted double corral narrowed the sidewalk as it filled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Was this unusual danger ameliorated by the yellow paint along the curb? Unlike the situation in Trojan v. Buena Vista Holdings Ltd., </w:t>
      </w:r>
      <w:hyperlink r:id="rId486" w:history="1">
        <w:r>
          <w:rPr>
            <w:rFonts w:ascii="arial" w:eastAsia="arial" w:hAnsi="arial" w:cs="arial"/>
            <w:i/>
            <w:color w:val="0077CC"/>
            <w:sz w:val="20"/>
            <w:u w:val="single"/>
            <w:shd w:val="clear" w:color="auto" w:fill="FFFFFF"/>
            <w:lang w:val="en-US" w:eastAsia="en-US" w:bidi="ar-SA"/>
          </w:rPr>
          <w:t>[1987] B.C.J. No. 2919</w:t>
        </w:r>
      </w:hyperlink>
      <w:r>
        <w:rPr>
          <w:rFonts w:ascii="arial" w:eastAsia="arial" w:hAnsi="arial" w:cs="arial"/>
          <w:color w:val="000000"/>
          <w:sz w:val="20"/>
          <w:lang w:val="en-US" w:eastAsia="en-US" w:bidi="ar-SA"/>
        </w:rPr>
        <w:t xml:space="preserve"> (S.C.), there were no yellow diagonal markings leading from the curb onto the roadway to further mark the curb. The ramped portion of the curb was only a few feet away and clearly marked in yellow. It could reasonably have been expected that the ramp would extend the whole front area used to return the carts.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There is no evidence that the plaintiff was disturbed by anything or that she was in a hurry when she fell. Although she had shopped at this Buy-Low before, I accept that she had never obtained her cart from this location before. She just took a step and fell off the side of the curb. The position of the corral misled her as to the amount of sidewalk available to her after she returned the cart. Although the curb was marked in yellow, the plaintiff could have reasonably expected to have room to take a step away from the corral without falling over the curb. She also could have reasonably expected that there would not be a curb immediately where customers returned their carts near to the doors to the store. There is no suggestion that the plaintiff had noticed the position of the corral in relation to the curb before she returned her cart to the corral. I am satisfied that she exercised reasonable awareness in all of the circumstances. The circumstances at the end of the corral, a few feet from the door to the store, were not so different from the circumstances nearer to the doors on front of the store that the plaintiff should have been alerted to the danger of the drop of the curb. I find that the plaintiff used reasonable care for her own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defendants are liable to the plaintiff for her injuries. In the circumstances, they are both equally liable for the incident because either could have avoided the accident with minimal cost by bolting the corral to the cement, by having a single wide corral, or by ramping the curb further along the front of the store. Aside from the last condition, all were within the ability and responsibility of both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fractured the tibia and fibula of her left leg. She was initially taken to West Coast General Hospital in Port Alberni but transferred by ambulance to Comox for specialized care. She underwent an open reduction and internal fixation of the fractured left tibia and fibula. She remained in hospital for four days and was immobilized by a cast for six weeks. She used an air cast from May to December 2000. She remained in a wheelchair for six months as her weight-bearing ability was delayed. She eventually moved to crutches and a walker. The internal fixation devices were removed in January 2001. Although there was solid union, there remains residual angulation of the distal tibial fragment of approximately 15 degrees. There is also residual superficial nerve entrapment, pain and mild stiffness in the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Her prognosis is for residual symptoms and deformity on a permanent basis. The orthopaedic surgeon who followed her aftercare said that these symptoms will prevent her from taking part in heavy or very heavy physical activity and any activity requiring excessive standing, climbing, squatting and running. She is at risk of developing post-traumatic osteoarthritis of the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needed personal assistance for three weeks. Her spouse took time off work to attend to her and lost wages agreed at $3,041.87. The plaintiff attended physiotherapy and received professional home care assistance. She performs exercises daily. Her leg still swells and is painful if she sits for long periods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Prior to her fall, the plaintiff enjoyed painting, travelling in her recreation vehicle, camping, walking, babysitting her granddaughter, and a happy marital life. None of these activities have been resumed to their prior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suffered from fibromyalgia, depression and headaches prior to the accident and was taking a number of medications for these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has a limited work history. She did not work for over six years at the preference of her spouse but began small jobs about a year and a half prior to the accident. She babysat occasionally, two or three times per week without a fixed schedule, earning $200 per month. However, she found babysitting exhausting and difficult. She also drove foster children to and from school, earning $200 per month when school was in session. She had recently quit work as a telephone representative for a charitable organization after a month's employment and was unlikely to have resumed that occupation because she did not like it. Although she wanted to sell her paintings and was talented, and she had some opportunity, this was not a real venture prior to the accident. I do not consider it a realistic source of income prior to or after the accident. She had looked for work as a gallery assistant prior to the accident, but was not seriously looking for work that she was not interested in doing. Her income for disability purposes was declared at $600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As a result of the fracture of her tibia and fibula, the plaintiff has suffered a permanent disability that puts her at risk of developing osteoarthritis. She is limited in her activities. Although the plaintiff sought an award in the range of $70,000 to $90,000, the cases to support an award of $75,000 to $80,000 (Mosher v. Ferrari, </w:t>
      </w:r>
      <w:hyperlink r:id="rId487" w:history="1">
        <w:r>
          <w:rPr>
            <w:rFonts w:ascii="arial" w:eastAsia="arial" w:hAnsi="arial" w:cs="arial"/>
            <w:i/>
            <w:color w:val="0077CC"/>
            <w:sz w:val="20"/>
            <w:u w:val="single"/>
            <w:shd w:val="clear" w:color="auto" w:fill="FFFFFF"/>
            <w:lang w:val="en-US" w:eastAsia="en-US" w:bidi="ar-SA"/>
          </w:rPr>
          <w:t>[1998] B.C.J. No. 252</w:t>
        </w:r>
      </w:hyperlink>
      <w:r>
        <w:rPr>
          <w:rFonts w:ascii="arial" w:eastAsia="arial" w:hAnsi="arial" w:cs="arial"/>
          <w:color w:val="000000"/>
          <w:sz w:val="20"/>
          <w:lang w:val="en-US" w:eastAsia="en-US" w:bidi="ar-SA"/>
        </w:rPr>
        <w:t xml:space="preserve"> (S.C.) and Lowe v. Jenkinson </w:t>
      </w:r>
      <w:hyperlink r:id="rId488" w:history="1">
        <w:r>
          <w:rPr>
            <w:rFonts w:ascii="arial" w:eastAsia="arial" w:hAnsi="arial" w:cs="arial"/>
            <w:i/>
            <w:color w:val="0077CC"/>
            <w:sz w:val="20"/>
            <w:u w:val="single"/>
            <w:shd w:val="clear" w:color="auto" w:fill="FFFFFF"/>
            <w:lang w:val="en-US" w:eastAsia="en-US" w:bidi="ar-SA"/>
          </w:rPr>
          <w:t>(1995), 12 B.C.L.R. (3d) 50</w:t>
        </w:r>
      </w:hyperlink>
      <w:r>
        <w:rPr>
          <w:rFonts w:ascii="arial" w:eastAsia="arial" w:hAnsi="arial" w:cs="arial"/>
          <w:color w:val="000000"/>
          <w:sz w:val="20"/>
          <w:lang w:val="en-US" w:eastAsia="en-US" w:bidi="ar-SA"/>
        </w:rPr>
        <w:t xml:space="preserve"> (S.C.) are distinguishable as involving other injuries or an abnormal management problem. The cases of Boyle v. Taylor, </w:t>
      </w:r>
      <w:hyperlink r:id="rId489" w:history="1">
        <w:r>
          <w:rPr>
            <w:rFonts w:ascii="arial" w:eastAsia="arial" w:hAnsi="arial" w:cs="arial"/>
            <w:i/>
            <w:color w:val="0077CC"/>
            <w:sz w:val="20"/>
            <w:u w:val="single"/>
            <w:shd w:val="clear" w:color="auto" w:fill="FFFFFF"/>
            <w:lang w:val="en-US" w:eastAsia="en-US" w:bidi="ar-SA"/>
          </w:rPr>
          <w:t>[1991] B.C.J. No. 3748</w:t>
        </w:r>
      </w:hyperlink>
      <w:r>
        <w:rPr>
          <w:rFonts w:ascii="arial" w:eastAsia="arial" w:hAnsi="arial" w:cs="arial"/>
          <w:color w:val="000000"/>
          <w:sz w:val="20"/>
          <w:lang w:val="en-US" w:eastAsia="en-US" w:bidi="ar-SA"/>
        </w:rPr>
        <w:t xml:space="preserve"> (S.C.), Trask v. Pomeroy Enterprises Ltd., </w:t>
      </w:r>
      <w:hyperlink r:id="rId490" w:history="1">
        <w:r>
          <w:rPr>
            <w:rFonts w:ascii="arial" w:eastAsia="arial" w:hAnsi="arial" w:cs="arial"/>
            <w:i/>
            <w:color w:val="0077CC"/>
            <w:sz w:val="20"/>
            <w:u w:val="single"/>
            <w:shd w:val="clear" w:color="auto" w:fill="FFFFFF"/>
            <w:lang w:val="en-US" w:eastAsia="en-US" w:bidi="ar-SA"/>
          </w:rPr>
          <w:t>[1998] B.C.J. No. 2916</w:t>
        </w:r>
      </w:hyperlink>
      <w:r>
        <w:rPr>
          <w:rFonts w:ascii="arial" w:eastAsia="arial" w:hAnsi="arial" w:cs="arial"/>
          <w:color w:val="000000"/>
          <w:sz w:val="20"/>
          <w:lang w:val="en-US" w:eastAsia="en-US" w:bidi="ar-SA"/>
        </w:rPr>
        <w:t xml:space="preserve"> (S.C.), Miksch v. Hambleton, </w:t>
      </w:r>
      <w:hyperlink r:id="rId491" w:history="1">
        <w:r>
          <w:rPr>
            <w:rFonts w:ascii="arial" w:eastAsia="arial" w:hAnsi="arial" w:cs="arial"/>
            <w:i/>
            <w:color w:val="0077CC"/>
            <w:sz w:val="20"/>
            <w:u w:val="single"/>
            <w:shd w:val="clear" w:color="auto" w:fill="FFFFFF"/>
            <w:lang w:val="en-US" w:eastAsia="en-US" w:bidi="ar-SA"/>
          </w:rPr>
          <w:t>[1990] B.C.J. No. 1810</w:t>
        </w:r>
      </w:hyperlink>
      <w:r>
        <w:rPr>
          <w:rFonts w:ascii="arial" w:eastAsia="arial" w:hAnsi="arial" w:cs="arial"/>
          <w:color w:val="000000"/>
          <w:sz w:val="20"/>
          <w:lang w:val="en-US" w:eastAsia="en-US" w:bidi="ar-SA"/>
        </w:rPr>
        <w:t xml:space="preserve"> (S.C.), Van Loon v. British Columbia (Ministry of Housing), </w:t>
      </w:r>
      <w:hyperlink r:id="rId492" w:history="1">
        <w:r>
          <w:rPr>
            <w:rFonts w:ascii="arial" w:eastAsia="arial" w:hAnsi="arial" w:cs="arial"/>
            <w:i/>
            <w:color w:val="0077CC"/>
            <w:sz w:val="20"/>
            <w:u w:val="single"/>
            <w:shd w:val="clear" w:color="auto" w:fill="FFFFFF"/>
            <w:lang w:val="en-US" w:eastAsia="en-US" w:bidi="ar-SA"/>
          </w:rPr>
          <w:t>[1996] B.C.J. No. 1463</w:t>
        </w:r>
      </w:hyperlink>
      <w:r>
        <w:rPr>
          <w:rFonts w:ascii="arial" w:eastAsia="arial" w:hAnsi="arial" w:cs="arial"/>
          <w:color w:val="000000"/>
          <w:sz w:val="20"/>
          <w:lang w:val="en-US" w:eastAsia="en-US" w:bidi="ar-SA"/>
        </w:rPr>
        <w:t xml:space="preserve"> (S.C.), and Wright v. Holt, </w:t>
      </w:r>
      <w:hyperlink r:id="rId493" w:history="1">
        <w:r>
          <w:rPr>
            <w:rFonts w:ascii="arial" w:eastAsia="arial" w:hAnsi="arial" w:cs="arial"/>
            <w:i/>
            <w:color w:val="0077CC"/>
            <w:sz w:val="20"/>
            <w:u w:val="single"/>
            <w:shd w:val="clear" w:color="auto" w:fill="FFFFFF"/>
            <w:lang w:val="en-US" w:eastAsia="en-US" w:bidi="ar-SA"/>
          </w:rPr>
          <w:t>[1997] B.C.J. No. 2259</w:t>
        </w:r>
      </w:hyperlink>
      <w:r>
        <w:rPr>
          <w:rFonts w:ascii="arial" w:eastAsia="arial" w:hAnsi="arial" w:cs="arial"/>
          <w:color w:val="000000"/>
          <w:sz w:val="20"/>
          <w:lang w:val="en-US" w:eastAsia="en-US" w:bidi="ar-SA"/>
        </w:rPr>
        <w:t xml:space="preserve"> (S.C.) Nanaimo Registry No. 15185 (October 7, 1997) are more analogous and indicate a range of $35,000 to $55,000. In these circumstances, an award of $50,000 for non-pecuniary damages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past wage loss of the plaintiff is difficult to assess, but, realistically, should be based upon $200 per month for ten months per year for the driving job, and an amount of $200 per month for babysitting. The plaintiff had not really tried to gain other employment before the accident and was disinclined to work for work's sake. Any further amounts for past wage loss have not been proven. Damages for past wage loss are assessed at $12,000.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Special damages are assessed at $2,663.98.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terms of future income loss, the capacity of the plaintiff to work was already significantly impaired prior to the accident. While there is no doubt that the permanent injury suffered by the plaintiff in her fall limits her in her capacity to perform heavy physical work, or work that involves standing or running, the plaintiff was not inclined to perform work of that nature and had been very selective in her choice of part-time labour. An appropriate award for loss of earning capacity is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parties have agreed that the loss occasioned by the necessary assistance provided by the plaintiff's spouse is valued at $3,041.87.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summary, the plaintiff is awarded:</w:t>
      </w:r>
      <w:r>
        <w:rPr>
          <w:rFonts w:ascii="arial" w:eastAsia="arial" w:hAnsi="arial" w:cs="arial"/>
          <w:sz w:val="20"/>
          <w:lang w:val="en-US" w:eastAsia="en-US" w:bidi="ar-SA"/>
        </w:rPr>
        <w:cr/>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of $50,000;</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wage loss of $12,000;</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 of $20,000;</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of $2,663.98; and</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trust damages for spousal assistance of $3,041.87.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is also entitled to her costs on the scale of 3 unless the parties want to be heard on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DILLON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2" style="position:absolute;z-index:2518804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00" w:history="1">
        <w:r>
          <w:rPr>
            <w:rFonts w:ascii="arial" w:eastAsia="arial" w:hAnsi="arial" w:cs="arial"/>
            <w:b/>
            <w:bCs/>
            <w:i/>
            <w:color w:val="0077CC"/>
            <w:kern w:val="32"/>
            <w:sz w:val="28"/>
            <w:szCs w:val="32"/>
            <w:u w:val="single"/>
            <w:shd w:val="clear" w:color="auto" w:fill="FFFFFF"/>
            <w:lang w:val="en-US" w:eastAsia="en-US" w:bidi="ar-SA"/>
          </w:rPr>
          <w:t>B.P.Y.A. 1693 Holdings Ltd. (c.o.b. Kootenay Honda) v. Innovators Insurance Agencies Ltd., [2001] B.C.J. No. 1423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Cranbrook,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Melnick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18,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25,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Cranbrook Registry No. 11031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1423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836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29 C.C.L.I. (3d) 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106 A.C.W.S. (3d) 912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B.P.Y.A. 1693 Holdings Ltd., c.o.b. Kootenay Honda, plaintiff, and the Innovators Insurance Agencies Ltd.,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3"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4" w:name="Keywords_28"/>
      <w:bookmarkEnd w:id="194"/>
      <w:r>
        <w:rPr>
          <w:rFonts w:ascii="arial" w:eastAsia="arial" w:hAnsi="arial" w:cs="arial"/>
          <w:b/>
          <w:color w:val="000000"/>
          <w:sz w:val="20"/>
          <w:lang w:val="en-US" w:eastAsia="en-US" w:bidi="ar-SA"/>
        </w:rPr>
        <w:t xml:space="preserve">Insurance — Agents — Authority of agent — Implied or apparent authority to bind insurer — Liability of agent — Duty to obtain coverage requested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duty of agent respecting status of policy — Negligent misrepresentation.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5" w:name="Case Summary_28"/>
            <w:bookmarkEnd w:id="19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BPYA 1693 Holdings against the defendant Innovators Insurance Agencies for summary judgment for damages for breach of contract. BPYA operated a car dealership. It agreed to provide a car as a prize for a hole-in-one in a golf tournament. Innovators agreed to provide hole-in-one insurance for $35,000 in the event that the car was won. The insurance was provided by Morgex Insurance. The application form provided that its execution did not bind the insurance company. Innovators faxed the application to Morgex on the day of the tournament. Morgex did not receive the application because Innovators used an incorrect area code. Innovators sent a fax to BPYA that the insurance had been placed. The prize was won. BPYA was unable to collect on the insurance because it was not in force. Innovators claimed that Morgex had the obligation to provide the policy. The policy was in force because Morgex provided it with ostensible authority to bind it.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6" w:name="Holdings of Court_26"/>
            <w:bookmarkEnd w:id="196"/>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Innovators was liable to BPYA for damages for breach of contract and negligent misrepresentation. Innovators lacked ostensible authority to bind coverage. This was confirmed by the statement on the application form. Innovators engaged in sloppy business practices. It breached its contract to provide the insurance. It also negligently represented that the insurance was in force when it was not. This was a representation that BPYA relied upon to its detriment.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7" w:name="Legislation Cited_18"/>
      <w:bookmarkEnd w:id="19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4"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8" w:name="Counsel_29"/>
      <w:bookmarkEnd w:id="19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5" style="position:absolute;z-index:251791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G.N. Kent, for the plaintiff. P.J. Scheibel,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9" w:name="Judgment_29"/>
      <w:bookmarkEnd w:id="199"/>
      <w:r>
        <w:pict>
          <v:line id="_x0000_s1166" style="position:absolute;z-index:25184153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July 10, 2001. The changes have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0" w:name="MELNICK J."/>
            <w:bookmarkEnd w:id="200"/>
            <w:r>
              <w:rPr>
                <w:rFonts w:ascii="arial" w:eastAsia="arial" w:hAnsi="arial" w:cs="arial"/>
                <w:b/>
                <w:color w:val="000000"/>
                <w:sz w:val="30"/>
                <w:lang w:val="en-US" w:eastAsia="en-US" w:bidi="ar-SA"/>
              </w:rPr>
              <w:t>MELNICK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B.P.Y.A. 1693 Holdings Ltd. doing business as Kootenay Honda (Kootenay Honda) against The Innovators Insurance Agencies Ltd. (Innovators Insurance) for judgment pursuant to Rule 18A for breach of contract to provide it with hole-in-one insurance for a golf tournament or, alternatively, negligent misrepresentation that such insurance had been placed. The summary trial was with respect to liability only, damages having been agreed at $35,022.26. At the conclusion of oral argument, I gave judgment in favour of Kootenay Honda together with costs on Scale 3 to the point of the delivery of an offer to settle and thereafter double costs. I indicated that I would deliver written reasons later. Those reasons follow.</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Kootenay Honda agreed to provide a model CRV Honda automobile as a prize for a hole-in-one on one of the holes at a golf tournament to take place in Cranbrook on June 26, 2000. As I understand is common in such cases, Kootenay Honda sought to insure the possibility of this prize being won by taking out insurance. Some two weeks earlier, it had obtained similar insurance from Innovators Insurance for which it had been invoiced $300.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June 22, 2000, Mr. Kevin Nichol, the president of Kootenay Honda, sought a similar policy from Innovators Insurance. He made his request to Mr. Shawn Trimble, the principal of Innovators Insurance. It is not disputed that Mr. Trimble agreed on behalf of Innovators Insurance to provide Kootenay Honda with hole-in-one insurance in the amount of $35,000 for the above noted tournament. Mr. Trimble had placed such coverage on numerous previous occasions for clients, in every case doing so through an insurance broker by the name of Morgex Insurance Group Ltd. (Morgex).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According to Mr. Trimble, on each occasion that he requested and obtained such hole-in-one insurance, the client would contact him a short time before the scheduled golf tournament, and he would have the client complete an application form which he would then fax to Morgex. In each case, he said, he would not hear anything from Morgex until two or three weeks later, almost always after the golf tournament was completed, when he would receive an invoice and a policy of insurance in the mail. On none of those occasions, he said, had Morgex ever questioned the timeliness of their receipt of the application form and in every instance Morgex had issued a policy of insurance. I pause to note that, apparently, on none of those previous occasions had anyone successfully scored a hole-in-one.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According to Mr. Trimble, because Mr. Nichol on behalf of Kootenay Honda had earlier completed similar applications for hole-in-one insurance, it was not necessary to have him re-attend to complete a new application form. In this case, Mr. Trimble simply filled out an application form using information from a form that Mr. Nichol had previously completed on behalf of Kootenay Honda. He thus caused a signature to be placed on the application form dated June 25, 2000 opposite an X and a circle which would, I conclude, lead anyone reading it to understand that such a mark had been placed on the document to indicate to a client where the client should sign. He did cause to be printed on the form his own name as contact person. Significantly, the application form also contained the words "signing of this application does not bind the applicant or the Insurance Company to complete the insurance, but it is agreed that this form shall be the basis of the contract, should a policy be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June 26, the day of the tournament, Mr. Trimble personally faxed to Morgex the application form with a fax cover note saying "Please issue 35,000 hole-in-one. Thank you!" Unfortunately, Morgex did not receive this communication because Mr. Trimble had used an incorrect area code. He then left his office for the day. When the error became apparent to a staff member, the staff member sent the cover memorandum to Morgex but apparently neglected to attach the application. Thus, on June 26, 2000, the application had not been sent to Morgex.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However, earlier, on Friday, June 23, Mr. Nichol had been concerned because he had not had a response to his request of June 22 for hole-in-one insurance coverage. He had therefore telephoned Innovators Insurance and left a message for Mr. Trimble asking him to confirm that the coverage was in place. On the morning of June 26, Kootenay Honda had received a fax from Innovators Insurance, the contents of which provided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Kevin,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 hole-in-one is is all taken care 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Have a good day. I do have some answers for you on your garage policy. I will call you Tuesday.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Relying on this information, Mr. Nichol caused the Honda CRV to be delivered to the Cranbrook Golf Course where, later that day, a Mr. Rene Poirier had the great good fortune to score a hole-in-one on the hole for which the Honda had been offered as a prize. Mr. Poirier collected his prize and Kootenay Honda then attempted to collect the insurance it understood was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However, on June 27, 2000, when Mr. Trimble returned to his office, he discovered a message from Morgex that it had not received the application form. He therefore caused the application form to be forwarded to Morgex that day. Of course, at that point, Mr. Poirier had already won the Honda CRV.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Not surprisingly, Morgex never did respond to Mr. Trimble's entreaties to provide him with proof of a policy of insurance. Notwithstanding that, it is the position of Innovators Insurance that it in fact placed a policy of insurance, that although it does not know the identity of the insurer, Morgex had the obligation to provide the policy. It was argued on its behalf that, although there was no express written agreement between Innovators Insurance and Morgex, by past practice, Innovators Insurance had acquired the right to bind Morgex to provide policies of insurance.</w:t>
      </w:r>
      <w:r>
        <w:rPr>
          <w:rFonts w:ascii="arial" w:eastAsia="arial" w:hAnsi="arial" w:cs="arial"/>
          <w:sz w:val="20"/>
          <w:lang w:val="en-US" w:eastAsia="en-US" w:bidi="ar-SA"/>
        </w:rPr>
        <w:cr/>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argument of Innovators Insurance is grounded on the assumption described above, that is, that Morgex had provided to Innovators Insurance ostensible authority to bind Morgex (or, at least, because Morgex apparently itself is a broker, bind an insurer that it represented) with an obligation to provide insurance once the application was accepted by Innovators Insurance. There is no evidence to support that proposition. The evidence, in fact, is to the contrary. The application form (which should have been completed by a representative of Kootenay Honda, not Mr. Trimble) expressly stated that there was no obligation to issue a policy. Less significantly, there are two other deficiencies in the application, namely, that it was to be accompanied by a score card (arguably a deficiency that Morgex had chosen to overlook on previous occasions) and that it was stated to be for coverage for a hole-in-one season from March 15, 1997 to October 15,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Mr. Scheibel, on behalf of Innovators Insurance, argued that the decision of the Ontario Superior Court of Justice in Pritchard v. Rideau Insurance Service Ltd. </w:t>
      </w:r>
      <w:hyperlink r:id="rId501" w:history="1">
        <w:r>
          <w:rPr>
            <w:rFonts w:ascii="arial" w:eastAsia="arial" w:hAnsi="arial" w:cs="arial"/>
            <w:i/>
            <w:color w:val="0077CC"/>
            <w:sz w:val="20"/>
            <w:u w:val="single"/>
            <w:shd w:val="clear" w:color="auto" w:fill="FFFFFF"/>
            <w:lang w:val="en-US" w:eastAsia="en-US" w:bidi="ar-SA"/>
          </w:rPr>
          <w:t>(1999), 14 C.C.L.I. (3d) 165</w:t>
        </w:r>
      </w:hyperlink>
      <w:r>
        <w:rPr>
          <w:rFonts w:ascii="arial" w:eastAsia="arial" w:hAnsi="arial" w:cs="arial"/>
          <w:color w:val="000000"/>
          <w:sz w:val="20"/>
          <w:lang w:val="en-US" w:eastAsia="en-US" w:bidi="ar-SA"/>
        </w:rPr>
        <w:t>, was authority for the position of Innovators Insurance that it was the responsibility of Kootenay Honda to take action against Morgex or, perhaps, the unknown insurance company (Mr. Scheibel said it was up to Kootenay Honda to try and find out who that was) to first have it determined whether there was coverage before turning to Innovators Insurance to accept responsibility. In Pritchard, it was the position of the insurance company involved (in that case the insurer was identified) that as no insurance policy had ever been issued by it, the only recourse for the party that had expected to be insured was against the broker. However, the court concluded that, in circumstances where it is established that the agent had the authority to enter into such contracts of insurance, that position is untenable. Earlier, at para. 19, the court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an insurer clothes its agent with the apparent authority to bind coverage and the agent purports to exercise that authority for the benefit of a third party, the insurer is obliged to the third party and such obligation is not negated by the agent's failure to process applications material in accordance with the insurers requirements. (see Hunt v. Brandie </w:t>
      </w:r>
      <w:hyperlink r:id="rId502" w:history="1">
        <w:r>
          <w:rPr>
            <w:rFonts w:ascii="arial" w:eastAsia="arial" w:hAnsi="arial" w:cs="arial"/>
            <w:i/>
            <w:color w:val="0077CC"/>
            <w:sz w:val="20"/>
            <w:u w:val="single"/>
            <w:shd w:val="clear" w:color="auto" w:fill="FFFFFF"/>
            <w:lang w:val="en-US" w:eastAsia="en-US" w:bidi="ar-SA"/>
          </w:rPr>
          <w:t>(1998), 38 O.R. (3d) 154</w:t>
        </w:r>
      </w:hyperlink>
      <w:r>
        <w:rPr>
          <w:rFonts w:ascii="arial" w:eastAsia="arial" w:hAnsi="arial" w:cs="arial"/>
          <w:color w:val="000000"/>
          <w:sz w:val="20"/>
          <w:lang w:val="en-US" w:eastAsia="en-US" w:bidi="ar-SA"/>
        </w:rPr>
        <w:t xml:space="preserve">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I indicated earlier, however, the evidence in this case falls far short of establishing that Innovators Insurance was clothed with the apparent authority to bind coverage. What the evidence does establish is that Mr. Trimble, on behalf of Innovators Insurance, engaged in sloppy business practice and, in every previous case, had been exceedingly lucky because no one had ever scored a hole-in-one and thus made a demand on the hole-in-one insurance that was presumed in each case to be in place. As I commented during the course of the hearing, there is no easier money for an insurance broker than to issue a policy, and receive a premium, for coverage insuring against an event that is known not to have taken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evidence in this case establishes that Innovators Insurance had a contract to provide Kootenay Honda with a policy of hole-in-one insurance for the sum of $35,000. It failed to do so and is in breach of that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evidence also establishes that Innovators Insurance was negligent in the representation it made to Kootenay Honda that hole-in-one insurance was in place, a representation upon which Kootenay Honda relied to its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Thus, on both of these bases, Innovators Insurance is liable to Kootenay Honda for damages both for breach of contract and for negligent misrepresentation. As noted above, the amount of those damages have been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MELNICK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July 10,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With respect to my written reasons for judgment published on June 25, 2001, on page 5, paragraph 6, sixth line, should read as follows: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Thus, on June 26, 2000, the application had not been sent to Morgex.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MELNICK J.</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QL Update: 20010711</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cp/i/qlcmk/qlmrz/qlmxp</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7" style="position:absolute;z-index:2518814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09" w:history="1">
        <w:r>
          <w:rPr>
            <w:rFonts w:ascii="arial" w:eastAsia="arial" w:hAnsi="arial" w:cs="arial"/>
            <w:b/>
            <w:bCs/>
            <w:i/>
            <w:color w:val="0077CC"/>
            <w:kern w:val="32"/>
            <w:sz w:val="28"/>
            <w:szCs w:val="32"/>
            <w:u w:val="single"/>
            <w:shd w:val="clear" w:color="auto" w:fill="FFFFFF"/>
            <w:lang w:val="en-US" w:eastAsia="en-US" w:bidi="ar-SA"/>
          </w:rPr>
          <w:t>Breakaway Futures Ltd. v. Woody Life Village Resort Ltd., [2003] B.C.J. No. 826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Groves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26,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10,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32919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826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559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121 A.C.W.S. (3d) 269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Breakaway Futures Ltd., plaintiff, and Woody Life Village Resort Ltd. and Derick MacDonald,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8"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1" w:name="Keywords_29"/>
      <w:bookmarkEnd w:id="201"/>
      <w:r>
        <w:rPr>
          <w:rFonts w:ascii="arial" w:eastAsia="arial" w:hAnsi="arial" w:cs="arial"/>
          <w:b/>
          <w:color w:val="000000"/>
          <w:sz w:val="20"/>
          <w:lang w:val="en-US" w:eastAsia="en-US" w:bidi="ar-SA"/>
        </w:rPr>
        <w:t>Practice — Juries and jury trials — Right to a jury — Cases where there is no right to a jury trial — Trial by judge alone.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2" w:name="Case Summary_29"/>
            <w:bookmarkEnd w:id="20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Breakaway Futures for a non jury trial. Breakaway paid $90,000 to Woody Life Village allegedly as a rental payment to rent Woody Life's real estate property on the condition that Woody Life upgraded the water system. Woody Life alleged that the payment was a deposit for the sale of the property to Breakaway, and denied any obligation to upgrade the water system. There was no documentation in support of either version. Breakaway applied for a non jury trial. The Rules required a non jury trial where the sole or principal question at issue was alleged to be construction of an oral contract. Breakaway argued that the principal issue was the construction of an oral rental contract and therefore the Rules required a non jury trial. Woody Life argued that the principle issue was whether a contract existed, and the matter therefore fell outside the requirement of a non jury trial.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3" w:name="Holdings of Court_27"/>
            <w:bookmarkEnd w:id="203"/>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principal issue was to determine what the contract was, and what its subject matter and terms were. Therefore, the principal issue in dispute was the construction of an oral contract and a non jury trial was required.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4" w:name="Legislation Cited_19"/>
      <w:bookmarkEnd w:id="20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9"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10(1), 10(1)(b), 39(25), 39(25)(b), 39(27), 39(27)(j).</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Law and Equity Act,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5" w:name="Counsel_30"/>
      <w:bookmarkEnd w:id="20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0" style="position:absolute;z-index:251792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Frank R. Scordo, for the plaintiff. S. Dev Dley,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6" w:name="Judgment_30"/>
      <w:bookmarkEnd w:id="206"/>
      <w:r>
        <w:pict>
          <v:line id="_x0000_s1171" style="position:absolute;z-index:25184256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7" w:name="MASTER GROVES"/>
            <w:bookmarkEnd w:id="207"/>
            <w:r>
              <w:rPr>
                <w:rFonts w:ascii="arial" w:eastAsia="arial" w:hAnsi="arial" w:cs="arial"/>
                <w:b/>
                <w:color w:val="000000"/>
                <w:sz w:val="30"/>
                <w:lang w:val="en-US" w:eastAsia="en-US" w:bidi="ar-SA"/>
              </w:rPr>
              <w:t>MASTER GROVES</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Breakaway Futures Ltd., applies pursuant to a notice of motion filed the 18th of February 2003 for an order that the trial of this matter be heard by the court without a jury. The plaintiff relies on Rule 39(27)(b) and Rule 39(30).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Rule 39(27)(b)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Except in cases of defamation, false imprisonment and malicious prosecution, a party to whom a notice under subrule (26) has been delivered may apply</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time for an order that the trial be heard by the court without a jury on the ground that it relates to one of the matters referred to in subrule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Rule 39(25), the section the plaintiff relies on to challenge the jury notice is Rule 39(25)(j) which reads: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matter referred to in Rule 10(1).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Rule (10)(1), in reference to applications which may be made by original application includes in subrule (b)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sole or principal question at issue is alleged to be one of construction of an enactment, will, deed, oral or written contract, or other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It is not disputed that if I find that the sole or principal question at issue is construction of an oral or written contract, then the application of the plaintiff must be successful. It is about this issue that the parties have a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terms of factual background, the defendant company owned and operated a resort known as Woody Life Village located at Lac la Jeune south of Kamloops, British Columbia. The plaintiff company ran a youth hockey program and the students occupied the premises at Woody Life Village for a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claim in the litigation is that in consideration of the defendant company allowing the plaintiff to use the resort for a period of November 8, 2001 to January 30, 2002 for the occupation by its students, the plaintiff agreed to pay the defendant company the sum of $90,000. The plaintiff further alleges that the payment of the $90,000 was conditional upon the defendant company using the money, at least in part, to upgrade the water system at Woody Life Village in order to provide water safe for consumption. The plaintiff alleges that it did pay the defendant company the $90,000 by cheque dated November 8,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Interestingly, the cheque provided which is attached to the affidavit of Frank R. Scordo No.1 sworn November 1, 2002 at Exhibit "B" indicates on the Re: line of the cheque the word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says that the defendant failed to upgrade the water system and therefore the students had to be moved to a different location. As a result, the plaintiff claims the defendant company breached the terms of the agreement and claims repayment of the $90,000 plus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It is conceded by the plaintiff that there is no written contract and in fact this was an oral contract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defendants make a different claim as to the agreement or contract between the parties. The defendants claim that on or about August of 2001 the defendant company and the plaintiff entered into an agreement that the plaintiff would purchase the resort in question from the defendant company and that the payment of the sum of $90,000 was a non-refundable deposit. The defendant has raised this in its counter-claim filed the 9th of September 2003. It alleges that the plaintiff agreed to purchase the resort from the defendant company for $1.6 million and that the plaintiff acknowledged that the water supply was not fit for consumption and that potable water would have to be transported in. The defendants further allege that the cheque for $90,000 was a contribution towards the non-refundable deposit. The defendants further state that the plaintiff has refused to complete the alleged purchase agreement and that the defendants are still ready and willing and able to perform its obligations under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with the plaintiff's claim, the defendants' counter-claim is based upon an oral contract allegedly entered into between the plaintiff and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Counsel provided by way of a joint book of authorities a number of cases which were most helpful in determining the issues raised in this application. A quick reference to a number of the cases provided is useful.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Double H Painting Ltd. v. Sutton Group Heritage Western Realty Ltd. et al. </w:t>
      </w:r>
      <w:hyperlink r:id="rId510" w:history="1">
        <w:r>
          <w:rPr>
            <w:rFonts w:ascii="arial" w:eastAsia="arial" w:hAnsi="arial" w:cs="arial"/>
            <w:i/>
            <w:color w:val="0077CC"/>
            <w:sz w:val="20"/>
            <w:u w:val="single"/>
            <w:shd w:val="clear" w:color="auto" w:fill="FFFFFF"/>
            <w:lang w:val="en-US" w:eastAsia="en-US" w:bidi="ar-SA"/>
          </w:rPr>
          <w:t>[1993] B.C.J. No. 2246</w:t>
        </w:r>
      </w:hyperlink>
      <w:r>
        <w:rPr>
          <w:rFonts w:ascii="arial" w:eastAsia="arial" w:hAnsi="arial" w:cs="arial"/>
          <w:color w:val="000000"/>
          <w:sz w:val="20"/>
          <w:lang w:val="en-US" w:eastAsia="en-US" w:bidi="ar-SA"/>
        </w:rPr>
        <w:t xml:space="preserve"> Collver, J. was asked to consider the application by a defendant to strike the plaintiff's jury notice. This case involved, to a limited degree, the sale of land. The plaintiff and defendants agreed that the plaintiff entered into a contract with the defendant realty company for exclusive listing of the plaintiff's property. The property was sold for $182,000 and immediately resold for $715,000. The plaintiff in his action sought damages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court held that the plaintiff had the right to a jury trial. Despite there being a listing contract or agency contract between the parties which was important to the dispute between the parties, the court held that the dispute was really about the duty that the defendant real estate agent owed to the plaintiff vendor. The contract or the issue of the sale of land was incidental to that dispute. This case suggests that one must look at the primary dispute between the parties in analysing any application for striking of a jury notice under the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 second case referred to was McQuade v. British Columbia Teachers' Federation </w:t>
      </w:r>
      <w:hyperlink r:id="rId511" w:history="1">
        <w:r>
          <w:rPr>
            <w:rFonts w:ascii="arial" w:eastAsia="arial" w:hAnsi="arial" w:cs="arial"/>
            <w:i/>
            <w:color w:val="0077CC"/>
            <w:sz w:val="20"/>
            <w:u w:val="single"/>
            <w:shd w:val="clear" w:color="auto" w:fill="FFFFFF"/>
            <w:lang w:val="en-US" w:eastAsia="en-US" w:bidi="ar-SA"/>
          </w:rPr>
          <w:t>[1995] B.C.J. No. 2674</w:t>
        </w:r>
      </w:hyperlink>
      <w:r>
        <w:rPr>
          <w:rFonts w:ascii="arial" w:eastAsia="arial" w:hAnsi="arial" w:cs="arial"/>
          <w:color w:val="000000"/>
          <w:sz w:val="20"/>
          <w:lang w:val="en-US" w:eastAsia="en-US" w:bidi="ar-SA"/>
        </w:rPr>
        <w:t>. This case involved the plaintiff's claim for entitlement to long-term disability benefits under the B.C.T.F. Salary Indemnity Plan which provides under this contract for such benefits. The defendant applied to strike the jury notice based on the same Rule present in this case. The defendant's application before a master was dismissed and on appeal the master was upheld. This case stands for the proposition that in reviewing Rule 39(25) the correct test is whether the construction of the contract, in this case an insurance contract, was the sole or principal issue alleged to be at issue. In McQuade, the court determined that that was not the case, that the principal issue was whether or not the plaintiff was disabled. The contract itself, though obviously the basis of the case, was not in itself in dispute. It was the application of the contract and the plaintiff's disability that was the core of the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the case of Manley v. Chilliwack General Hospital Society et al. </w:t>
      </w:r>
      <w:hyperlink r:id="rId512" w:history="1">
        <w:r>
          <w:rPr>
            <w:rFonts w:ascii="arial" w:eastAsia="arial" w:hAnsi="arial" w:cs="arial"/>
            <w:i/>
            <w:color w:val="0077CC"/>
            <w:sz w:val="20"/>
            <w:u w:val="single"/>
            <w:shd w:val="clear" w:color="auto" w:fill="FFFFFF"/>
            <w:lang w:val="en-US" w:eastAsia="en-US" w:bidi="ar-SA"/>
          </w:rPr>
          <w:t>[2000] B.C.J. No. 779</w:t>
        </w:r>
      </w:hyperlink>
      <w:r>
        <w:rPr>
          <w:rFonts w:ascii="arial" w:eastAsia="arial" w:hAnsi="arial" w:cs="arial"/>
          <w:color w:val="000000"/>
          <w:sz w:val="20"/>
          <w:lang w:val="en-US" w:eastAsia="en-US" w:bidi="ar-SA"/>
        </w:rPr>
        <w:t xml:space="preserve"> the litigation between the parties concerned the plaintiff's claim for medical malpractice as well as a claim for damages in contract. The plaintiff alleged that the contract existed between herself and one of the defendants in that in consideration for payment of MSP premiums, the defendant doctor had contracted to provide competent and prudent medical care. The defendant doctor brought on an application to have the jury notice struck pursuant to the same provisions in the Rules which I must consider.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Bauman, J. in his decision in Manley held that the issue for the jury would not revolve around the construction of the terms of the alleged contract. Rather, the issue for the jury would revolve around whether there was a contract and whether it was breached. The application to set aside the jury notice was not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Penner v. The Great-West Life Assurance Company </w:t>
      </w:r>
      <w:hyperlink r:id="rId513" w:history="1">
        <w:r>
          <w:rPr>
            <w:rFonts w:ascii="arial" w:eastAsia="arial" w:hAnsi="arial" w:cs="arial"/>
            <w:i/>
            <w:color w:val="0077CC"/>
            <w:sz w:val="20"/>
            <w:u w:val="single"/>
            <w:shd w:val="clear" w:color="auto" w:fill="FFFFFF"/>
            <w:lang w:val="en-US" w:eastAsia="en-US" w:bidi="ar-SA"/>
          </w:rPr>
          <w:t>[2002] B.C.J. No. 1764</w:t>
        </w:r>
      </w:hyperlink>
      <w:r>
        <w:rPr>
          <w:rFonts w:ascii="arial" w:eastAsia="arial" w:hAnsi="arial" w:cs="arial"/>
          <w:color w:val="000000"/>
          <w:sz w:val="20"/>
          <w:lang w:val="en-US" w:eastAsia="en-US" w:bidi="ar-SA"/>
        </w:rPr>
        <w:t>, the plaintiff claimed coverage under a disability insurance policy issued by the defendant. The plaintiff had received short-term disability benefits but when those terminated she was advised by the defendant that she did not qualify for long-term disability benefits. The defendant argued against a trial by jury on the basis of an argument that the principal question at issue concerned the construction of a written contract, the insurance policy, and as such the plaintiff was barred from asserting a right to a trial by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court held that the principal issue in this case involved matters of fact including principally whether the plaintiff, in light of the medical evidence, was "totally disabled", and whether or not the insurer acted in good faith. The factual issue in question would not therefore be an interpretation of the contract but would likely turn on whether or not the provisions of the contract applied. In other words, was the plaintiff totally disabled? The application to strike the jury notice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Finally, counsel provided the case of Naicker v. Great-West Life Assurance Co. </w:t>
      </w:r>
      <w:hyperlink r:id="rId514" w:history="1">
        <w:r>
          <w:rPr>
            <w:rFonts w:ascii="arial" w:eastAsia="arial" w:hAnsi="arial" w:cs="arial"/>
            <w:i/>
            <w:color w:val="0077CC"/>
            <w:sz w:val="20"/>
            <w:u w:val="single"/>
            <w:shd w:val="clear" w:color="auto" w:fill="FFFFFF"/>
            <w:lang w:val="en-US" w:eastAsia="en-US" w:bidi="ar-SA"/>
          </w:rPr>
          <w:t>[2002] B.C.J. No. 608</w:t>
        </w:r>
      </w:hyperlink>
      <w:r>
        <w:rPr>
          <w:rFonts w:ascii="arial" w:eastAsia="arial" w:hAnsi="arial" w:cs="arial"/>
          <w:color w:val="000000"/>
          <w:sz w:val="20"/>
          <w:lang w:val="en-US" w:eastAsia="en-US" w:bidi="ar-SA"/>
        </w:rPr>
        <w:t>. Again in this case, the plaintiff claimed long-term disability benefits under the terms of a contract of insurance with the defendant. Master Doolan in this case held that the case involved, and the primary issue potentially before the jury was, applying the undisputed terms of an insurance policy to the facts. In other words, as in Penner noted above, the issue was not the interpretation of the contract but whether on the facts the contract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most of the case law provided, with the exception of Manley, supra, there was a contract. The parties in all those cases knew what that contract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present case, that is not so. That makes this case more akin to a Manley type of situation. Here, the trier of fact will have to determine what the contract is. Was it, as alleged by the plaintiff, a rental contract with a provision that as part of the rental arrangement, the defendant would upgrade the water system. Or, was it a contract for the sale of land in which the money advanced formed part of the agreed purchase price. A trier of fact would have to determine all the essential terms of a contract -- was there an offer and was there acceptance, what are the specific terms as to completion and what was the nature of the $90,000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this case, the sole issues relates to the construction of the contract. In most of the cases cited by counsel the terms of the contract were really secondary issues. It was a question of whether or not the plaintiff was qualified under the terms of the contract or whether or not there were other obligations which arose as a result of the contractual relationship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Manley, supra, there was an issue raised in the pleadings of a contract between the plaintiff and the defendant doctor based on the Medical Services Plan premiums. This is perhaps similar to the case at bar. The similarities exist in that in Manley, the plaintiff was alleging contractual damages based on the alleged contract. However, in Manley, and as was clear to Bauman, J. in his decision, there was also a claim in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related to a breach of the standard of care. There were really two significant heads of damages claimed. Bauman, J., in determining that the principal issue was not the interpretation of the contract, noted in paragraph 34,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 the issue for the jury will not revolve around construing the terms of any contract between the parties. It will rather revolve around the question of whether there was a contract (a mixed question of fact in (sic) law) and whether it was breached - the latter being the same question a jury would answer in tort in the context of the duty of care. And, in any event, even accepting that there might be some interpretation issues presented, on the facts these will not be the sole or principal issues for the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my view, in the present case, there is no conceivable way in which the trier of fact would not be called upon to interpret and construe the terms of a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this case the principal issue is what is the contract, when was it entered into, what are the terms and does it relate to the sale of land or does it relate to the rental of land? I am convinced on these facts that the principal issue in dispute between the parties is the construction of an oral contract and as a result this matter cannot be heard by a jury pursuant to Rule 39(25).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would further add that based on the defendants' counterclaim, there is a claim based on an oral contract for the sale of land. In addition to what is noted above, based on the counterclaim, the jury would be left with the requirement to consider s. 59 of the Law and Equity Act,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This too offends Rule 39(27) by virtue of Rule 10(1) as the jury would be required to construe an enactment, though that is arguably not the principal issue before the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application of the plaintiff to strike the jury notice is granted, with costs to the plaintiff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GROVES</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2" style="position:absolute;z-index:2518824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5"/>
          <w:headerReference w:type="default" r:id="rId516"/>
          <w:footerReference w:type="even" r:id="rId517"/>
          <w:footerReference w:type="default" r:id="rId518"/>
          <w:headerReference w:type="first" r:id="rId519"/>
          <w:footerReference w:type="first" r:id="rId52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21" w:history="1">
        <w:r>
          <w:rPr>
            <w:rFonts w:ascii="arial" w:eastAsia="arial" w:hAnsi="arial" w:cs="arial"/>
            <w:b/>
            <w:bCs/>
            <w:i/>
            <w:color w:val="0077CC"/>
            <w:kern w:val="32"/>
            <w:sz w:val="28"/>
            <w:szCs w:val="32"/>
            <w:u w:val="single"/>
            <w:shd w:val="clear" w:color="auto" w:fill="FFFFFF"/>
            <w:lang w:val="en-US" w:eastAsia="en-US" w:bidi="ar-SA"/>
          </w:rPr>
          <w:t>British Columbia v. British Columbia Rapid Transit Co., [2013] B.C.J. No. 1941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 Gray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3 and 4,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4,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S125220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1941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1602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56 B.C.L.R. (5th) 347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232 A.C.W.S. (3d) 260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CarswellBC 2663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British Columbia Rapid Transit Company, Greater Vancouver Transportation Authority doing business as Translink, Appellant, and Her Majesty the Queen in the Right of the Province of British Columbia,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3"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8" w:name="Keywords_30"/>
      <w:bookmarkEnd w:id="208"/>
      <w:r>
        <w:rPr>
          <w:rFonts w:ascii="arial" w:eastAsia="arial" w:hAnsi="arial" w:cs="arial"/>
          <w:b/>
          <w:color w:val="000000"/>
          <w:sz w:val="20"/>
          <w:lang w:val="en-US" w:eastAsia="en-US" w:bidi="ar-SA"/>
        </w:rPr>
        <w:t>Health law — Health insurance, government — Subrogated claims and direct cause of action — Appeal by transit company ("Translink") from award in favour of Province under s. 13 of Health Care Cost Recovery Act for cost of healthcare services paid to transit user, who settled with Translink for injuries sustained on Translink property dismissed — Translink had not provided Province notice of settlement with transit user — Act clearly imposed obligation to give notice of settlement and gave Province right to recover health care costs as debt if notice not given — No reason to exclude settlements of actions commenced prior to Act coming into force — Obligation to give notice of settlement was not retroactive.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Statutory interpretation — Statutes — Construction — Inconsistency — Operation of — Retroactivity and retrospectivity — Appeal by transit company ("Translink") from award in favour of Province under s. 13 of Health Care Cost Recovery Act for cost of healthcare services paid to transit user, who settled with Translink for injuries sustained on Translink property dismissed — Translink had not provided Province notice of settlement with transit user — Act clearly imposed obligation to give notice of settlement and gave Province right to recover health care costs as debt if notice not given — No reason to exclude settlements of actions commenced prior to Act coming into force — Obligation to give notice of settlement was not retroactive.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9" w:name="Case Summary_30"/>
            <w:bookmarkEnd w:id="20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British Columbia Rapid Transit Co ("Translink") from an award in favour of the Province under s. 13 of the Health Care Cost Recovery Act for costs for healthcare services paid to a transit user, who sued Translink for injuries she claimed she suffered as a result of a fall on Translink property. In July 2007, a transit user fell on Translink property. In February 2009, she commenced a lawsuit against Translink claiming damages under the Occupier's Liability Act. Subsequently, the transit user's counsel notified the Province of the claim and was advised that the Province did not require notice because the lawsuit was commenced before the Health Care Costs Recovery Act came into force, but that the Province required notice before a settlement was entered into. In February 2010, the Province commenced a lawsuit against Translink claiming the right to recover the transit user's health care costs arising from the fall. However, the documents were not served until after January 13, 2011. In December 2010, the transit user and Translink settled the claim. The Province was advised of the settlement. Subsequently, the Province amended its claim to substitute a claim against Translink for debt pursuant to s. 13 of the Act in place of a claim under s. 8. The judge allowed the Province's action finding that Translink and the transit user entered into a settlement and Translink failed to give the Province notice as required by s. 13(1) of the Act. As a result, the judge concluded that the Province had a right under s. 13(5) of the Act to recover health care costs from Translink. Translink sought to appeal the award on the basis that the settlement was not subject to s. 13 of the Act because the lawsuit was in existence at the time that the Act came into force.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0" w:name="Holdings of Court_28"/>
            <w:bookmarkEnd w:id="210"/>
            <w:r>
              <w:rPr>
                <w:rFonts w:ascii="arial" w:eastAsia="arial" w:hAnsi="arial" w:cs="arial"/>
                <w:color w:val="000000"/>
                <w:sz w:val="20"/>
                <w:lang w:val="en-US" w:eastAsia="en-US" w:bidi="ar-SA"/>
              </w:rPr>
              <w:t>HELD: Appeal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clear words of ss. 13 and 24 of the Health Care Recovery Act imposed an obligation on payor-settlers to give notice to the Minister of settlements, and if the payor-settler failed to give the prescribed notice, the Province had the right to recover health care costs as a debt from the payor-settler. There was no reason to exclude the settlement of pre-coming into force lawsuits from the group of settlements referred to in s. 13. Such obligation to give notice and right for Province to recover health care costs from the Payor-Settler were consistent with the object of the Act of recovering health care costs from wrongdoers. Such obligation was not retroactive because it affected conduct that occurred after the coming into force date, such conduct being the settling of claims. Section 13 impaired the common law right to settle lawsuits, but the words of the statute stated that clearly, and it was consistent with the object of the Act.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1" w:name="Legislation Cited_20"/>
      <w:bookmarkEnd w:id="21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4"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Health Care Costs Recovery Act, </w:t>
      </w:r>
      <w:hyperlink r:id="rId522" w:history="1">
        <w:r>
          <w:rPr>
            <w:rFonts w:ascii="arial" w:eastAsia="arial" w:hAnsi="arial" w:cs="arial"/>
            <w:i/>
            <w:color w:val="0077CC"/>
            <w:sz w:val="20"/>
            <w:u w:val="single"/>
            <w:shd w:val="clear" w:color="auto" w:fill="FFFFFF"/>
            <w:lang w:val="en-US" w:eastAsia="en-US" w:bidi="ar-SA"/>
          </w:rPr>
          <w:t>SBC 2008, CHAPTER 27, ss. 1</w:t>
        </w:r>
      </w:hyperlink>
      <w:r>
        <w:rPr>
          <w:rFonts w:ascii="arial" w:eastAsia="arial" w:hAnsi="arial" w:cs="arial"/>
          <w:color w:val="000000"/>
          <w:sz w:val="20"/>
          <w:lang w:val="en-US" w:eastAsia="en-US" w:bidi="ar-SA"/>
        </w:rPr>
        <w:t>-13, s. 2, s. 3, s. 3(1), ss. 3-5, s. 6(1), s. 7, s. 8, s. 8(2), s. 8(5), s. 8(5)(b)(v), s. 13, s. 13(1), s. 13(1)(a), s. 13(1)(b), s. 13(3), s. 13(4), s. 13(5), s. 13(8), s. 13(9), s. 17, s. 24, s. 24(2)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r>
        <w:rPr>
          <w:rFonts w:ascii="arial" w:eastAsia="arial" w:hAnsi="arial" w:cs="arial"/>
          <w:i/>
          <w:color w:val="000000"/>
          <w:sz w:val="20"/>
          <w:lang w:val="en-US" w:eastAsia="en-US" w:bidi="ar-SA"/>
        </w:rPr>
        <w:t>RSBC 1996, CHAPTER 337</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spacing w:before="120" w:line="260" w:lineRule="atLeast"/>
              <w:ind w:left="240"/>
              <w:rPr>
                <w:rFonts w:ascii="arial" w:eastAsia="arial" w:hAnsi="arial" w:cs="arial"/>
                <w:sz w:val="20"/>
                <w:lang w:val="en-US" w:eastAsia="en-US" w:bidi="ar-SA"/>
              </w:rPr>
            </w:pPr>
            <w:r>
              <w:rPr>
                <w:rFonts w:ascii="arial" w:eastAsia="arial" w:hAnsi="arial" w:cs="arial"/>
                <w:b/>
                <w:color w:val="000000"/>
                <w:sz w:val="20"/>
                <w:lang w:val="en-US" w:eastAsia="en-US" w:bidi="ar-SA"/>
              </w:rPr>
              <w:t>Appeal From:</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appeal from: An order of the Provincial Court of British Columbia, dated June 21, 2012 (Translink v. Her Majesty the Queen in Right of the Province of British Columbia, Vancouver Registry No. 1029231).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2" w:name="Counsel_31"/>
      <w:bookmarkEnd w:id="21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5" style="position:absolute;z-index:251793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Appellant: T. Goepel.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E. Ross, P. Lawless.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3" w:name="Judgment_31"/>
      <w:bookmarkEnd w:id="213"/>
      <w:r>
        <w:pict>
          <v:line id="_x0000_s1176" style="position:absolute;z-index:2518435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4" w:name="GRAY J."/>
            <w:bookmarkEnd w:id="214"/>
            <w:r>
              <w:rPr>
                <w:rFonts w:ascii="arial" w:eastAsia="arial" w:hAnsi="arial" w:cs="arial"/>
                <w:b/>
                <w:color w:val="000000"/>
                <w:sz w:val="30"/>
                <w:lang w:val="en-US" w:eastAsia="en-US" w:bidi="ar-SA"/>
              </w:rPr>
              <w:t>GRAY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Translink has appealed the decision of Judge Wingham dated June 21, 2012 in </w:t>
      </w:r>
      <w:r>
        <w:rPr>
          <w:rFonts w:ascii="arial" w:eastAsia="arial" w:hAnsi="arial" w:cs="arial"/>
          <w:i/>
          <w:color w:val="000000"/>
          <w:sz w:val="20"/>
          <w:lang w:val="en-US" w:eastAsia="en-US" w:bidi="ar-SA"/>
        </w:rPr>
        <w:t>Translink v. Her Majesty the Queen in Right of the Province of British Columbia</w:t>
      </w:r>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[2012] B.C.J. No. 1801</w:t>
        </w:r>
      </w:hyperlink>
      <w:r>
        <w:rPr>
          <w:rFonts w:ascii="arial" w:eastAsia="arial" w:hAnsi="arial" w:cs="arial"/>
          <w:color w:val="000000"/>
          <w:sz w:val="20"/>
          <w:lang w:val="en-US" w:eastAsia="en-US" w:bidi="ar-SA"/>
        </w:rPr>
        <w:t xml:space="preserve">, Provincial Court Action No. 1029231, Vancouver Registry ("Wingham Decision"). Translink's appeal was heard at the same time as the appeal by Her Majesty the Queen in the Right of the Province of British Columbia ("Province") of the decision of Judge Dohm dated July 31, 2012 in </w:t>
      </w:r>
      <w:r>
        <w:rPr>
          <w:rFonts w:ascii="arial" w:eastAsia="arial" w:hAnsi="arial" w:cs="arial"/>
          <w:i/>
          <w:color w:val="000000"/>
          <w:sz w:val="20"/>
          <w:lang w:val="en-US" w:eastAsia="en-US" w:bidi="ar-SA"/>
        </w:rPr>
        <w:t>Her Majesty the Queen in Right of the Province of British Columbia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Opel</w:t>
      </w:r>
      <w:r>
        <w:rPr>
          <w:rFonts w:ascii="arial" w:eastAsia="arial" w:hAnsi="arial" w:cs="arial"/>
          <w:color w:val="000000"/>
          <w:sz w:val="20"/>
          <w:lang w:val="en-US" w:eastAsia="en-US" w:bidi="ar-SA"/>
        </w:rPr>
        <w:t>, Provincial Court Action No. C62487, Nanaimo Registry ("Dohm Decision"). The hearing of the appeals occupied two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Both the Wingham Decision and the Dohm Decision raise questions of statutory interpretation of the </w:t>
      </w:r>
      <w:r>
        <w:rPr>
          <w:rFonts w:ascii="arial" w:eastAsia="arial" w:hAnsi="arial" w:cs="arial"/>
          <w:i/>
          <w:color w:val="000000"/>
          <w:sz w:val="20"/>
          <w:lang w:val="en-US" w:eastAsia="en-US" w:bidi="ar-SA"/>
        </w:rPr>
        <w:t>Health Care Costs Recovery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2008, c. 27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xml:space="preserve">"). In particular, they both raise questions relating to the effect of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xml:space="preserve"> in cases where a party was injured and commenced a lawsuit before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xml:space="preserve"> came into force, but settled his or her claim after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xml:space="preserve"> came into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xml:space="preserve"> permits the Province to recover health care costs ("HCC") from a wrongdoer who has caused injury to a beneficiary of the publicly funded health care system. I will refer to such a beneficiary as an "MSP Beneficiary". As stated by Prowse J.A. writing for the court in </w:t>
      </w:r>
      <w:r>
        <w:rPr>
          <w:rFonts w:ascii="arial" w:eastAsia="arial" w:hAnsi="arial" w:cs="arial"/>
          <w:i/>
          <w:color w:val="000000"/>
          <w:sz w:val="20"/>
          <w:lang w:val="en-US" w:eastAsia="en-US" w:bidi="ar-SA"/>
        </w:rPr>
        <w:t>British Columbia (Attorney General) v. Beacon Community Services Society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Beacon</w:t>
      </w:r>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2013 BCCA 317</w:t>
        </w:r>
      </w:hyperlink>
      <w:r>
        <w:rPr>
          <w:rFonts w:ascii="arial" w:eastAsia="arial" w:hAnsi="arial" w:cs="arial"/>
          <w:color w:val="000000"/>
          <w:sz w:val="20"/>
          <w:lang w:val="en-US" w:eastAsia="en-US" w:bidi="ar-SA"/>
        </w:rPr>
        <w:t xml:space="preserve"> at para. 4, "[t]he undisputed intent of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xml:space="preserve"> ] is to shift the burden of [HCC] from the public purse to wrongdoers who cause personal injury to [MSP Beneficiaries]."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xml:space="preserve"> does not apply to HCC provided in relation to the operation of a motor vehicle if the wrongdoer is insured by the Insurance Corporation of British Columbia ("ICBC") or if compensation is paid or payable by the Workers' Compensation Board, as set out in s. 24(3). As a result, most of the cases to which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xml:space="preserve"> applies are occupiers' liability claims and motor vehicle cases involving insurers other than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Both appeals raise questions regarding s. 13 of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xml:space="preserve">, while the Dohm Decision also raises issues concerning s. 8 of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The Dohm Decision expressly declined to follow the Wingham Decision regarding s.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Both appeals raise questions of law which must be decided on the standard of whether the decision under appeal was correct. See </w:t>
      </w:r>
      <w:r>
        <w:rPr>
          <w:rFonts w:ascii="arial" w:eastAsia="arial" w:hAnsi="arial" w:cs="arial"/>
          <w:i/>
          <w:color w:val="000000"/>
          <w:sz w:val="20"/>
          <w:lang w:val="en-US" w:eastAsia="en-US" w:bidi="ar-SA"/>
        </w:rPr>
        <w:t>Perfect Auto Repairs Ltd. v. Westway Roofing Ltd.</w:t>
      </w:r>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2005 BCSC 1627</w:t>
        </w:r>
      </w:hyperlink>
      <w:r>
        <w:rPr>
          <w:rFonts w:ascii="arial" w:eastAsia="arial" w:hAnsi="arial" w:cs="arial"/>
          <w:color w:val="000000"/>
          <w:sz w:val="20"/>
          <w:lang w:val="en-US" w:eastAsia="en-US" w:bidi="ar-SA"/>
        </w:rPr>
        <w:t xml:space="preserve"> at para. 5. The facts are not in dispute in either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Debra Brack allegedly fell on July 18, 2007 at Translink's Burrard Street Skytrain station in Vancouver,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On February 15, 2009, Ms. Brack commenced a lawsuit against Translink ("Brack's Lawsuit Against Translink") claiming damages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xml:space="preserve"> came into force on April 1, 2009. I will refer to that date as the "CIF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August 12, 2009, Ms. Brack's counsel notified the Province about her claim. On that same date the Province responded to Ms. Brack's counsel that notice was not required because the lawsuit began before the CIF Date, but that the Province required notice before a settlement was entered into.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Province commenced a lawsuit against Translink on February 5, 2010 ("Province's Brack HCC Lawsuit"), claiming the right to recover Ms. Brack's HCC arising from the July 18, 2007 fall pursuant to s. 8 of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However, the Province did not serve the documents or advise Translink of the Province's Brack HCC Lawsuit until after January 13,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December 2010, Ms. Brack and Translink settled Ms. Brack's claim, on terms that they have not revealed to the Province or the court except that Translink did not admit liability. It is Translink's position that the terms of settlement are privileged.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appears that Ms. Brack's counsel advised the Province of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On January 11, 2011, the Province notified Translink that the Province's position was that it was entitled to receive the prescribed notice of the settlement from Translink pursuant to s. 13 of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January 12, 2011, Translink advised the Province that Translink did not agree that it was required to either notify the Province of the settlement or obtain its approval to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January 13, 2011, the court pronounced an order dismissing Brack's Lawsuit Against Translink by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February 1, 2011, the Province amended its claims in the Province's Brack HCC Lawsuit to substitute a claim against Translink for debt pursuant to s. 13 in place of the claim under s.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June 12, 2012, Judge Wingham held that Translink and Ms. Brack entered into a settlement and Translink failed to give the Province the notice required by s. 13(1). Judge Wingham held that, consequently, the Province has a right under s. 13(5) to recover HCC from Translink. Judge Wingham directed the parties to fix a date for argument about the quantum of the HCC.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Wingham Decision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There may be cases where [an MSP Beneficiary] settles a claim for personal injury without an Action being commenced. If that occurs after the [CIF Date] the operation of section 24(1) and section 13 would require notice of the settlement to be provided.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in my view, is clear that it applies to any injury suffered by [an MSP Beneficiary] whether before or after the [CIF Date] (section 24(1)).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Similarly, a settlement may occur even though an Action has been commenced. In such a case, while the provisions of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dealing with the need to make a claim for [HCC] (section 3), notice of the proceeding (section 4) and notice of the final disposition of the legal proceeding may not apply, the [Minister's] right to notice of the proposed settlement under section 13 of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is unaffected.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To conclude otherwise would, in my view, be illogical and would be inconsistent with the object of the statute, that being the recovery of costs paid by the government to [an MSP Beneficiary] under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where those costs are incurred as a result of the wrongdoing of a third-party. The result would be that if a beneficiary commenced an action before the [CIF Date] the [Minister] would not be entitled to notice of any proposed settlement while if the [MSP Beneficiary] entered into negotiations without litigation having been commenced and entered into a proposed settlement the [Minister] would be entitled to notice of the proposed settlement and, failing such notice, would be entitled to bring an action against the person liable to pay under the proposed settlement.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I conclude that the mere fact that litigation was commenced prior to the [CIF Date] does not disentitle [the Minister] to notice under section 13 of a proposed settlement.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I conclude that [Translink] and Deborah Brack entered into a settlement of a personal injury claim within the meaning of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and that [Translink] failed to provide notice of the proposed settlement to the Province under section 13(1) of that Act. Consequently, I conclude that the Province has a right, under section 13(5) of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to recover from [Translink] the total amount of past and future [HCC] relating to Ms. Brack's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The issue as to the quantum of those costs remains to be argued and I direct the parties to attend with the judicial case manager to fix a date to argue the issue of quantum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Dohm Decision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At para. 37 [of </w:t>
      </w:r>
      <w:r>
        <w:rPr>
          <w:rFonts w:ascii="arial" w:eastAsia="arial" w:hAnsi="arial" w:cs="arial"/>
          <w:i/>
          <w:color w:val="000000"/>
          <w:sz w:val="20"/>
          <w:lang w:val="en-US" w:eastAsia="en-US" w:bidi="ar-SA"/>
        </w:rPr>
        <w:t>Gosselin</w:t>
      </w:r>
      <w:r>
        <w:rPr>
          <w:rFonts w:ascii="arial" w:eastAsia="arial" w:hAnsi="arial" w:cs="arial"/>
          <w:color w:val="000000"/>
          <w:sz w:val="20"/>
          <w:lang w:val="en-US" w:eastAsia="en-US" w:bidi="ar-SA"/>
        </w:rPr>
        <w:t>], Sewell J. dealt with the presumption against retrospectivity ... and applied that presumption to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My review of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leads me to conclude that it is not clearly and unambiguously intended to apply to actions commenced before the Act came into force. The presumption against retrospectivity set out in the cases referred to above together with the internal indications in the Act itself lead me to conclude that s. 2 of the Act has no application to Actions commenced prior to the Act coming into force.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I find that reasoning persuasive.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Giving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as a whole its plain meaning, I find that s. 24(2) of the Act is merely a transitional provision. It exempts from the application of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sections 3, 4, and 5 specifically. Giving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this reading avoids the absurdity concern which led to the result in [the Wingham Decision]. Moreover, it gives effect to the whole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without importing any retroactive application. This possible interpretation does not appear to have been put before my brother judge in [the Wingham 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The submission that s. 13 gives rise to a second independent cause of action which is not subject to s. 24(2) cannot survive this analysis. If, as I have found, the notice requirements of sections 3, 4 and 5 do not apply in relation to legal proceedings commenced before s. 24(2) came into force, then s. 13 must have no retrospective effect. I conclude that Section 13 plainly and simply applies to cases which have arisen since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came into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Translink's position is that the settlement of a lawsuit which was in existence at the CIF Date ("Pre-CIF Lawsuit") is not subject to s. 13 of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xml:space="preserve"> Translink's position is that applying s. 13 to the settlement of a Pre-CIF Lawsuit is contrary to this court's decision in </w:t>
      </w:r>
      <w:r>
        <w:rPr>
          <w:rFonts w:ascii="arial" w:eastAsia="arial" w:hAnsi="arial" w:cs="arial"/>
          <w:i/>
          <w:color w:val="000000"/>
          <w:sz w:val="20"/>
          <w:lang w:val="en-US" w:eastAsia="en-US" w:bidi="ar-SA"/>
        </w:rPr>
        <w:t>Gosselin v. Sheppard</w:t>
      </w:r>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2010 BCSC 755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Gosselin</w:t>
      </w:r>
      <w:r>
        <w:rPr>
          <w:rFonts w:ascii="arial" w:eastAsia="arial" w:hAnsi="arial" w:cs="arial"/>
          <w:color w:val="000000"/>
          <w:sz w:val="20"/>
          <w:lang w:val="en-US" w:eastAsia="en-US" w:bidi="ar-SA"/>
        </w:rPr>
        <w:t>], leads to absurd results, has a retrospective effect which is not necessary, and is an unwarranted violation of the common law rights of private parties to enter freely into contracts of their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Province's position is that s. 13 creates obligations and gives the Province rights in respect of all settlements which are made following the CIF Date. The Province's position is that applying s. 13 to the settlement of a Pre-CIF lawsuit is consistent with the decision in </w:t>
      </w:r>
      <w:r>
        <w:rPr>
          <w:rFonts w:ascii="arial" w:eastAsia="arial" w:hAnsi="arial" w:cs="arial"/>
          <w:i/>
          <w:color w:val="000000"/>
          <w:sz w:val="20"/>
          <w:lang w:val="en-US" w:eastAsia="en-US" w:bidi="ar-SA"/>
        </w:rPr>
        <w:t>Gosselin,</w:t>
      </w:r>
      <w:r>
        <w:rPr>
          <w:rFonts w:ascii="arial" w:eastAsia="arial" w:hAnsi="arial" w:cs="arial"/>
          <w:color w:val="000000"/>
          <w:sz w:val="20"/>
          <w:lang w:val="en-US" w:eastAsia="en-US" w:bidi="ar-SA"/>
        </w:rPr>
        <w:t xml:space="preserve"> does not lead to absurd results, does not have a retrospective effect, and reflects the legislature's choice to affect the common law rights of parties entering into settlement of claims in which an MSP Beneficiary may have received or may in future receive HCC.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 discuss </w:t>
      </w:r>
      <w:r>
        <w:rPr>
          <w:rFonts w:ascii="arial" w:eastAsia="arial" w:hAnsi="arial" w:cs="arial"/>
          <w:i/>
          <w:color w:val="000000"/>
          <w:sz w:val="20"/>
          <w:lang w:val="en-US" w:eastAsia="en-US" w:bidi="ar-SA"/>
        </w:rPr>
        <w:t>Gosselin</w:t>
      </w:r>
      <w:r>
        <w:rPr>
          <w:rFonts w:ascii="arial" w:eastAsia="arial" w:hAnsi="arial" w:cs="arial"/>
          <w:color w:val="000000"/>
          <w:sz w:val="20"/>
          <w:lang w:val="en-US" w:eastAsia="en-US" w:bidi="ar-SA"/>
        </w:rPr>
        <w:t xml:space="preserve"> and the cases which follow it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basic principles of statutory interpretation are not in issue, but the parties differ on their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It is common ground that the proper approach to statutory interpretation is that set out in </w:t>
      </w:r>
      <w:r>
        <w:rPr>
          <w:rFonts w:ascii="arial" w:eastAsia="arial" w:hAnsi="arial" w:cs="arial"/>
          <w:i/>
          <w:color w:val="000000"/>
          <w:sz w:val="20"/>
          <w:lang w:val="en-US" w:eastAsia="en-US" w:bidi="ar-SA"/>
        </w:rPr>
        <w:t>BellExpress Vu Limited Partnership v. Rex</w:t>
      </w:r>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2002 SCC 42</w:t>
        </w:r>
      </w:hyperlink>
      <w:r>
        <w:rPr>
          <w:rFonts w:ascii="arial" w:eastAsia="arial" w:hAnsi="arial" w:cs="arial"/>
          <w:color w:val="000000"/>
          <w:sz w:val="20"/>
          <w:lang w:val="en-US" w:eastAsia="en-US" w:bidi="ar-SA"/>
        </w:rPr>
        <w:t xml:space="preserve"> at para. 26, namely,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words of an Act are to be read in their entire context and in their grammatical and ordinary sense harmoniously with the scheme of the Act, the object of the Act, and the intention of Parliament.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It is also common ground that in interpreting legislation, the court should bear in mind that the legislature does not intend to produce absurd consequences. In </w:t>
      </w:r>
      <w:r>
        <w:rPr>
          <w:rFonts w:ascii="arial" w:eastAsia="arial" w:hAnsi="arial" w:cs="arial"/>
          <w:i/>
          <w:color w:val="000000"/>
          <w:sz w:val="20"/>
          <w:lang w:val="en-US" w:eastAsia="en-US" w:bidi="ar-SA"/>
        </w:rPr>
        <w:t>Rizzo v. Rizzo Shoes Ltd.</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[1998] 1 S.C.R. 27</w:t>
        </w:r>
      </w:hyperlink>
      <w:r>
        <w:rPr>
          <w:rFonts w:ascii="arial" w:eastAsia="arial" w:hAnsi="arial" w:cs="arial"/>
          <w:color w:val="000000"/>
          <w:sz w:val="20"/>
          <w:lang w:val="en-US" w:eastAsia="en-US" w:bidi="ar-SA"/>
        </w:rPr>
        <w:t>, Iacobucci J. wrote as follows at para.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consequences or effects which result from the Court of Appeal's interpretation of ss. 40 and 40</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xml:space="preserve"> of the ESA are incompatible with both the object of the Act and with the object of the termination and severance pay provisions themselves. It is a well established principle of statutory interpretation that the legislature does not intend to produce absurd consequences. According to Côté,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 interpretation can be considered absurd if it leads to ridiculous or frivolous consequences, if it is extremely unreasonable or inequitable, if it is illogical or incoherent, or if it is incompatible with other provisions or with the object of the legislative enactment (at pp. 378-80). Sullivan echoes these comments noting that a label of absurdity can be attached to interpretations which defeat the purpose of a statute or render some aspect of it pointless or futile (Sullivan, </w:t>
      </w:r>
      <w:r>
        <w:rPr>
          <w:rFonts w:ascii="arial" w:eastAsia="arial" w:hAnsi="arial" w:cs="arial"/>
          <w:i/>
          <w:color w:val="000000"/>
          <w:sz w:val="20"/>
          <w:lang w:val="en-US" w:eastAsia="en-US" w:bidi="ar-SA"/>
        </w:rPr>
        <w:t>Construction of Statutes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 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principle of statutory construction that the court should presume that the legislature did not intend a statute to have retroactive effect was well-summarized by Sewell J, in </w:t>
      </w:r>
      <w:r>
        <w:rPr>
          <w:rFonts w:ascii="arial" w:eastAsia="arial" w:hAnsi="arial" w:cs="arial"/>
          <w:i/>
          <w:color w:val="000000"/>
          <w:sz w:val="20"/>
          <w:lang w:val="en-US" w:eastAsia="en-US" w:bidi="ar-SA"/>
        </w:rPr>
        <w:t>Gosselin</w:t>
      </w:r>
      <w:r>
        <w:rPr>
          <w:rFonts w:ascii="arial" w:eastAsia="arial" w:hAnsi="arial" w:cs="arial"/>
          <w:color w:val="000000"/>
          <w:sz w:val="20"/>
          <w:lang w:val="en-US" w:eastAsia="en-US" w:bidi="ar-SA"/>
        </w:rPr>
        <w:t xml:space="preserve"> at paras. 24-27,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The second principle of statutory construction is the presumption that in the absence of express words to the contrary a statutory change in the law is presumed not to have retrospective effect. Counsel for the defendants cited a number of decisions in support of the presumption including the decisions of the British Columbia Court of Appeal in </w:t>
      </w:r>
      <w:r>
        <w:rPr>
          <w:rFonts w:ascii="arial" w:eastAsia="arial" w:hAnsi="arial" w:cs="arial"/>
          <w:i/>
          <w:color w:val="000000"/>
          <w:sz w:val="20"/>
          <w:lang w:val="en-US" w:eastAsia="en-US" w:bidi="ar-SA"/>
        </w:rPr>
        <w:t>Hornby Island Trust Committee v. Stormwell</w:t>
      </w:r>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(1998), 30 B.C.L.R. (2d) 383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Krangle (Guardian ad litem) v. Brisco</w:t>
      </w:r>
      <w:r>
        <w:rPr>
          <w:rFonts w:ascii="arial" w:eastAsia="arial" w:hAnsi="arial" w:cs="arial"/>
          <w:color w:val="000000"/>
          <w:sz w:val="20"/>
          <w:lang w:val="en-US" w:eastAsia="en-US" w:bidi="ar-SA"/>
        </w:rPr>
        <w:t xml:space="preserve"> </w:t>
      </w:r>
      <w:hyperlink r:id="rId530" w:history="1">
        <w:r>
          <w:rPr>
            <w:rFonts w:ascii="arial" w:eastAsia="arial" w:hAnsi="arial" w:cs="arial"/>
            <w:i/>
            <w:color w:val="0077CC"/>
            <w:sz w:val="20"/>
            <w:u w:val="single"/>
            <w:shd w:val="clear" w:color="auto" w:fill="FFFFFF"/>
            <w:lang w:val="en-US" w:eastAsia="en-US" w:bidi="ar-SA"/>
          </w:rPr>
          <w:t>2000 BCCA 147</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In </w:t>
      </w:r>
      <w:r>
        <w:rPr>
          <w:rFonts w:ascii="arial" w:eastAsia="arial" w:hAnsi="arial" w:cs="arial"/>
          <w:i/>
          <w:color w:val="000000"/>
          <w:sz w:val="20"/>
          <w:lang w:val="en-US" w:eastAsia="en-US" w:bidi="ar-SA"/>
        </w:rPr>
        <w:t>Krangle</w:t>
      </w:r>
      <w:r>
        <w:rPr>
          <w:rFonts w:ascii="arial" w:eastAsia="arial" w:hAnsi="arial" w:cs="arial"/>
          <w:color w:val="000000"/>
          <w:sz w:val="20"/>
          <w:lang w:val="en-US" w:eastAsia="en-US" w:bidi="ar-SA"/>
        </w:rPr>
        <w:t xml:space="preserve"> Chief Justice McEachern, although in dissent, summarized the underlying principle as follows: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There is a great deal of jurisprudence supporting this principle. It was explained in the following terms by Duff C.J.C. in Spooner Oils Ltd. v. Turner Valley Gas Conservation Board, </w:t>
      </w:r>
      <w:hyperlink r:id="rId531" w:history="1">
        <w:r>
          <w:rPr>
            <w:rFonts w:ascii="arial" w:eastAsia="arial" w:hAnsi="arial" w:cs="arial"/>
            <w:i/>
            <w:color w:val="0077CC"/>
            <w:sz w:val="20"/>
            <w:u w:val="single"/>
            <w:shd w:val="clear" w:color="auto" w:fill="FFFFFF"/>
            <w:lang w:val="en-US" w:eastAsia="en-US" w:bidi="ar-SA"/>
          </w:rPr>
          <w:t>[1933] S.C.R. 629</w:t>
        </w:r>
      </w:hyperlink>
      <w:r>
        <w:rPr>
          <w:rFonts w:ascii="arial" w:eastAsia="arial" w:hAnsi="arial" w:cs="arial"/>
          <w:color w:val="000000"/>
          <w:sz w:val="20"/>
          <w:lang w:val="en-US" w:eastAsia="en-US" w:bidi="ar-SA"/>
        </w:rPr>
        <w:t xml:space="preserve"> at 638:</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legislative enactment is not to be read as prejudicially affecting accrued rights, or "an existing status" (Main v. Stark, </w:t>
      </w:r>
      <w:hyperlink r:id="rId532" w:history="1">
        <w:r>
          <w:rPr>
            <w:rFonts w:ascii="arial" w:eastAsia="arial" w:hAnsi="arial" w:cs="arial"/>
            <w:i/>
            <w:color w:val="0077CC"/>
            <w:sz w:val="20"/>
            <w:u w:val="single"/>
            <w:shd w:val="clear" w:color="auto" w:fill="FFFFFF"/>
            <w:lang w:val="en-US" w:eastAsia="en-US" w:bidi="ar-SA"/>
          </w:rPr>
          <w:t>15 App. Cas. 384</w:t>
        </w:r>
      </w:hyperlink>
      <w:r>
        <w:rPr>
          <w:rFonts w:ascii="arial" w:eastAsia="arial" w:hAnsi="arial" w:cs="arial"/>
          <w:sz w:val="20"/>
          <w:lang w:val="en-US" w:eastAsia="en-US" w:bidi="ar-SA"/>
        </w:rPr>
        <w:t xml:space="preserve">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7" type="#_x0000_t75" style="width:11pt;height:10pt">
            <v:imagedata r:id="rId533" o:title=""/>
          </v:shape>
        </w:pict>
      </w:r>
      <w:r>
        <w:rPr>
          <w:rFonts w:ascii="arial" w:eastAsia="arial" w:hAnsi="arial" w:cs="arial"/>
          <w:color w:val="000000"/>
          <w:sz w:val="20"/>
          <w:lang w:val="en-US" w:eastAsia="en-US" w:bidi="ar-SA"/>
        </w:rPr>
        <w:t>, at 388) language in which it is expressed requires such a construction. The rule is described by Coke as a "law of Parliament" (2 Inst. 292), meaning, no doubt, that it is a rule based on the practice of Parliament; the underlying assumption being that, when Parliament intends prejudicially to affect such rights or such a status, it declares its intention expressly, unless, at all events, that intention is plainly manifested by unavoidable inference.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Gustavson, </w:t>
      </w:r>
      <w:hyperlink r:id="rId534" w:history="1">
        <w:r>
          <w:rPr>
            <w:rFonts w:ascii="arial" w:eastAsia="arial" w:hAnsi="arial" w:cs="arial"/>
            <w:i/>
            <w:color w:val="0077CC"/>
            <w:sz w:val="20"/>
            <w:u w:val="single"/>
            <w:shd w:val="clear" w:color="auto" w:fill="FFFFFF"/>
            <w:lang w:val="en-US" w:eastAsia="en-US" w:bidi="ar-SA"/>
          </w:rPr>
          <w:t>[1977] 1 S.C.R. 271</w:t>
        </w:r>
      </w:hyperlink>
      <w:r>
        <w:rPr>
          <w:rFonts w:ascii="arial" w:eastAsia="arial" w:hAnsi="arial" w:cs="arial"/>
          <w:color w:val="000000"/>
          <w:sz w:val="20"/>
          <w:lang w:val="en-US" w:eastAsia="en-US" w:bidi="ar-SA"/>
        </w:rPr>
        <w:t>, Dickson J. at p. 282 wrote:</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rule is that a statute should not be given a construction that would impair existing rights as regards person or property unless the language in which it is couched requires such a construction: Spooner Oils Ltd. v. Turner Valley Gas Conservation Board at p. 638. </w:t>
      </w:r>
      <w:r>
        <w:rPr>
          <w:rFonts w:ascii="arial" w:eastAsia="arial" w:hAnsi="arial" w:cs="arial"/>
          <w:color w:val="000000"/>
          <w:sz w:val="20"/>
          <w:u w:val="single"/>
          <w:lang w:val="en-US" w:eastAsia="en-US" w:bidi="ar-SA"/>
        </w:rPr>
        <w:t>The presumption that vested rights are not affected unless the intention of the legislature is clear applies whether the legislation is retrospective or prospective in operation ...</w:t>
      </w:r>
      <w:r>
        <w:rPr>
          <w:rFonts w:ascii="arial" w:eastAsia="arial" w:hAnsi="arial" w:cs="arial"/>
          <w:color w:val="000000"/>
          <w:sz w:val="20"/>
          <w:lang w:val="en-US" w:eastAsia="en-US" w:bidi="ar-SA"/>
        </w:rPr>
        <w:t xml:space="preserve"> (Emphasis added.)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Dreidger, 3d ed., at 530 explains the principle as follows: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deprive individuals of existing interests or expectations that have economic value is akin to expropriation without compensation, which has never been favoured by law. To worsen the position of individuals by changing the legal rules on which they relied in arranging their affairs is arbitrary and unfair. Where the application of new legislation creates special prejudice for some, or windfalls for others, the burdens and benefits of the new law are not rationally or fairly distributed. These effects may be hard on the individuals involved and they undermine the general security and stability of the law. For these reasons interference with vested rights is avoided in the absence of a clear legislative directive.</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principle itself seems clear enough. The difficulty, however, is in identifying the kinds of rights that will be protected by the principle. Academics and others have debated this requirement in various writings but I find much more assistance in the decided cases, many of which recognize immunity from suit as a vested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In </w:t>
      </w:r>
      <w:r>
        <w:rPr>
          <w:rFonts w:ascii="arial" w:eastAsia="arial" w:hAnsi="arial" w:cs="arial"/>
          <w:i/>
          <w:color w:val="000000"/>
          <w:sz w:val="20"/>
          <w:lang w:val="en-US" w:eastAsia="en-US" w:bidi="ar-SA"/>
        </w:rPr>
        <w:t>Martin v Perrie</w:t>
      </w:r>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[1986] 1 S.C.R. 41</w:t>
        </w:r>
      </w:hyperlink>
      <w:r>
        <w:rPr>
          <w:rFonts w:ascii="arial" w:eastAsia="arial" w:hAnsi="arial" w:cs="arial"/>
          <w:color w:val="000000"/>
          <w:sz w:val="20"/>
          <w:lang w:val="en-US" w:eastAsia="en-US" w:bidi="ar-SA"/>
        </w:rPr>
        <w:t xml:space="preserve">, the Supreme Court also reaffirmed the passage from Chief Justice Duff's decision in </w:t>
      </w:r>
      <w:r>
        <w:rPr>
          <w:rFonts w:ascii="arial" w:eastAsia="arial" w:hAnsi="arial" w:cs="arial"/>
          <w:i/>
          <w:color w:val="000000"/>
          <w:sz w:val="20"/>
          <w:lang w:val="en-US" w:eastAsia="en-US" w:bidi="ar-SA"/>
        </w:rPr>
        <w:t>Spooner Oils Ltd v. Turner Valley Gas Conservation Board</w:t>
      </w:r>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[1933] S.C.R. 629</w:t>
        </w:r>
      </w:hyperlink>
      <w:r>
        <w:rPr>
          <w:rFonts w:ascii="arial" w:eastAsia="arial" w:hAnsi="arial" w:cs="arial"/>
          <w:color w:val="000000"/>
          <w:sz w:val="20"/>
          <w:lang w:val="en-US" w:eastAsia="en-US" w:bidi="ar-SA"/>
        </w:rPr>
        <w:t xml:space="preserve">, quoted by Chief Justice McEachern in </w:t>
      </w:r>
      <w:r>
        <w:rPr>
          <w:rFonts w:ascii="arial" w:eastAsia="arial" w:hAnsi="arial" w:cs="arial"/>
          <w:i/>
          <w:color w:val="000000"/>
          <w:sz w:val="20"/>
          <w:lang w:val="en-US" w:eastAsia="en-US" w:bidi="ar-SA"/>
        </w:rPr>
        <w:t>Krangle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The authorities require me to read the words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 their entire context and in their grammatical and ordinary sense harmoniously with the scheme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object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the intention of the legislature. It is with respect to the last consideration, that is, the intention of the legislature, that I may take into account the presumption against retrospectivity.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Another principle of statutory interpretation is that common law rights are held not to have been taken away or affected by a statute unless it is so expressed in clear language, or must follow by necessary implication, and in such cases, only to such extent as may be necessary to give effect to the intention of the Legislature clearly manifested. See </w:t>
      </w:r>
      <w:r>
        <w:rPr>
          <w:rFonts w:ascii="arial" w:eastAsia="arial" w:hAnsi="arial" w:cs="arial"/>
          <w:i/>
          <w:color w:val="000000"/>
          <w:sz w:val="20"/>
          <w:lang w:val="en-US" w:eastAsia="en-US" w:bidi="ar-SA"/>
        </w:rPr>
        <w:t>Etobicoke (Township) Board of Education v. Highbury</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[1958] S.C.R. 196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Gosselin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Gosselin</w:t>
      </w:r>
      <w:r>
        <w:rPr>
          <w:rFonts w:ascii="arial" w:eastAsia="arial" w:hAnsi="arial" w:cs="arial"/>
          <w:color w:val="000000"/>
          <w:sz w:val="20"/>
          <w:lang w:val="en-US" w:eastAsia="en-US" w:bidi="ar-SA"/>
        </w:rPr>
        <w:t xml:space="preserve"> involved a Pre-CIF Lawsuit, but did not involve a settlement. Ms. Gosselin was an MSP Beneficiary. Ms. Gosselin alleged that she had been injured on June 7, 2005, and she started a lawsuit on March 1, 2007, both events being prior to the CIF Date. Ms. Gosselin sought to amend her Pre-CIF Lawsuit after the CIF Date to include a claim for HCC pursuant to s. 2 of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Justice Sewell. dismissed her application on the basis that s. 2 did not apply to Pre-CIF Lawsuits, even though s. 2 is not one of the sections which s. 24(2) specifically states does not apply to Pre-CIF Lawsuits.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Sewell J. wrote as follows at paras. 34-38: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It is difficult to discern any reason why the legislature would have intended to permit a beneficiary to amend her action to add a claim under s. 2 but exclude that claim from the balance of the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dealing with the conduct of claims for the cost of health care services. It is also to be noted that s. 2(1), which permits a beneficiary to recover the cost of health care services from a wrongdoer, is made expressly subject to ss. 6, 20 and 23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However s. 6 by its express terms applies only in relation to a legal proceeding referred to in s. 3(1). This is also the case with respect to s. 20(2) and s. 20(3) which deal only with judgments awarded in a legal proceeding referred to s. 3(1), or claims proceeded with directly by the government.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It seems to me that if the argument of the Attorney General is accepted the exposure of a defendant to a health care services claim will be entirely in the hands of a plaintiff and who has no obligation to make such claim and who cannot obtain any benefit from the advancement of such claim. This seems to be an anomalous result.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Not only is this result anomalous but it seems to me that it may well be fraught with the potential for injustice. The cost of health care services is in many cases very substantial. In this case, the costs exceed $200,000. The threat of amending pleadings to bring such a claim may well pressure a defendant to enter into a settlement agreement in respect of amounts that that defendant may not be justly obligated to pay. At the very least, the interpretation urged by the Attorney General will result in some defendants being exposed to claims for health care services costs and other defendants not being exposed to those costs, dependant entirely on the whim of individual plaintiffs.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My review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leads me to conclude that it is not clearly and unambiguously intended to apply to actions commenced before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came into force. The presumption against retrospectivity set out in the cases referred to above together with the internal indications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itself lead me to conclude that s. 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has no application to actions commenced prior to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coming into force.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 I therefore conclude that the amendment sought discloses no reasonable cause of action and dismiss the application for the amendment on that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other words, Sewell J. concluded that it was anomolous to permit an MSP Beneficiary to add a claim for HCC to a Pre-CIF Lawsuit when the legislature had specifically excluded Pre-CIF Lawsuits from ss. 3-5. The obligation of an MSP Beneficiary to claim HCC only arises pursuant to s. 3, and that section is not applicable to Pre-CIF Lawsuits.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As set out in para. 37, Sewell J. concluded that "s. 2 of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xml:space="preserve"> ] has no application to [Pre-CIF Lawsuits]." He did not consider s. 13 or address whether it applies to Pre-CIF Lawsuits. He limited his conclusion to whether s. 2 of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xml:space="preserve"> applied to Pre-CIF Lawsuits, and did not write in </w:t>
      </w:r>
      <w:r>
        <w:rPr>
          <w:rFonts w:ascii="arial" w:eastAsia="arial" w:hAnsi="arial" w:cs="arial"/>
          <w:i/>
          <w:color w:val="000000"/>
          <w:sz w:val="20"/>
          <w:lang w:val="en-US" w:eastAsia="en-US" w:bidi="ar-SA"/>
        </w:rPr>
        <w:t>Gosselin</w:t>
      </w:r>
      <w:r>
        <w:rPr>
          <w:rFonts w:ascii="arial" w:eastAsia="arial" w:hAnsi="arial" w:cs="arial"/>
          <w:color w:val="000000"/>
          <w:sz w:val="20"/>
          <w:lang w:val="en-US" w:eastAsia="en-US" w:bidi="ar-SA"/>
        </w:rPr>
        <w:t xml:space="preserve"> that the entire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xml:space="preserve"> had no application to Pre-CIF Lawsuits.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Fong v. Deglan</w:t>
      </w:r>
      <w:r>
        <w:rPr>
          <w:rFonts w:ascii="arial" w:eastAsia="arial" w:hAnsi="arial" w:cs="arial"/>
          <w:color w:val="000000"/>
          <w:sz w:val="20"/>
          <w:lang w:val="en-US" w:eastAsia="en-US" w:bidi="ar-SA"/>
        </w:rPr>
        <w:t xml:space="preserve">, </w:t>
      </w:r>
      <w:hyperlink r:id="rId537" w:history="1">
        <w:r>
          <w:rPr>
            <w:rFonts w:ascii="arial" w:eastAsia="arial" w:hAnsi="arial" w:cs="arial"/>
            <w:i/>
            <w:color w:val="0077CC"/>
            <w:sz w:val="20"/>
            <w:u w:val="single"/>
            <w:shd w:val="clear" w:color="auto" w:fill="FFFFFF"/>
            <w:lang w:val="en-US" w:eastAsia="en-US" w:bidi="ar-SA"/>
          </w:rPr>
          <w:t>2010 BCSC 756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Fong</w:t>
      </w:r>
      <w:r>
        <w:rPr>
          <w:rFonts w:ascii="arial" w:eastAsia="arial" w:hAnsi="arial" w:cs="arial"/>
          <w:color w:val="000000"/>
          <w:sz w:val="20"/>
          <w:lang w:val="en-US" w:eastAsia="en-US" w:bidi="ar-SA"/>
        </w:rPr>
        <w:t>], Sewell J. wrote as follows at paras.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In my view the issues raised in this application are identical to those raised in [</w:t>
      </w:r>
      <w:r>
        <w:rPr>
          <w:rFonts w:ascii="arial" w:eastAsia="arial" w:hAnsi="arial" w:cs="arial"/>
          <w:i/>
          <w:color w:val="000000"/>
          <w:sz w:val="20"/>
          <w:lang w:val="en-US" w:eastAsia="en-US" w:bidi="ar-SA"/>
        </w:rPr>
        <w:t>Gosselin</w:t>
      </w:r>
      <w:r>
        <w:rPr>
          <w:rFonts w:ascii="arial" w:eastAsia="arial" w:hAnsi="arial" w:cs="arial"/>
          <w:color w:val="000000"/>
          <w:sz w:val="20"/>
          <w:lang w:val="en-US" w:eastAsia="en-US" w:bidi="ar-SA"/>
        </w:rPr>
        <w:t>]. For the reasons which I set out in that application I order that this application be dismissed.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In this case the defendants raised an additional ground for opposing the amendment based on the pendency of the trial date. As I have decided that the Act has no application to actions commenced prior to its effective date I do not find it necessary to deal with that additional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Translink argued that </w:t>
      </w:r>
      <w:r>
        <w:rPr>
          <w:rFonts w:ascii="arial" w:eastAsia="arial" w:hAnsi="arial" w:cs="arial"/>
          <w:i/>
          <w:color w:val="000000"/>
          <w:sz w:val="20"/>
          <w:lang w:val="en-US" w:eastAsia="en-US" w:bidi="ar-SA"/>
        </w:rPr>
        <w:t>Fong</w:t>
      </w:r>
      <w:r>
        <w:rPr>
          <w:rFonts w:ascii="arial" w:eastAsia="arial" w:hAnsi="arial" w:cs="arial"/>
          <w:color w:val="000000"/>
          <w:sz w:val="20"/>
          <w:lang w:val="en-US" w:eastAsia="en-US" w:bidi="ar-SA"/>
        </w:rPr>
        <w:t xml:space="preserve"> therefore decides that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xml:space="preserve"> does not apply to Pre-CIF Lawsuits and could not apply to settlement of such lawsuits. In my view that is not a correct reading of </w:t>
      </w:r>
      <w:r>
        <w:rPr>
          <w:rFonts w:ascii="arial" w:eastAsia="arial" w:hAnsi="arial" w:cs="arial"/>
          <w:i/>
          <w:color w:val="000000"/>
          <w:sz w:val="20"/>
          <w:lang w:val="en-US" w:eastAsia="en-US" w:bidi="ar-SA"/>
        </w:rPr>
        <w:t>Fong</w:t>
      </w:r>
      <w:r>
        <w:rPr>
          <w:rFonts w:ascii="arial" w:eastAsia="arial" w:hAnsi="arial" w:cs="arial"/>
          <w:color w:val="000000"/>
          <w:sz w:val="20"/>
          <w:lang w:val="en-US" w:eastAsia="en-US" w:bidi="ar-SA"/>
        </w:rPr>
        <w:t xml:space="preserve">. The application in </w:t>
      </w:r>
      <w:r>
        <w:rPr>
          <w:rFonts w:ascii="arial" w:eastAsia="arial" w:hAnsi="arial" w:cs="arial"/>
          <w:i/>
          <w:color w:val="000000"/>
          <w:sz w:val="20"/>
          <w:lang w:val="en-US" w:eastAsia="en-US" w:bidi="ar-SA"/>
        </w:rPr>
        <w:t>Fong</w:t>
      </w:r>
      <w:r>
        <w:rPr>
          <w:rFonts w:ascii="arial" w:eastAsia="arial" w:hAnsi="arial" w:cs="arial"/>
          <w:color w:val="000000"/>
          <w:sz w:val="20"/>
          <w:lang w:val="en-US" w:eastAsia="en-US" w:bidi="ar-SA"/>
        </w:rPr>
        <w:t xml:space="preserve"> was dismissed for the reasons set out in </w:t>
      </w:r>
      <w:r>
        <w:rPr>
          <w:rFonts w:ascii="arial" w:eastAsia="arial" w:hAnsi="arial" w:cs="arial"/>
          <w:i/>
          <w:color w:val="000000"/>
          <w:sz w:val="20"/>
          <w:lang w:val="en-US" w:eastAsia="en-US" w:bidi="ar-SA"/>
        </w:rPr>
        <w:t>Gosselin</w:t>
      </w:r>
      <w:r>
        <w:rPr>
          <w:rFonts w:ascii="arial" w:eastAsia="arial" w:hAnsi="arial" w:cs="arial"/>
          <w:color w:val="000000"/>
          <w:sz w:val="20"/>
          <w:lang w:val="en-US" w:eastAsia="en-US" w:bidi="ar-SA"/>
        </w:rPr>
        <w:t>, which were that s. 2 does not apply to Pre-CIF Lawsuits. The case considered legal proceedings but not settlements.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Justice Sewell's reference in para. 4 of </w:t>
      </w:r>
      <w:r>
        <w:rPr>
          <w:rFonts w:ascii="arial" w:eastAsia="arial" w:hAnsi="arial" w:cs="arial"/>
          <w:i/>
          <w:color w:val="000000"/>
          <w:sz w:val="20"/>
          <w:lang w:val="en-US" w:eastAsia="en-US" w:bidi="ar-SA"/>
        </w:rPr>
        <w:t>Fong</w:t>
      </w:r>
      <w:r>
        <w:rPr>
          <w:rFonts w:ascii="arial" w:eastAsia="arial" w:hAnsi="arial" w:cs="arial"/>
          <w:color w:val="000000"/>
          <w:sz w:val="20"/>
          <w:lang w:val="en-US" w:eastAsia="en-US" w:bidi="ar-SA"/>
        </w:rPr>
        <w:t xml:space="preserve"> was a reference to his decision in </w:t>
      </w:r>
      <w:r>
        <w:rPr>
          <w:rFonts w:ascii="arial" w:eastAsia="arial" w:hAnsi="arial" w:cs="arial"/>
          <w:i/>
          <w:color w:val="000000"/>
          <w:sz w:val="20"/>
          <w:lang w:val="en-US" w:eastAsia="en-US" w:bidi="ar-SA"/>
        </w:rPr>
        <w:t>Gosselin</w:t>
      </w:r>
      <w:r>
        <w:rPr>
          <w:rFonts w:ascii="arial" w:eastAsia="arial" w:hAnsi="arial" w:cs="arial"/>
          <w:color w:val="000000"/>
          <w:sz w:val="20"/>
          <w:lang w:val="en-US" w:eastAsia="en-US" w:bidi="ar-SA"/>
        </w:rPr>
        <w:t xml:space="preserve">, and he summarized it as a decision that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xml:space="preserve"> has no application to Pre-CIF Lawsuits. That summary may have been an oversimplification because it does not refer specifically to s. 2, but a case is authority only for the issues it decided. The issue on appeal here relates to s. 13, which was not under consideration in either </w:t>
      </w:r>
      <w:r>
        <w:rPr>
          <w:rFonts w:ascii="arial" w:eastAsia="arial" w:hAnsi="arial" w:cs="arial"/>
          <w:i/>
          <w:color w:val="000000"/>
          <w:sz w:val="20"/>
          <w:lang w:val="en-US" w:eastAsia="en-US" w:bidi="ar-SA"/>
        </w:rPr>
        <w:t>Gosselin</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Fong</w:t>
      </w:r>
      <w:r>
        <w:rPr>
          <w:rFonts w:ascii="arial" w:eastAsia="arial" w:hAnsi="arial" w:cs="arial"/>
          <w:color w:val="000000"/>
          <w:sz w:val="20"/>
          <w:lang w:val="en-US" w:eastAsia="en-US" w:bidi="ar-SA"/>
        </w:rPr>
        <w:t xml:space="preserve">. The same comments apply to </w:t>
      </w:r>
      <w:r>
        <w:rPr>
          <w:rFonts w:ascii="arial" w:eastAsia="arial" w:hAnsi="arial" w:cs="arial"/>
          <w:i/>
          <w:color w:val="000000"/>
          <w:sz w:val="20"/>
          <w:lang w:val="en-US" w:eastAsia="en-US" w:bidi="ar-SA"/>
        </w:rPr>
        <w:t>Jack v. Tekavec</w:t>
      </w:r>
      <w:r>
        <w:rPr>
          <w:rFonts w:ascii="arial" w:eastAsia="arial" w:hAnsi="arial" w:cs="arial"/>
          <w:color w:val="000000"/>
          <w:sz w:val="20"/>
          <w:lang w:val="en-US" w:eastAsia="en-US" w:bidi="ar-SA"/>
        </w:rPr>
        <w:t xml:space="preserve">, </w:t>
      </w:r>
      <w:hyperlink r:id="rId538" w:history="1">
        <w:r>
          <w:rPr>
            <w:rFonts w:ascii="arial" w:eastAsia="arial" w:hAnsi="arial" w:cs="arial"/>
            <w:i/>
            <w:color w:val="0077CC"/>
            <w:sz w:val="20"/>
            <w:u w:val="single"/>
            <w:shd w:val="clear" w:color="auto" w:fill="FFFFFF"/>
            <w:lang w:val="en-US" w:eastAsia="en-US" w:bidi="ar-SA"/>
          </w:rPr>
          <w:t>2010 BCSC 1773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Translink's counsel referred to para. 15 of </w:t>
      </w:r>
      <w:r>
        <w:rPr>
          <w:rFonts w:ascii="arial" w:eastAsia="arial" w:hAnsi="arial" w:cs="arial"/>
          <w:i/>
          <w:color w:val="000000"/>
          <w:sz w:val="20"/>
          <w:lang w:val="en-US" w:eastAsia="en-US" w:bidi="ar-SA"/>
        </w:rPr>
        <w:t>Gosselin</w:t>
      </w:r>
      <w:r>
        <w:rPr>
          <w:rFonts w:ascii="arial" w:eastAsia="arial" w:hAnsi="arial" w:cs="arial"/>
          <w:color w:val="000000"/>
          <w:sz w:val="20"/>
          <w:lang w:val="en-US" w:eastAsia="en-US" w:bidi="ar-SA"/>
        </w:rPr>
        <w:t>, which refers to the government having only four different ways to recover HCC, and refers to s. 3(1) (which requires an MSP Beneficiary to include a HCC claim), s. 6(1) (which permits the government to intervene and assume conduct of the HCC portion of a s. 3 claim), s. 7 (which gives the government a subrogated right), and s. 8 (which gives the government a direct right of action against the wrongdoer). That list does not include s. 13. However, Sewell J. was not considering a case in which there had been a settlement or proceedings under s. 13, and the omission of s. 13 from that list is not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While the reasoning in </w:t>
      </w:r>
      <w:r>
        <w:rPr>
          <w:rFonts w:ascii="arial" w:eastAsia="arial" w:hAnsi="arial" w:cs="arial"/>
          <w:i/>
          <w:color w:val="000000"/>
          <w:sz w:val="20"/>
          <w:lang w:val="en-US" w:eastAsia="en-US" w:bidi="ar-SA"/>
        </w:rPr>
        <w:t>Gosselin</w:t>
      </w:r>
      <w:r>
        <w:rPr>
          <w:rFonts w:ascii="arial" w:eastAsia="arial" w:hAnsi="arial" w:cs="arial"/>
          <w:color w:val="000000"/>
          <w:sz w:val="20"/>
          <w:lang w:val="en-US" w:eastAsia="en-US" w:bidi="ar-SA"/>
        </w:rPr>
        <w:t xml:space="preserve"> is persuasive concerning s. 2 of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it does not address the effect of a post-CIF Date settlement of a Pre-CIF Lawsuit, and does not decide the issues in this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Absurdity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Translink argued that it would be absurd to interpret s. 13 to apply to the settlement of a claim made by an MSP Beneficiary in a Pre-CIF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Counsel referred to many sections of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xml:space="preserve"> in argument. Sections 1 - 13 and 24 of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xml:space="preserve"> are set out in their entirety in Appendix A to these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clear words of s. 13 set out a series of obligations relating to settlements, including the obligation in s. 13(1) on a person who would be making payment under a settlement ("Payor-Settler") to give a prescribed notice to the minister of health ("Minister"). Section 13(5) gives the Province the right to recover HCC as a debt from such a Payor-Settler who fails to provide the prescribed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will briefly paraphrase s. 13. Section 13(1) provides that a claim against a wrongdoer for personal injury suffered by an MSP Beneficiary must not be settled unless the "Payor-Settler" gives a prescribed form of notice to the Minister and the Minister gives written consent to the settlement. Subsections 13(3) and (4) provide that before giving consent under 13(1)(b), the Minister may ask the Payor-Settler to provide necessary information, and the Payor-Settler must comply with that request. Section 13(5) states that if the Payor-Settler does not give notice as required by s. 13(1), the government has a right to recover the total past and future HCC relating to the MSP Beneficiary's injury as a debt due to the government, and s. 17 regarding joint and several liability does not apply. Section 13(8) provides that a release given in relation to a claim described in s. 13(1) is void unless the person to whose benefit the release is given (presumably the Payor-Settler) gives the Minister written notice in the prescribed form and the Minister consents in writing. Section 13(9) provides that s. 13 applies "whether or not a legal proceeding has been commenced in relation to a [HCC]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Translink's position is that it is absurd to apply s. 13 to the settlement of claims which have been pursued by a Pre-CIF Lawsuit. Translink argued that it is absurd because there is nothing government could do upon receiving a notice about the settlement of a lawsuit commenced prior to the CIF Date, and therefore it is pointless to require the giving of such a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There are several flaws in that argument. First, the words of ss. 13 and 24 together suggest that s. 13 applies to settlement of Pre-CIF Lawsuits and to injuries suffered before the CIF Date. Section 13(9) states that s. 13 applies whether or not a lawsuit has been commenced. Section 24(1) states that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xml:space="preserve"> applies in relation to any personal injury suffered by an MSP Beneficiary, whether before or after the CIF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Second, the words of s. 13(5) state that the government "has a right to recover" from a Payor-Settler who fails to give the prescribed notice. The government's rights arise upon the failure to give the notice. Section 13(5) creates the government's cause of action for debt arising upon the failure to give the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Third, the limitation period in s. 8(5)(b)(v) permits the Province to commence a s. 8 claim within 6 months of receipt of the s. 13(1)(a) notice, unless one of the other steps listed have occurred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It is undisputed that s. 13 applies to the settlement of claims for injuries suffered prior to the CIF Date if the MSP Beneficiary had not commenced a Pre-CIF Lawsuit. As Judge Wingham set out in paras. 25-27 quoted above, it would be illogical and inconsistent with the object of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xml:space="preserve"> for settlements of pre-CIF Date injuries to be treated differently depending on whether a Pre-CIF Lawsuit had been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Section 13 refers to the act of settling a claim, and s. 13(9) states that it applies whether or not a legal proceeding has been commenced in relation to a HCC. It would have been possible for the legislation to distinguish between the settlement of claims which were being pursued in a lawsuit and those that were not, but the words of s. 13 demonstrate that all settlements are affected by the 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 struggled with whether, from the perspective of an alleged wrongdoer, the situation will be different depending on whether a Pre-CIF Lawsuit goes to trial. If a Pre-CIF Lawsuit has been commenced (which will be for injuries suffered before the CIF Date), pursuant to </w:t>
      </w:r>
      <w:r>
        <w:rPr>
          <w:rFonts w:ascii="arial" w:eastAsia="arial" w:hAnsi="arial" w:cs="arial"/>
          <w:i/>
          <w:color w:val="000000"/>
          <w:sz w:val="20"/>
          <w:lang w:val="en-US" w:eastAsia="en-US" w:bidi="ar-SA"/>
        </w:rPr>
        <w:t>Gosselin</w:t>
      </w:r>
      <w:r>
        <w:rPr>
          <w:rFonts w:ascii="arial" w:eastAsia="arial" w:hAnsi="arial" w:cs="arial"/>
          <w:color w:val="000000"/>
          <w:sz w:val="20"/>
          <w:lang w:val="en-US" w:eastAsia="en-US" w:bidi="ar-SA"/>
        </w:rPr>
        <w:t>, the MSP Beneficiary cannot include a s. 2 claim for HCC. If the court decides the case, the Minister will not be entitled to notice and will not be involved and the award will not include HCC. In contrast, if the claim is settled rather than proceeding to trial, the Payor-Settler is required to give the prescribed notice and obtain the Minister's consent to the settlement, and failure to do so will give the government a s. 13(5) right to claim debt equal to the HCC from the Payor-Settler. As a result, the alleged wrongdoer's perspective may be that it is required to pay HCC if a case settles, but will not be required to pay HCC if the matter is decided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However, s. 13 does not explain the basis on which the Minister would consent to a settlement. It may be that the government would not demand HCC for Pre-CIF Lawsuits except in unusual circumstances. As argued by the Province, the Minister's decision whether or not to consent to a proposed settlement might be the subject of judicial review. There is no evidence before me about the basis upon which the Minister approves or withholds approval of proposed settlements.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my view, it is not absurd to apply s. 13 to all settlements which occur after the CIF Date, even those in which a Pre-CIF Lawsuit was commenced. Further, it is consistent with the object of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xml:space="preserve"> of shifting the burden of HCC from the public purse to wrongdoers.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Section 8 of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xml:space="preserve"> provides that the government has an independent right to sue a wrongdoer for an MSP Beneficiary's HCC, and sets out a limitation period. Ms. Opel's counsel argued that the limitation period in s. 8 should apply to any claims by the government under s.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Section 8(5) is a complicated section, and sets out a limitation period for a s. 8(2) claim which is the later of two dates. One of those two dates is the earliest of a series of dates, including the date that is 6 months after the date on which the Minister first receives notice under s. 13(1)(a). It is not clear how this limitation section should be read in cases where the Minister does not receive notice under s. 13(1)(a). The clear words of s. 8(5) refer to s. 8(2) lawsuits, and do not suggest that the limitation period would apply to the Province's claims under s. 13(5).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Opel's counsel argued that it would be unfair for the government to be able to miss the s. 8 limitation period and lose its right to commence an action under s. 8 and then turn around at some indefinite point in the future and commence an action under s. 13 if it did not approve the settlement of an action. In a case where the Payor-Settler gave the required notice, s. 8(5)(b)(v) explicitly provides for a limitation period extending 6 months after the date on which the Minister first receives the s. 13 notice (unless one of the other listed events occurred earlier). This suggests that the legislature intended that the s. 8 limitation period would extend beyond the giving of a s. 13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addition, the wrong which triggers the government's right under s. 13 is the Payor-Settler's failure to comply with the requirement to give the Province notice of the settlement. It is rational for a limitation period to commence with the wrongful event. This does not make application of s. 13 to Pre-CIF Lawsuits illogical, nor does it import the limitation period in s. 8 to claims under s.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Retroactivity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Translink argues that s. 13 has retroactive effect, while the Province argues that it is prospective from the CIF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Section 13 sets out obligations on settling parties where the settlement occurs after the CIF Date. Its focus is on the act of settling a claim, rather than on whether or not there is a lawsuit related to the claim. As a result, it does not have retroactive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Alteration of Common Law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Translink argues that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xml:space="preserve"> alters the common law right of freedom of contract. The Province agrees, and argues that it is expressly set out in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Section 13(1) provides that a claim against an alleged wrongdoer for damages arising from an MSP Beneficiary's personal injury "must not be settled" unless the payor gives the prescribed notice and obtains the Minister's consent. In my view that reflects a clear choice by the legislature to abrogate the common law right to freely settle claims for personal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clear words of ss. 13 and 24 of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xml:space="preserve"> impose an obligation on Payor-Settlers to give notice to the Minister of settlements, and if the Payor-Settler fails to give the prescribed notice, the government has the right to recover HCC as a debt from the Payor-Settler. There is no reason to exclude the settlement of Pre-CIF Lawsuits from the group of all settlements referred to in s. 13. Such obligation to give notice and right for government to recover HCC from the Payor-Settler are consistent with the object of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xml:space="preserve"> of recovering HCC from wrongdoers. Such obligation is not retroactive because it affects conduct occurring after the CIF Date, such conduct being the settling of claims. Section 13 impairs the common law right to settle lawsuits, but the words of the statute say that clearly, and it is consistent with the object of the </w:t>
      </w:r>
      <w:r>
        <w:rPr>
          <w:rFonts w:ascii="arial" w:eastAsia="arial" w:hAnsi="arial" w:cs="arial"/>
          <w:i/>
          <w:color w:val="000000"/>
          <w:sz w:val="20"/>
          <w:lang w:val="en-US" w:eastAsia="en-US" w:bidi="ar-SA"/>
        </w:rPr>
        <w:t>HCCRA</w:t>
      </w:r>
      <w:r>
        <w:rPr>
          <w:rFonts w:ascii="arial" w:eastAsia="arial" w:hAnsi="arial" w:cs="arial"/>
          <w:color w:val="000000"/>
          <w:sz w:val="20"/>
          <w:lang w:val="en-US" w:eastAsia="en-US" w:bidi="ar-SA"/>
        </w:rPr>
        <w:t xml:space="preserve">. While the </w:t>
      </w:r>
      <w:r>
        <w:rPr>
          <w:rFonts w:ascii="arial" w:eastAsia="arial" w:hAnsi="arial" w:cs="arial"/>
          <w:i/>
          <w:color w:val="000000"/>
          <w:sz w:val="20"/>
          <w:lang w:val="en-US" w:eastAsia="en-US" w:bidi="ar-SA"/>
        </w:rPr>
        <w:t>Gosselin</w:t>
      </w:r>
      <w:r>
        <w:rPr>
          <w:rFonts w:ascii="arial" w:eastAsia="arial" w:hAnsi="arial" w:cs="arial"/>
          <w:color w:val="000000"/>
          <w:sz w:val="20"/>
          <w:lang w:val="en-US" w:eastAsia="en-US" w:bidi="ar-SA"/>
        </w:rPr>
        <w:t xml:space="preserve"> case applies to lawsuits by MSP Beneficiaries commenced before the CIF Date, it addresses the right of the MSP Beneficiary to add a s. 2 claim, rather than the obligation of a Payor-Settler and the right of the government under s. 13 in those cases when a Pre-CIF Lawsuit settles.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Wingham Decision was correct. As a result, Translink's appeal is dismissed. If the parties are unable to resolve the question of costs, they have liberty to apply for an order. Counsel should estimate the time required for a hearing on costs, and contact the registry to schedule a hearing of the appropriate length before me.</w:t>
      </w:r>
      <w:r>
        <w:rPr>
          <w:rFonts w:ascii="arial" w:eastAsia="arial" w:hAnsi="arial" w:cs="arial"/>
          <w:sz w:val="20"/>
          <w:lang w:val="en-US" w:eastAsia="en-US" w:bidi="ar-SA"/>
        </w:rPr>
        <w:cr/>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GRAY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Appendix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"beneficiary"</w:t>
      </w:r>
      <w:r>
        <w:rPr>
          <w:rFonts w:ascii="arial" w:eastAsia="arial" w:hAnsi="arial" w:cs="arial"/>
          <w:color w:val="000000"/>
          <w:sz w:val="20"/>
          <w:lang w:val="en-US" w:eastAsia="en-US" w:bidi="ar-SA"/>
        </w:rPr>
        <w:t xml:space="preserve"> has the same meaning as in the </w:t>
      </w:r>
      <w:r>
        <w:rPr>
          <w:rFonts w:ascii="arial" w:eastAsia="arial" w:hAnsi="arial" w:cs="arial"/>
          <w:i/>
          <w:color w:val="000000"/>
          <w:sz w:val="20"/>
          <w:lang w:val="en-US" w:eastAsia="en-US" w:bidi="ar-SA"/>
        </w:rPr>
        <w:t>Medicare Protection Act</w:t>
      </w:r>
      <w:r>
        <w:rPr>
          <w:rFonts w:ascii="arial" w:eastAsia="arial" w:hAnsi="arial" w:cs="arial"/>
          <w:color w:val="000000"/>
          <w:sz w:val="20"/>
          <w:lang w:val="en-US" w:eastAsia="en-US" w:bidi="ar-SA"/>
        </w:rPr>
        <w:t>, and includes a former beneficiary under that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"future cost of health care services"</w:t>
      </w:r>
      <w:r>
        <w:rPr>
          <w:rFonts w:ascii="arial" w:eastAsia="arial" w:hAnsi="arial" w:cs="arial"/>
          <w:color w:val="000000"/>
          <w:sz w:val="20"/>
          <w:lang w:val="en-US" w:eastAsia="en-US" w:bidi="ar-SA"/>
        </w:rPr>
        <w:t xml:space="preserve"> means the present value of the estimated total cost of all health care services that are provided, or are reasonably expected to be provided, to a beneficiary as a direct or indirect result of a personal injury described in section 2 after the date of settlement or, if there is no settlement, after the first day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"health care practitioner"</w:t>
      </w:r>
      <w:r>
        <w:rPr>
          <w:rFonts w:ascii="arial" w:eastAsia="arial" w:hAnsi="arial" w:cs="arial"/>
          <w:color w:val="000000"/>
          <w:sz w:val="20"/>
          <w:lang w:val="en-US" w:eastAsia="en-US" w:bidi="ar-SA"/>
        </w:rPr>
        <w:t xml:space="preserve"> means any of the following:</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medical practitioner;</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person authorized to practise as a member of a health care profession or occupation that may be prescribed under section 25(2)(a)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"health care services"</w:t>
      </w:r>
      <w:r>
        <w:rPr>
          <w:rFonts w:ascii="arial" w:eastAsia="arial" w:hAnsi="arial" w:cs="arial"/>
          <w:color w:val="000000"/>
          <w:sz w:val="20"/>
          <w:lang w:val="en-US" w:eastAsia="en-US" w:bidi="ar-SA"/>
        </w:rPr>
        <w:t xml:space="preserve"> means</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benefits as defined in the </w:t>
      </w:r>
      <w:r>
        <w:rPr>
          <w:rFonts w:ascii="arial" w:eastAsia="arial" w:hAnsi="arial" w:cs="arial"/>
          <w:i/>
          <w:color w:val="000000"/>
          <w:sz w:val="20"/>
          <w:lang w:val="en-US" w:eastAsia="en-US" w:bidi="ar-SA"/>
        </w:rPr>
        <w:t>Hospital Insurance Act</w:t>
      </w:r>
      <w:r>
        <w:rPr>
          <w:rFonts w:ascii="arial" w:eastAsia="arial" w:hAnsi="arial" w:cs="arial"/>
          <w:color w:val="000000"/>
          <w:sz w:val="20"/>
          <w:lang w:val="en-US" w:eastAsia="en-US" w:bidi="ar-SA"/>
        </w:rPr>
        <w: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benefits as defined in the </w:t>
      </w:r>
      <w:r>
        <w:rPr>
          <w:rFonts w:ascii="arial" w:eastAsia="arial" w:hAnsi="arial" w:cs="arial"/>
          <w:i/>
          <w:color w:val="000000"/>
          <w:sz w:val="20"/>
          <w:lang w:val="en-US" w:eastAsia="en-US" w:bidi="ar-SA"/>
        </w:rPr>
        <w:t>Medicare Protection Act</w:t>
      </w:r>
      <w:r>
        <w:rPr>
          <w:rFonts w:ascii="arial" w:eastAsia="arial" w:hAnsi="arial" w:cs="arial"/>
          <w:color w:val="000000"/>
          <w:sz w:val="20"/>
          <w:lang w:val="en-US" w:eastAsia="en-US" w:bidi="ar-SA"/>
        </w:rPr>
        <w:t>,</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benefits as defined in the </w:t>
      </w:r>
      <w:r>
        <w:rPr>
          <w:rFonts w:ascii="arial" w:eastAsia="arial" w:hAnsi="arial" w:cs="arial"/>
          <w:i/>
          <w:color w:val="000000"/>
          <w:sz w:val="20"/>
          <w:lang w:val="en-US" w:eastAsia="en-US" w:bidi="ar-SA"/>
        </w:rPr>
        <w:t>Pharmaceutical Services Act</w:t>
      </w:r>
      <w:r>
        <w:rPr>
          <w:rFonts w:ascii="arial" w:eastAsia="arial" w:hAnsi="arial" w:cs="arial"/>
          <w:color w:val="000000"/>
          <w:sz w:val="20"/>
          <w:lang w:val="en-US" w:eastAsia="en-US" w:bidi="ar-SA"/>
        </w:rPr>
        <w:t>,</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payments made by the government under the </w:t>
      </w:r>
      <w:r>
        <w:rPr>
          <w:rFonts w:ascii="arial" w:eastAsia="arial" w:hAnsi="arial" w:cs="arial"/>
          <w:i/>
          <w:color w:val="000000"/>
          <w:sz w:val="20"/>
          <w:lang w:val="en-US" w:eastAsia="en-US" w:bidi="ar-SA"/>
        </w:rPr>
        <w:t>Continuing Care Act</w:t>
      </w:r>
      <w:r>
        <w:rPr>
          <w:rFonts w:ascii="arial" w:eastAsia="arial" w:hAnsi="arial" w:cs="arial"/>
          <w:color w:val="000000"/>
          <w:sz w:val="20"/>
          <w:lang w:val="en-US" w:eastAsia="en-US" w:bidi="ar-SA"/>
        </w:rPr>
        <w:t>,</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expenditures, made directly or through one or more agents or intermediate bodies, by the government for emergency health services provided in respect of a beneficiary under the </w:t>
      </w:r>
      <w:r>
        <w:rPr>
          <w:rFonts w:ascii="arial" w:eastAsia="arial" w:hAnsi="arial" w:cs="arial"/>
          <w:i/>
          <w:color w:val="000000"/>
          <w:sz w:val="20"/>
          <w:lang w:val="en-US" w:eastAsia="en-US" w:bidi="ar-SA"/>
        </w:rPr>
        <w:t>Emergency Health Services Act</w:t>
      </w:r>
      <w:r>
        <w:rPr>
          <w:rFonts w:ascii="arial" w:eastAsia="arial" w:hAnsi="arial" w:cs="arial"/>
          <w:color w:val="000000"/>
          <w:sz w:val="20"/>
          <w:lang w:val="en-US" w:eastAsia="en-US" w:bidi="ar-SA"/>
        </w:rPr>
        <w:t>, and</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act or thing, including, without limitation, the provision of any health care treatment, aid, assistance or service or any drug, device or similar matter associated with personal injury,</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which a payment or expenditure is or may be made, whether directly or through one or more agents or intermediaries, by the government in respect of a beneficiary, and</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is designated by regulation under section 25(2)(b)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"health care services claim"</w:t>
      </w:r>
      <w:r>
        <w:rPr>
          <w:rFonts w:ascii="arial" w:eastAsia="arial" w:hAnsi="arial" w:cs="arial"/>
          <w:color w:val="000000"/>
          <w:sz w:val="20"/>
          <w:lang w:val="en-US" w:eastAsia="en-US" w:bidi="ar-SA"/>
        </w:rPr>
        <w:t>, in relation to personal injury suffered by a beneficiary, means a claim for the recovery of the past and future costs of health care services attributable to that personal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cost of health care services"</w:t>
      </w:r>
      <w:r>
        <w:rPr>
          <w:rFonts w:ascii="arial" w:eastAsia="arial" w:hAnsi="arial" w:cs="arial"/>
          <w:color w:val="000000"/>
          <w:sz w:val="20"/>
          <w:lang w:val="en-US" w:eastAsia="en-US" w:bidi="ar-SA"/>
        </w:rPr>
        <w:t xml:space="preserve"> means the total cost of all health care services provided to a beneficiary as a direct or indirect result of a personal injury described in section 2, including those services provided up to and including the date of settlement or, if there is no settlement, the first day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"wrongdoer"</w:t>
      </w:r>
      <w:r>
        <w:rPr>
          <w:rFonts w:ascii="arial" w:eastAsia="arial" w:hAnsi="arial" w:cs="arial"/>
          <w:color w:val="000000"/>
          <w:sz w:val="20"/>
          <w:lang w:val="en-US" w:eastAsia="en-US" w:bidi="ar-SA"/>
        </w:rPr>
        <w:t xml:space="preserve"> means</w:t>
      </w:r>
      <w:r>
        <w:rPr>
          <w:rFonts w:ascii="arial" w:eastAsia="arial" w:hAnsi="arial" w:cs="arial"/>
          <w:sz w:val="20"/>
          <w:lang w:val="en-US" w:eastAsia="en-US" w:bidi="ar-SA"/>
        </w:rPr>
        <w:cr/>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whose negligent or wrongful act or omission causes or contributes to a beneficiary's personal injury or death, and</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is responsible at law for the acts or omissions of a person referred to in paragraph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does not include the beneficiary.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Beneficiary's right to recover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(1) If, as a direct or indirect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wrongful act or omission of a wrongdoer, a beneficiary suffers a personal injury for which the beneficiary receives or could reasonably be expected to receive one or more health care services, the beneficiary may, subject to sections 6 </w:t>
      </w:r>
      <w:r>
        <w:rPr>
          <w:rFonts w:ascii="arial" w:eastAsia="arial" w:hAnsi="arial" w:cs="arial"/>
          <w:i/>
          <w:color w:val="000000"/>
          <w:sz w:val="20"/>
          <w:lang w:val="en-US" w:eastAsia="en-US" w:bidi="ar-SA"/>
        </w:rPr>
        <w:t>[government may intervene in proceeding or assume conduct of claim]</w:t>
      </w:r>
      <w:r>
        <w:rPr>
          <w:rFonts w:ascii="arial" w:eastAsia="arial" w:hAnsi="arial" w:cs="arial"/>
          <w:color w:val="000000"/>
          <w:sz w:val="20"/>
          <w:lang w:val="en-US" w:eastAsia="en-US" w:bidi="ar-SA"/>
        </w:rPr>
        <w:t xml:space="preserve"> and 20(2) and (3) </w:t>
      </w:r>
      <w:r>
        <w:rPr>
          <w:rFonts w:ascii="arial" w:eastAsia="arial" w:hAnsi="arial" w:cs="arial"/>
          <w:i/>
          <w:color w:val="000000"/>
          <w:sz w:val="20"/>
          <w:lang w:val="en-US" w:eastAsia="en-US" w:bidi="ar-SA"/>
        </w:rPr>
        <w:t>[payments to the government]</w:t>
      </w:r>
      <w:r>
        <w:rPr>
          <w:rFonts w:ascii="arial" w:eastAsia="arial" w:hAnsi="arial" w:cs="arial"/>
          <w:color w:val="000000"/>
          <w:sz w:val="20"/>
          <w:lang w:val="en-US" w:eastAsia="en-US" w:bidi="ar-SA"/>
        </w:rPr>
        <w:t>, recover from the wrongdoer</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past cost of health care services, and</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future cost of health care services.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(1) applies whether or not the personal injury was caused in whole or in part by the wrongdoer.</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the purposes of subsection (1) but subject to section 20(2) and (3) </w:t>
      </w:r>
      <w:r>
        <w:rPr>
          <w:rFonts w:ascii="arial" w:eastAsia="arial" w:hAnsi="arial" w:cs="arial"/>
          <w:i/>
          <w:color w:val="000000"/>
          <w:sz w:val="20"/>
          <w:lang w:val="en-US" w:eastAsia="en-US" w:bidi="ar-SA"/>
        </w:rPr>
        <w:t>[payments to the government]</w:t>
      </w:r>
      <w:r>
        <w:rPr>
          <w:rFonts w:ascii="arial" w:eastAsia="arial" w:hAnsi="arial" w:cs="arial"/>
          <w:color w:val="000000"/>
          <w:sz w:val="20"/>
          <w:lang w:val="en-US" w:eastAsia="en-US" w:bidi="ar-SA"/>
        </w:rPr>
        <w:t>, payment or expenditure by the government, whether directly or through one or more agents or intermediaries, under any of the Acts referred to in the definition of "health care services" or under any other government plan or scheme of insurance for past and future costs referred to in subsection (1) must not be construed to affect the right of the beneficiary to recover those costs in the same manner as if those costs are paid or payable by the beneficiary.</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past and future costs referred to in subsection (1) may be recovered as damages, compensatory damages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Obligation to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(1) If, in his or her own name or as a member of a class of persons under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a beneficiary referred to in section 2(1) </w:t>
      </w:r>
      <w:r>
        <w:rPr>
          <w:rFonts w:ascii="arial" w:eastAsia="arial" w:hAnsi="arial" w:cs="arial"/>
          <w:i/>
          <w:color w:val="000000"/>
          <w:sz w:val="20"/>
          <w:lang w:val="en-US" w:eastAsia="en-US" w:bidi="ar-SA"/>
        </w:rPr>
        <w:t>[beneficiary's right to recover]</w:t>
      </w:r>
      <w:r>
        <w:rPr>
          <w:rFonts w:ascii="arial" w:eastAsia="arial" w:hAnsi="arial" w:cs="arial"/>
          <w:color w:val="000000"/>
          <w:sz w:val="20"/>
          <w:lang w:val="en-US" w:eastAsia="en-US" w:bidi="ar-SA"/>
        </w:rPr>
        <w:t xml:space="preserve"> of this Act or his or her personal or other legal representative commences a legal proceeding against a person alleged to be the wrongdoer for damages arising from or related to the beneficiary's personal injury or death, the beneficiary or his or her personal or other legal representative must include a health care services claim in that legal proceeding.</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(1) does not apply if the government has already done either of the following:</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settled the health care services claim referred to in subsection (1);</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commenced a legal proceeding under section 8(2) </w:t>
      </w:r>
      <w:r>
        <w:rPr>
          <w:rFonts w:ascii="arial" w:eastAsia="arial" w:hAnsi="arial" w:cs="arial"/>
          <w:i/>
          <w:color w:val="000000"/>
          <w:sz w:val="20"/>
          <w:lang w:val="en-US" w:eastAsia="en-US" w:bidi="ar-SA"/>
        </w:rPr>
        <w:t>[government has independent right to recover]</w:t>
      </w:r>
      <w:r>
        <w:rPr>
          <w:rFonts w:ascii="arial" w:eastAsia="arial" w:hAnsi="arial" w:cs="arial"/>
          <w:color w:val="000000"/>
          <w:sz w:val="20"/>
          <w:lang w:val="en-US" w:eastAsia="en-US" w:bidi="ar-SA"/>
        </w:rPr>
        <w:t xml:space="preserve"> to recover the past and future costs of health care services.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health care services claim has not been included in a legal proceeding described in subsection (1), the court must permit amendment of the originating documents, up to 6 months after the date on which the originating documents were filed with the court, in order to provide for that inclusion.</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Nothing in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prevents inclusion of a health care services claim under subsection (3) if the original legal proceeding for damages under subsection (1) is brought within the time limited for doing so under that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Requirement to notify government of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(1) Within 21 days after commencing a legal proceeding referred to in section 3(1) </w:t>
      </w:r>
      <w:r>
        <w:rPr>
          <w:rFonts w:ascii="arial" w:eastAsia="arial" w:hAnsi="arial" w:cs="arial"/>
          <w:i/>
          <w:color w:val="000000"/>
          <w:sz w:val="20"/>
          <w:lang w:val="en-US" w:eastAsia="en-US" w:bidi="ar-SA"/>
        </w:rPr>
        <w:t>[obligation to claim]</w:t>
      </w:r>
      <w:r>
        <w:rPr>
          <w:rFonts w:ascii="arial" w:eastAsia="arial" w:hAnsi="arial" w:cs="arial"/>
          <w:color w:val="000000"/>
          <w:sz w:val="20"/>
          <w:lang w:val="en-US" w:eastAsia="en-US" w:bidi="ar-SA"/>
        </w:rPr>
        <w:t>, written notice of the legal proceeding must be given to the government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the beneficiary or his or her personal or other legal representative, or</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beneficiary or his or her personal or other legal representative is represented in the legal proceeding by a lawyer, by the lawyer or by the beneficiary or his or her personal or other legal representative.</w:t>
      </w:r>
    </w:p>
    <w:p>
      <w:pPr>
        <w:numPr>
          <w:numId w:val="2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Notice under subsection (1) must be in the prescribed form and include a copy of the originating documents for the legal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Final disposition of claim or legal proceeding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(1) A legal proceeding referred to in section 3(1) </w:t>
      </w:r>
      <w:r>
        <w:rPr>
          <w:rFonts w:ascii="arial" w:eastAsia="arial" w:hAnsi="arial" w:cs="arial"/>
          <w:i/>
          <w:color w:val="000000"/>
          <w:sz w:val="20"/>
          <w:lang w:val="en-US" w:eastAsia="en-US" w:bidi="ar-SA"/>
        </w:rPr>
        <w:t>[obligation to claim]</w:t>
      </w:r>
      <w:r>
        <w:rPr>
          <w:rFonts w:ascii="arial" w:eastAsia="arial" w:hAnsi="arial" w:cs="arial"/>
          <w:color w:val="000000"/>
          <w:sz w:val="20"/>
          <w:lang w:val="en-US" w:eastAsia="en-US" w:bidi="ar-SA"/>
        </w:rPr>
        <w:t xml:space="preserve"> must not be discontinued or dismissed by consent unless the consent of the minister is filed with the court.</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not set aside, dismiss or strike out a health care services claim unless the court is satisfied that the government has been given a reasonable opportunity to appear and make representations.</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not make an order finally disposing of a legal proceeding referred to in section 3(1) </w:t>
      </w:r>
      <w:r>
        <w:rPr>
          <w:rFonts w:ascii="arial" w:eastAsia="arial" w:hAnsi="arial" w:cs="arial"/>
          <w:i/>
          <w:color w:val="000000"/>
          <w:sz w:val="20"/>
          <w:lang w:val="en-US" w:eastAsia="en-US" w:bidi="ar-SA"/>
        </w:rPr>
        <w:t>[obligation to claim]</w:t>
      </w:r>
      <w:r>
        <w:rPr>
          <w:rFonts w:ascii="arial" w:eastAsia="arial" w:hAnsi="arial" w:cs="arial"/>
          <w:color w:val="000000"/>
          <w:sz w:val="20"/>
          <w:lang w:val="en-US" w:eastAsia="en-US" w:bidi="ar-SA"/>
        </w:rPr>
        <w:t xml:space="preserve"> unless the court is satisfied that the government has been given both of the following:</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written notice required under section 4 </w:t>
      </w:r>
      <w:r>
        <w:rPr>
          <w:rFonts w:ascii="arial" w:eastAsia="arial" w:hAnsi="arial" w:cs="arial"/>
          <w:i/>
          <w:color w:val="000000"/>
          <w:sz w:val="20"/>
          <w:lang w:val="en-US" w:eastAsia="en-US" w:bidi="ar-SA"/>
        </w:rPr>
        <w:t>[requirement to notify government of claim]</w:t>
      </w:r>
      <w:r>
        <w:rPr>
          <w:rFonts w:ascii="arial" w:eastAsia="arial" w:hAnsi="arial" w:cs="arial"/>
          <w:color w:val="000000"/>
          <w:sz w:val="20"/>
          <w:lang w:val="en-US" w:eastAsia="en-US" w:bidi="ar-SA"/>
        </w:rPr>
        <w:t>;</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written notice of the application for the order of final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Government may intervene in proceeding or assume conduct of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(1) The government may, in relation to a legal proceeding referred to in section 3(1) </w:t>
      </w:r>
      <w:r>
        <w:rPr>
          <w:rFonts w:ascii="arial" w:eastAsia="arial" w:hAnsi="arial" w:cs="arial"/>
          <w:i/>
          <w:color w:val="000000"/>
          <w:sz w:val="20"/>
          <w:lang w:val="en-US" w:eastAsia="en-US" w:bidi="ar-SA"/>
        </w:rPr>
        <w:t>[obligation to claim]</w:t>
      </w:r>
      <w:r>
        <w:rPr>
          <w:rFonts w:ascii="arial" w:eastAsia="arial" w:hAnsi="arial" w:cs="arial"/>
          <w:color w:val="000000"/>
          <w:sz w:val="20"/>
          <w:lang w:val="en-US" w:eastAsia="en-US" w:bidi="ar-SA"/>
        </w:rPr>
        <w:t>, do any of the following:</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intervene in the proceeding;</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written notice to the beneficiary or his or her personal or other legal representative, as the case may be, assume conduct of the health care services claim portion of the proceeding.</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assuming conduct under subsection (1)(b), the government may, as it sees fit, pursue, discontinue or settle all or any part of the health care services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Government has subrogated right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(1) The government is subrogated to any right of the beneficiary referred to in section 2 </w:t>
      </w:r>
      <w:r>
        <w:rPr>
          <w:rFonts w:ascii="arial" w:eastAsia="arial" w:hAnsi="arial" w:cs="arial"/>
          <w:i/>
          <w:color w:val="000000"/>
          <w:sz w:val="20"/>
          <w:lang w:val="en-US" w:eastAsia="en-US" w:bidi="ar-SA"/>
        </w:rPr>
        <w:t>[beneficiary's right to recover]</w:t>
      </w:r>
      <w:r>
        <w:rPr>
          <w:rFonts w:ascii="arial" w:eastAsia="arial" w:hAnsi="arial" w:cs="arial"/>
          <w:color w:val="000000"/>
          <w:sz w:val="20"/>
          <w:lang w:val="en-US" w:eastAsia="en-US" w:bidi="ar-SA"/>
        </w:rPr>
        <w:t xml:space="preserve"> to recover the past and future costs of health care services under that section.</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subsection (1), the government may commence legal proceedings, in its own name or in the name of the beneficiary, for recovery of those past and future costs of health care services.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a legal proceeding is commenced under section 3(1) </w:t>
      </w:r>
      <w:r>
        <w:rPr>
          <w:rFonts w:ascii="arial" w:eastAsia="arial" w:hAnsi="arial" w:cs="arial"/>
          <w:i/>
          <w:color w:val="000000"/>
          <w:sz w:val="20"/>
          <w:lang w:val="en-US" w:eastAsia="en-US" w:bidi="ar-SA"/>
        </w:rPr>
        <w:t>[obligation to claim]</w:t>
      </w:r>
      <w:r>
        <w:rPr>
          <w:rFonts w:ascii="arial" w:eastAsia="arial" w:hAnsi="arial" w:cs="arial"/>
          <w:color w:val="000000"/>
          <w:sz w:val="20"/>
          <w:lang w:val="en-US" w:eastAsia="en-US" w:bidi="ar-SA"/>
        </w:rPr>
        <w:t xml:space="preserve"> after the commencement of a legal proceeding referred to in subsection (2) of this section, the 2 legal proceedings are, unless the court orders otherwise, to be consolidated.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Government has independent right to recover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(1) Despite section 2 </w:t>
      </w:r>
      <w:r>
        <w:rPr>
          <w:rFonts w:ascii="arial" w:eastAsia="arial" w:hAnsi="arial" w:cs="arial"/>
          <w:i/>
          <w:color w:val="000000"/>
          <w:sz w:val="20"/>
          <w:lang w:val="en-US" w:eastAsia="en-US" w:bidi="ar-SA"/>
        </w:rPr>
        <w:t>[beneficiary's right to recover]</w:t>
      </w:r>
      <w:r>
        <w:rPr>
          <w:rFonts w:ascii="arial" w:eastAsia="arial" w:hAnsi="arial" w:cs="arial"/>
          <w:color w:val="000000"/>
          <w:sz w:val="20"/>
          <w:lang w:val="en-US" w:eastAsia="en-US" w:bidi="ar-SA"/>
        </w:rPr>
        <w:t xml:space="preserve"> and independent of its subrogated right under section 7 </w:t>
      </w:r>
      <w:r>
        <w:rPr>
          <w:rFonts w:ascii="arial" w:eastAsia="arial" w:hAnsi="arial" w:cs="arial"/>
          <w:i/>
          <w:color w:val="000000"/>
          <w:sz w:val="20"/>
          <w:lang w:val="en-US" w:eastAsia="en-US" w:bidi="ar-SA"/>
        </w:rPr>
        <w:t>[government has subrogated right]</w:t>
      </w:r>
      <w:r>
        <w:rPr>
          <w:rFonts w:ascii="arial" w:eastAsia="arial" w:hAnsi="arial" w:cs="arial"/>
          <w:color w:val="000000"/>
          <w:sz w:val="20"/>
          <w:lang w:val="en-US" w:eastAsia="en-US" w:bidi="ar-SA"/>
        </w:rPr>
        <w:t xml:space="preserve">, if, as a direct or indirect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wrongful act or omission of a wrongdoer, a beneficiary suffers a personal injury for which the beneficiary receives or could reasonably be expected to receive one or more health care services, the government may recover from the wrongdoer</w:t>
      </w:r>
    </w:p>
    <w:p>
      <w:pPr>
        <w:numPr>
          <w:numId w:val="29"/>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past cost of health care services, and</w:t>
      </w:r>
    </w:p>
    <w:p>
      <w:pPr>
        <w:numPr>
          <w:numId w:val="29"/>
        </w:numPr>
        <w:tabs>
          <w:tab w:val="clear" w:pos="76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future cost of health care services.</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government may commence a legal proceeding in its own name for the recovery of the past and future costs of health care services referred to in subsection (1).</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(1) applies whether or not the personal injury was caused in whole or in part by the wrongdoer.</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past and future costs of health care services referred to in subsection (1) may be recovered as damages, compensatory damages or otherwise.</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(7), the government must not commence a legal proceeding under subsection (2) after the later of the following 2 dates:</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date that is 6 months after the expiration of the limitation period that applies to the beneficiary's right to commence a legal proceeding against the alleged wrongdoer for damages in respect of the personal injury referred to in section 2 </w:t>
      </w:r>
      <w:r>
        <w:rPr>
          <w:rFonts w:ascii="arial" w:eastAsia="arial" w:hAnsi="arial" w:cs="arial"/>
          <w:i/>
          <w:color w:val="000000"/>
          <w:sz w:val="20"/>
          <w:lang w:val="en-US" w:eastAsia="en-US" w:bidi="ar-SA"/>
        </w:rPr>
        <w:t>[beneficiary's right to recover]</w:t>
      </w:r>
      <w:r>
        <w:rPr>
          <w:rFonts w:ascii="arial" w:eastAsia="arial" w:hAnsi="arial" w:cs="arial"/>
          <w:color w:val="000000"/>
          <w:sz w:val="20"/>
          <w:lang w:val="en-US" w:eastAsia="en-US" w:bidi="ar-SA"/>
        </w:rPr>
        <w:t>;</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earliest of the following dates:</w:t>
      </w:r>
    </w:p>
    <w:p>
      <w:pPr>
        <w:numPr>
          <w:numId w:val="4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date that is 6 months after the date on which the government first receives notice under section 4 </w:t>
      </w:r>
      <w:r>
        <w:rPr>
          <w:rFonts w:ascii="arial" w:eastAsia="arial" w:hAnsi="arial" w:cs="arial"/>
          <w:i/>
          <w:color w:val="000000"/>
          <w:sz w:val="20"/>
          <w:lang w:val="en-US" w:eastAsia="en-US" w:bidi="ar-SA"/>
        </w:rPr>
        <w:t>[requirement to notify government of claim]</w:t>
      </w:r>
      <w:r>
        <w:rPr>
          <w:rFonts w:ascii="arial" w:eastAsia="arial" w:hAnsi="arial" w:cs="arial"/>
          <w:color w:val="000000"/>
          <w:sz w:val="20"/>
          <w:lang w:val="en-US" w:eastAsia="en-US" w:bidi="ar-SA"/>
        </w:rPr>
        <w:t>;</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date that is 6 months after the date on which the minister first receives notice or information under section 10 </w:t>
      </w:r>
      <w:r>
        <w:rPr>
          <w:rFonts w:ascii="arial" w:eastAsia="arial" w:hAnsi="arial" w:cs="arial"/>
          <w:i/>
          <w:color w:val="000000"/>
          <w:sz w:val="20"/>
          <w:lang w:val="en-US" w:eastAsia="en-US" w:bidi="ar-SA"/>
        </w:rPr>
        <w:t>[information from insurer]</w:t>
      </w:r>
      <w:r>
        <w:rPr>
          <w:rFonts w:ascii="arial" w:eastAsia="arial" w:hAnsi="arial" w:cs="arial"/>
          <w:color w:val="000000"/>
          <w:sz w:val="20"/>
          <w:lang w:val="en-US" w:eastAsia="en-US" w:bidi="ar-SA"/>
        </w:rPr>
        <w:t>;</w:t>
      </w:r>
    </w:p>
    <w:p>
      <w:pPr>
        <w:numPr>
          <w:numId w:val="4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date that is 6 months after the date on which the minister is first provided with records or information from the beneficiary or his or her personal or other legal representative under section 11(2) </w:t>
      </w:r>
      <w:r>
        <w:rPr>
          <w:rFonts w:ascii="arial" w:eastAsia="arial" w:hAnsi="arial" w:cs="arial"/>
          <w:i/>
          <w:color w:val="000000"/>
          <w:sz w:val="20"/>
          <w:lang w:val="en-US" w:eastAsia="en-US" w:bidi="ar-SA"/>
        </w:rPr>
        <w:t>[beneficiary's duty to cooperate]</w:t>
      </w:r>
      <w:r>
        <w:rPr>
          <w:rFonts w:ascii="arial" w:eastAsia="arial" w:hAnsi="arial" w:cs="arial"/>
          <w:color w:val="000000"/>
          <w:sz w:val="20"/>
          <w:lang w:val="en-US" w:eastAsia="en-US" w:bidi="ar-SA"/>
        </w:rPr>
        <w:t>;</w:t>
      </w:r>
    </w:p>
    <w:p>
      <w:pPr>
        <w:numPr>
          <w:numId w:val="4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date that is 6 months after the date on which the minister first receives notice under section 12 </w:t>
      </w:r>
      <w:r>
        <w:rPr>
          <w:rFonts w:ascii="arial" w:eastAsia="arial" w:hAnsi="arial" w:cs="arial"/>
          <w:i/>
          <w:color w:val="000000"/>
          <w:sz w:val="20"/>
          <w:lang w:val="en-US" w:eastAsia="en-US" w:bidi="ar-SA"/>
        </w:rPr>
        <w:t>[beneficiary's duty to give notice to minister before settlement]</w:t>
      </w:r>
      <w:r>
        <w:rPr>
          <w:rFonts w:ascii="arial" w:eastAsia="arial" w:hAnsi="arial" w:cs="arial"/>
          <w:color w:val="000000"/>
          <w:sz w:val="20"/>
          <w:lang w:val="en-US" w:eastAsia="en-US" w:bidi="ar-SA"/>
        </w:rPr>
        <w:t>;</w:t>
      </w:r>
    </w:p>
    <w:p>
      <w:pPr>
        <w:numPr>
          <w:numId w:val="44"/>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date that is 6 months after the date on which the minister first receives notice under section 13(1)(a) </w:t>
      </w:r>
      <w:r>
        <w:rPr>
          <w:rFonts w:ascii="arial" w:eastAsia="arial" w:hAnsi="arial" w:cs="arial"/>
          <w:i/>
          <w:color w:val="000000"/>
          <w:sz w:val="20"/>
          <w:lang w:val="en-US" w:eastAsia="en-US" w:bidi="ar-SA"/>
        </w:rPr>
        <w:t>[settlement of claims]</w:t>
      </w:r>
      <w:r>
        <w:rPr>
          <w:rFonts w:ascii="arial" w:eastAsia="arial" w:hAnsi="arial" w:cs="arial"/>
          <w:color w:val="000000"/>
          <w:sz w:val="20"/>
          <w:lang w:val="en-US" w:eastAsia="en-US" w:bidi="ar-SA"/>
        </w:rPr>
        <w:t>.</w:t>
      </w:r>
    </w:p>
    <w:p>
      <w:pPr>
        <w:numPr>
          <w:numId w:val="45"/>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government may include in a legal proceeding commenced under this section a claim for an order establishing liability for the personal injury or death suffered by a beneficiary referred to in section 2(1) </w:t>
      </w:r>
      <w:r>
        <w:rPr>
          <w:rFonts w:ascii="arial" w:eastAsia="arial" w:hAnsi="arial" w:cs="arial"/>
          <w:i/>
          <w:color w:val="000000"/>
          <w:sz w:val="20"/>
          <w:lang w:val="en-US" w:eastAsia="en-US" w:bidi="ar-SA"/>
        </w:rPr>
        <w:t>[beneficiary's right to recover]</w:t>
      </w:r>
      <w:r>
        <w:rPr>
          <w:rFonts w:ascii="arial" w:eastAsia="arial" w:hAnsi="arial" w:cs="arial"/>
          <w:color w:val="000000"/>
          <w:sz w:val="20"/>
          <w:lang w:val="en-US" w:eastAsia="en-US" w:bidi="ar-SA"/>
        </w:rPr>
        <w:t xml:space="preserve"> and the claim may be made even after the expiration of the limitation period that applied to the beneficiary's right to commence a legal proceeding against the alleged wrongdoer, but any order granted in respect of that claim has effect only in relation to the health care services claim.</w:t>
      </w:r>
    </w:p>
    <w:p>
      <w:pPr>
        <w:numPr>
          <w:numId w:val="45"/>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(5)(b) does not apply if the limitation period referred to in subsection (5)(a) has expired before the date that subsection comes into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Government proceedings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(1) The government need not obtain the permission of the beneficiary or his or her family members or personal or other legal representative to commence a legal proceeding under section 7(2) </w:t>
      </w:r>
      <w:r>
        <w:rPr>
          <w:rFonts w:ascii="arial" w:eastAsia="arial" w:hAnsi="arial" w:cs="arial"/>
          <w:i/>
          <w:color w:val="000000"/>
          <w:sz w:val="20"/>
          <w:lang w:val="en-US" w:eastAsia="en-US" w:bidi="ar-SA"/>
        </w:rPr>
        <w:t>[government has subrogated right]</w:t>
      </w:r>
      <w:r>
        <w:rPr>
          <w:rFonts w:ascii="arial" w:eastAsia="arial" w:hAnsi="arial" w:cs="arial"/>
          <w:color w:val="000000"/>
          <w:sz w:val="20"/>
          <w:lang w:val="en-US" w:eastAsia="en-US" w:bidi="ar-SA"/>
        </w:rPr>
        <w:t xml:space="preserve"> or 8(2) </w:t>
      </w:r>
      <w:r>
        <w:rPr>
          <w:rFonts w:ascii="arial" w:eastAsia="arial" w:hAnsi="arial" w:cs="arial"/>
          <w:i/>
          <w:color w:val="000000"/>
          <w:sz w:val="20"/>
          <w:lang w:val="en-US" w:eastAsia="en-US" w:bidi="ar-SA"/>
        </w:rPr>
        <w:t>[government has independent right to recover]</w:t>
      </w:r>
      <w:r>
        <w:rPr>
          <w:rFonts w:ascii="arial" w:eastAsia="arial" w:hAnsi="arial" w:cs="arial"/>
          <w:color w:val="000000"/>
          <w:sz w:val="20"/>
          <w:lang w:val="en-US" w:eastAsia="en-US" w:bidi="ar-SA"/>
        </w:rPr>
        <w:t>.</w:t>
      </w:r>
    </w:p>
    <w:p>
      <w:pPr>
        <w:numPr>
          <w:numId w:val="46"/>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a defence to a legal proceeding commenced by the government under section 8(2) </w:t>
      </w:r>
      <w:r>
        <w:rPr>
          <w:rFonts w:ascii="arial" w:eastAsia="arial" w:hAnsi="arial" w:cs="arial"/>
          <w:i/>
          <w:color w:val="000000"/>
          <w:sz w:val="20"/>
          <w:lang w:val="en-US" w:eastAsia="en-US" w:bidi="ar-SA"/>
        </w:rPr>
        <w:t>[government has independent right to recover]</w:t>
      </w:r>
      <w:r>
        <w:rPr>
          <w:rFonts w:ascii="arial" w:eastAsia="arial" w:hAnsi="arial" w:cs="arial"/>
          <w:color w:val="000000"/>
          <w:sz w:val="20"/>
          <w:lang w:val="en-US" w:eastAsia="en-US" w:bidi="ar-SA"/>
        </w:rPr>
        <w:t xml:space="preserve"> that a claim for damages for the beneficiary's personal injury or death has been adjudicated or settled unless</w:t>
      </w:r>
    </w:p>
    <w:p>
      <w:pPr>
        <w:numPr>
          <w:numId w:val="47"/>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or settlement included a health care services claim, and</w:t>
      </w:r>
    </w:p>
    <w:p>
      <w:pPr>
        <w:numPr>
          <w:numId w:val="47"/>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case of a settlement, the requirements of section 13 </w:t>
      </w:r>
      <w:r>
        <w:rPr>
          <w:rFonts w:ascii="arial" w:eastAsia="arial" w:hAnsi="arial" w:cs="arial"/>
          <w:i/>
          <w:color w:val="000000"/>
          <w:sz w:val="20"/>
          <w:lang w:val="en-US" w:eastAsia="en-US" w:bidi="ar-SA"/>
        </w:rPr>
        <w:t>[settlement of a health care services claim]</w:t>
      </w:r>
      <w:r>
        <w:rPr>
          <w:rFonts w:ascii="arial" w:eastAsia="arial" w:hAnsi="arial" w:cs="arial"/>
          <w:color w:val="000000"/>
          <w:sz w:val="20"/>
          <w:lang w:val="en-US" w:eastAsia="en-US" w:bidi="ar-SA"/>
        </w:rPr>
        <w:t xml:space="preserve"> have been met.</w:t>
      </w:r>
    </w:p>
    <w:p>
      <w:pPr>
        <w:numPr>
          <w:numId w:val="48"/>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a defence to a legal proceeding commenced in respect of a beneficiary for a claim, other than a health care services claim, for damages for the beneficiary's personal injury or death that a legal proceeding commenced by the government under section 7(2) </w:t>
      </w:r>
      <w:r>
        <w:rPr>
          <w:rFonts w:ascii="arial" w:eastAsia="arial" w:hAnsi="arial" w:cs="arial"/>
          <w:i/>
          <w:color w:val="000000"/>
          <w:sz w:val="20"/>
          <w:lang w:val="en-US" w:eastAsia="en-US" w:bidi="ar-SA"/>
        </w:rPr>
        <w:t>[government has subrogated right]</w:t>
      </w:r>
      <w:r>
        <w:rPr>
          <w:rFonts w:ascii="arial" w:eastAsia="arial" w:hAnsi="arial" w:cs="arial"/>
          <w:color w:val="000000"/>
          <w:sz w:val="20"/>
          <w:lang w:val="en-US" w:eastAsia="en-US" w:bidi="ar-SA"/>
        </w:rPr>
        <w:t xml:space="preserve"> or 8(2) </w:t>
      </w:r>
      <w:r>
        <w:rPr>
          <w:rFonts w:ascii="arial" w:eastAsia="arial" w:hAnsi="arial" w:cs="arial"/>
          <w:i/>
          <w:color w:val="000000"/>
          <w:sz w:val="20"/>
          <w:lang w:val="en-US" w:eastAsia="en-US" w:bidi="ar-SA"/>
        </w:rPr>
        <w:t>[government has independent right to recover]</w:t>
      </w:r>
      <w:r>
        <w:rPr>
          <w:rFonts w:ascii="arial" w:eastAsia="arial" w:hAnsi="arial" w:cs="arial"/>
          <w:color w:val="000000"/>
          <w:sz w:val="20"/>
          <w:lang w:val="en-US" w:eastAsia="en-US" w:bidi="ar-SA"/>
        </w:rPr>
        <w:t xml:space="preserve"> has been adjudicated or settled.</w:t>
      </w:r>
    </w:p>
    <w:p>
      <w:pPr>
        <w:numPr>
          <w:numId w:val="48"/>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Despite subsection (2), it is a defence to a legal proceeding commenced by the government under section 8(2) </w:t>
      </w:r>
      <w:r>
        <w:rPr>
          <w:rFonts w:ascii="arial" w:eastAsia="arial" w:hAnsi="arial" w:cs="arial"/>
          <w:i/>
          <w:color w:val="000000"/>
          <w:sz w:val="20"/>
          <w:lang w:val="en-US" w:eastAsia="en-US" w:bidi="ar-SA"/>
        </w:rPr>
        <w:t>[government has independent right to recover]</w:t>
      </w:r>
      <w:r>
        <w:rPr>
          <w:rFonts w:ascii="arial" w:eastAsia="arial" w:hAnsi="arial" w:cs="arial"/>
          <w:color w:val="000000"/>
          <w:sz w:val="20"/>
          <w:lang w:val="en-US" w:eastAsia="en-US" w:bidi="ar-SA"/>
        </w:rPr>
        <w:t xml:space="preserve"> that a claim for damages for the beneficiary's personal injury or death has been adjudicated or settled before the date that section 8(2) comes into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Information from insurer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(1) This section applies to an insurer of a person if an act or omission of the insured person has or may have caused or contributed to the personal injury or death of a beneficiary.</w:t>
      </w:r>
    </w:p>
    <w:p>
      <w:pPr>
        <w:numPr>
          <w:numId w:val="4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insurer must, within 60 days after learning of the matter described in subsection (1), notify the minister of those circumstances in the prescribed form.</w:t>
      </w:r>
    </w:p>
    <w:p>
      <w:pPr>
        <w:numPr>
          <w:numId w:val="4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may request the insurer to provide the minister with one or more of the following:</w:t>
      </w:r>
    </w:p>
    <w:p>
      <w:pPr>
        <w:numPr>
          <w:numId w:val="50"/>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 copy of the insured person's insurance policy;</w:t>
      </w:r>
    </w:p>
    <w:p>
      <w:pPr>
        <w:numPr>
          <w:numId w:val="50"/>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matter was reported to the police, a copy of the police report, if any;</w:t>
      </w:r>
    </w:p>
    <w:p>
      <w:pPr>
        <w:numPr>
          <w:numId w:val="50"/>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 copy of any affidavit, pleadings or application, as they relate to legal proceedings in respect of the matter.</w:t>
      </w:r>
    </w:p>
    <w:p>
      <w:pPr>
        <w:numPr>
          <w:numId w:val="51"/>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insurer must comply with the minister's request in the manner and before the date specified in the request.</w:t>
      </w:r>
    </w:p>
    <w:p>
      <w:pPr>
        <w:numPr>
          <w:numId w:val="51"/>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Provision of information under this section is not an admission or acknowledgement of liability in relation to the insured.</w:t>
      </w:r>
    </w:p>
    <w:p>
      <w:pPr>
        <w:numPr>
          <w:numId w:val="51"/>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(2) does not apply in respect of a matter that the insurer learns of before that subsection comes into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Beneficiary's duty to cooperate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(1) A beneficiary and his or her personal or other legal representative must cooperate fully with the minister and the government and their agents and legal counsel in the government's recovery of past and future costs of health care services under this Act in respect of that beneficiary.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Without limiting subsection (1), the beneficiary or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his or her personal or other legal representative must</w:t>
      </w:r>
      <w:r>
        <w:rPr>
          <w:rFonts w:ascii="arial" w:eastAsia="arial" w:hAnsi="arial" w:cs="arial"/>
          <w:sz w:val="20"/>
          <w:lang w:val="en-US" w:eastAsia="en-US" w:bidi="ar-SA"/>
        </w:rPr>
        <w:cr/>
      </w:r>
    </w:p>
    <w:p>
      <w:pPr>
        <w:numPr>
          <w:numId w:val="5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request of the minister and as often as the minister considers necessary, do one or more of the following:</w:t>
      </w:r>
    </w:p>
    <w:p>
      <w:pPr>
        <w:numPr>
          <w:numId w:val="5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the minister with records or information that are in the possession or under the control of the beneficiary or the personal or other legal representative and relate to the following:</w:t>
      </w:r>
    </w:p>
    <w:p>
      <w:pPr>
        <w:numPr>
          <w:numId w:val="5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and extent of the beneficiary's injury;</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treatment, current condition and prognosis of the injury;</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rehabilitation of the beneficiary in respect of the injury;</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origin and circumstances of the injury;</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health care services that have been received or may be required by the beneficiary in relation to the injury;</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evidence relating directly or indirectly to the health care services claim</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form required by the minister, and</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proceeding or other forum required by the minister,</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request and expense of the minister and as often as the minister considers necessary, do one or more of the following:</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allow a health care practitioner selected by the minister to examine the beneficiary;</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allow any evaluation required by the minister to be performed by a person selected by the minister;</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obtain and provide to the minister a certificate or report, in any form required by the minister, of an attending health care practitioner as to one or more of the following as may be requested by the minister:</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and extent of the beneficiary's injury;</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treatment, current condition and prognosis of the injury;</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aspect of the beneficiary's injury or rehabilitation,</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the persons assisting the government in its efforts to recover the past and future costs of health care services referred to in subsection (1) with any cooperation reasonably required by those persons,</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comply with a request under paragraph (a) or (b) in the manner and before the date specified in the request, and</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comply with the requirements of section 12 </w:t>
      </w:r>
      <w:r>
        <w:rPr>
          <w:rFonts w:ascii="arial" w:eastAsia="arial" w:hAnsi="arial" w:cs="arial"/>
          <w:i/>
          <w:color w:val="000000"/>
          <w:sz w:val="20"/>
          <w:lang w:val="en-US" w:eastAsia="en-US" w:bidi="ar-SA"/>
        </w:rPr>
        <w:t>[beneficiary's duty to give notice to minister before settlement]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Beneficiary's duty to give notice to minister before settlement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At least 21 days before a beneficiary referred to in section 2 </w:t>
      </w:r>
      <w:r>
        <w:rPr>
          <w:rFonts w:ascii="arial" w:eastAsia="arial" w:hAnsi="arial" w:cs="arial"/>
          <w:i/>
          <w:color w:val="000000"/>
          <w:sz w:val="20"/>
          <w:lang w:val="en-US" w:eastAsia="en-US" w:bidi="ar-SA"/>
        </w:rPr>
        <w:t>[beneficiary's right to recover]</w:t>
      </w:r>
      <w:r>
        <w:rPr>
          <w:rFonts w:ascii="arial" w:eastAsia="arial" w:hAnsi="arial" w:cs="arial"/>
          <w:color w:val="000000"/>
          <w:sz w:val="20"/>
          <w:lang w:val="en-US" w:eastAsia="en-US" w:bidi="ar-SA"/>
        </w:rPr>
        <w:t xml:space="preserve"> or his or her personal or other legal representative enters into any settlement relating to the personal injury referred to in that section, the beneficiary or personal or other legal representative must give notice to the minister in the prescribed form and in accordance with the regulations, if any, under section 25 (2) (d)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Settlement of claims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(1) A claim against a person alleged to be the wrongdoer for damages arising from or related to a beneficiary's personal injury or death must not be settled unless</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person who would be liable to make payments under the proposed settlement gives to the minister notice of the proposed terms of settlement, in the prescribed form and in accordance with the regulations, if any, under section 25(2)(d)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and</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consents in writing to the proposed settlement.</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proposed settlement referred to in subsection (1)(a) is a settlement requiring approval of the court under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the person referred to in subsection (1)(a) must</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 the minister the notice under that provision, and</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receive the minister's written consent under subsection (1)(b)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before filing with the court any application for the approval of the court under that Act.</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consenting under subsection (1)(b), the minister may request the person referred to in subsection (1)(a) to provide the minister with any records or information that the minister considers necessary to evaluate the proposed settlement as it relates to the government's recovery of past and future costs of health care services in respect of the beneficiary.</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receiving a request by the minister under subsection (3) must comply with that request in the manner and before the date specified in the request.</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person referred to in subsection (1)(a) does not give notice in accordance with that provision,</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government has the right to recover from that person the total amount of the past and future costs of health care services relating to the beneficiary's injury,</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total amount of the past and future costs of health care services referred to in paragraph (a) may be recovered as a debt due from that person to the government, and</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17 </w:t>
      </w:r>
      <w:r>
        <w:rPr>
          <w:rFonts w:ascii="arial" w:eastAsia="arial" w:hAnsi="arial" w:cs="arial"/>
          <w:i/>
          <w:color w:val="000000"/>
          <w:sz w:val="20"/>
          <w:lang w:val="en-US" w:eastAsia="en-US" w:bidi="ar-SA"/>
        </w:rPr>
        <w:t>[joint and several liability]</w:t>
      </w:r>
      <w:r>
        <w:rPr>
          <w:rFonts w:ascii="arial" w:eastAsia="arial" w:hAnsi="arial" w:cs="arial"/>
          <w:color w:val="000000"/>
          <w:sz w:val="20"/>
          <w:lang w:val="en-US" w:eastAsia="en-US" w:bidi="ar-SA"/>
        </w:rPr>
        <w:t xml:space="preserve"> does not apply.</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liable to make payments required under the proposed settlement must submit to the minister, within the time period provided under subsection (7), the full amount of the settlement that is, in the proposed terms of settlement referred to in subsection (1)(a), designated as being attributable to the cost of the applicable health care services.</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 period referred to in subsection (6) is the 60-day period following the date of the minister's consent under subsection (1)(b) or such longer period as may be approved by the minister on request of the person who is liable to make payments required under the settlement.</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release given in relation to a claim referred to in subsection (1) is void unless</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person to whose benefit the release is given gives to the minister, in accordance with the regulations, if any, under section 25(2)(d) </w:t>
      </w:r>
      <w:r>
        <w:rPr>
          <w:rFonts w:ascii="arial" w:eastAsia="arial" w:hAnsi="arial" w:cs="arial"/>
          <w:i/>
          <w:color w:val="000000"/>
          <w:sz w:val="20"/>
          <w:lang w:val="en-US" w:eastAsia="en-US" w:bidi="ar-SA"/>
        </w:rPr>
        <w:t>[regulations]</w:t>
      </w:r>
      <w:r>
        <w:rPr>
          <w:rFonts w:ascii="arial" w:eastAsia="arial" w:hAnsi="arial" w:cs="arial"/>
          <w:color w:val="000000"/>
          <w:sz w:val="20"/>
          <w:lang w:val="en-US" w:eastAsia="en-US" w:bidi="ar-SA"/>
        </w:rPr>
        <w:t>, written notice of the proposed terms of the release, and</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consents in writing to the release.</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section applies whether or not a legal proceeding has been commenced in relation to the health care services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Application of this 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(1) Subject to this section, this Act applies in relation to any personal injury suffered by a beneficiary, whether before or after this subsection comes into force.</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requirements of sections 3 </w:t>
      </w:r>
      <w:r>
        <w:rPr>
          <w:rFonts w:ascii="arial" w:eastAsia="arial" w:hAnsi="arial" w:cs="arial"/>
          <w:i/>
          <w:color w:val="000000"/>
          <w:sz w:val="20"/>
          <w:lang w:val="en-US" w:eastAsia="en-US" w:bidi="ar-SA"/>
        </w:rPr>
        <w:t>[obligation to claim]</w:t>
      </w:r>
      <w:r>
        <w:rPr>
          <w:rFonts w:ascii="arial" w:eastAsia="arial" w:hAnsi="arial" w:cs="arial"/>
          <w:color w:val="000000"/>
          <w:sz w:val="20"/>
          <w:lang w:val="en-US" w:eastAsia="en-US" w:bidi="ar-SA"/>
        </w:rPr>
        <w:t xml:space="preserve">, 4 </w:t>
      </w:r>
      <w:r>
        <w:rPr>
          <w:rFonts w:ascii="arial" w:eastAsia="arial" w:hAnsi="arial" w:cs="arial"/>
          <w:i/>
          <w:color w:val="000000"/>
          <w:sz w:val="20"/>
          <w:lang w:val="en-US" w:eastAsia="en-US" w:bidi="ar-SA"/>
        </w:rPr>
        <w:t>[requirement to notify government of claim]</w:t>
      </w:r>
      <w:r>
        <w:rPr>
          <w:rFonts w:ascii="arial" w:eastAsia="arial" w:hAnsi="arial" w:cs="arial"/>
          <w:color w:val="000000"/>
          <w:sz w:val="20"/>
          <w:lang w:val="en-US" w:eastAsia="en-US" w:bidi="ar-SA"/>
        </w:rPr>
        <w:t xml:space="preserve"> and 5 </w:t>
      </w:r>
      <w:r>
        <w:rPr>
          <w:rFonts w:ascii="arial" w:eastAsia="arial" w:hAnsi="arial" w:cs="arial"/>
          <w:i/>
          <w:color w:val="000000"/>
          <w:sz w:val="20"/>
          <w:lang w:val="en-US" w:eastAsia="en-US" w:bidi="ar-SA"/>
        </w:rPr>
        <w:t>[final disposition of claim or legal proceeding]</w:t>
      </w:r>
      <w:r>
        <w:rPr>
          <w:rFonts w:ascii="arial" w:eastAsia="arial" w:hAnsi="arial" w:cs="arial"/>
          <w:color w:val="000000"/>
          <w:sz w:val="20"/>
          <w:lang w:val="en-US" w:eastAsia="en-US" w:bidi="ar-SA"/>
        </w:rPr>
        <w:t xml:space="preserve"> do not apply in relation to legal proceedings commenced before this subsection comes into force.</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Act does not apply in relation to health care services that are provided or are to be provided to a beneficiary in relation to</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personal injury or death arising out of a wrongdoer's use or operation of a motor vehicle if the wrongdoer has, when the injury is caused, coverage under the plan, as those terms are defined in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personal injury or death arising out of a tobacco related wrong as defined in the </w:t>
      </w:r>
      <w:r>
        <w:rPr>
          <w:rFonts w:ascii="arial" w:eastAsia="arial" w:hAnsi="arial" w:cs="arial"/>
          <w:i/>
          <w:color w:val="000000"/>
          <w:sz w:val="20"/>
          <w:lang w:val="en-US" w:eastAsia="en-US" w:bidi="ar-SA"/>
        </w:rPr>
        <w:t>Tobacco Damages and Health Care Costs Recovery Act</w:t>
      </w:r>
      <w:r>
        <w:rPr>
          <w:rFonts w:ascii="arial" w:eastAsia="arial" w:hAnsi="arial" w:cs="arial"/>
          <w:color w:val="000000"/>
          <w:sz w:val="20"/>
          <w:lang w:val="en-US" w:eastAsia="en-US" w:bidi="ar-SA"/>
        </w:rPr>
        <w:t>, or</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personal injury or death arising out of and in the course of the beneficiary's employment if compensation is paid or payable by the Workers' Compensation Board out of the accident fund continued under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subsection (3)(c):</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"compensation"</w:t>
      </w:r>
      <w:r>
        <w:rPr>
          <w:rFonts w:ascii="arial" w:eastAsia="arial" w:hAnsi="arial" w:cs="arial"/>
          <w:color w:val="000000"/>
          <w:sz w:val="20"/>
          <w:lang w:val="en-US" w:eastAsia="en-US" w:bidi="ar-SA"/>
        </w:rPr>
        <w:t xml:space="preserve"> includes a health care benefit provided under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"personal injury"</w:t>
      </w:r>
      <w:r>
        <w:rPr>
          <w:rFonts w:ascii="arial" w:eastAsia="arial" w:hAnsi="arial" w:cs="arial"/>
          <w:color w:val="000000"/>
          <w:sz w:val="20"/>
          <w:lang w:val="en-US" w:eastAsia="en-US" w:bidi="ar-SA"/>
        </w:rPr>
        <w:t xml:space="preserve"> includes occupational disease as defined in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8"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9"/>
          <w:headerReference w:type="default" r:id="rId540"/>
          <w:footerReference w:type="even" r:id="rId541"/>
          <w:footerReference w:type="default" r:id="rId542"/>
          <w:headerReference w:type="first" r:id="rId543"/>
          <w:footerReference w:type="first" r:id="rId54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45" w:history="1">
        <w:r>
          <w:rPr>
            <w:rFonts w:ascii="arial" w:eastAsia="arial" w:hAnsi="arial" w:cs="arial"/>
            <w:b/>
            <w:bCs/>
            <w:i/>
            <w:color w:val="0077CC"/>
            <w:kern w:val="32"/>
            <w:sz w:val="28"/>
            <w:szCs w:val="32"/>
            <w:u w:val="single"/>
            <w:shd w:val="clear" w:color="auto" w:fill="FFFFFF"/>
            <w:lang w:val="en-US" w:eastAsia="en-US" w:bidi="ar-SA"/>
          </w:rPr>
          <w:t>Elwood v. Bridgestone Corp., [2004] B.C.J. No. 1476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Master Groves</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July 6, 2004.</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S015312</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[2004] B.C.J. No. 1476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2004 BCSC 949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132 A.C.W.S. (3d) 1029</w:t>
      </w:r>
    </w:p>
    <w:p>
      <w:pPr>
        <w:spacing w:before="120" w:line="260" w:lineRule="atLeast"/>
        <w:rPr>
          <w:lang w:val="en-US" w:eastAsia="en-US" w:bidi="ar-SA"/>
        </w:rPr>
      </w:pPr>
      <w:r>
        <w:rPr>
          <w:rFonts w:ascii="arial" w:eastAsia="arial" w:hAnsi="arial" w:cs="arial"/>
          <w:color w:val="000000"/>
          <w:sz w:val="20"/>
          <w:lang w:val="en-US" w:eastAsia="en-US" w:bidi="ar-SA"/>
        </w:rPr>
        <w:t>Between Anthony John Elwood, John Engleman, and Trans Pacific Equipment Inc., plaintiffs, and Bridgestone Corporation, Bridgestone Off The Road Tire Latin America and Bridgestone/Firestone Off Road Tire Company,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(28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79" style="position:absolute;z-index:25169203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15" w:name="Keywords_31"/>
      <w:bookmarkEnd w:id="215"/>
      <w:r>
        <w:rPr>
          <w:rFonts w:ascii="arial" w:eastAsia="arial" w:hAnsi="arial" w:cs="arial"/>
          <w:b/>
          <w:color w:val="000000"/>
          <w:sz w:val="20"/>
          <w:lang w:val="en-US" w:eastAsia="en-US" w:bidi="ar-SA"/>
        </w:rPr>
        <w:t>Civil procedure — Pleadings — Amendment of — Statement of claim — Striking out pleadings or allegations.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16" w:name="Case Summary_31"/>
            <w:bookmarkEnd w:id="216"/>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Motion by the defendants, Bridgestone and other related companies (hereinafter, Bridgestone) to strike certain aspects of the statement of claim of the plaintiffs, Elwood, Englewood and Trans Pacific Equipment (collectively, Elwood). The claim was for punitive, aggravated and exemplary damages against Bridgestone for defamation, slander of product and conspiracy as a result of allegedly making malicious false statements about the tires sold by Elwood, a competitor. </w:t>
            </w:r>
            <w:r>
              <w:rPr>
                <w:lang w:val="en-US" w:eastAsia="en-US" w:bidi="ar-SA"/>
              </w:rPr>
              <w:cr/>
            </w:r>
          </w:p>
          <w:p>
            <w:pPr>
              <w:spacing w:before="120" w:line="260" w:lineRule="atLeast"/>
              <w:ind w:left="240"/>
              <w:jc w:val="both"/>
              <w:rPr>
                <w:lang w:val="en-US" w:eastAsia="en-US" w:bidi="ar-SA"/>
              </w:rPr>
            </w:pPr>
            <w:bookmarkStart w:id="217" w:name="Holdings of Court_29"/>
            <w:bookmarkEnd w:id="217"/>
            <w:r>
              <w:rPr>
                <w:rFonts w:ascii="arial" w:eastAsia="arial" w:hAnsi="arial" w:cs="arial"/>
                <w:color w:val="000000"/>
                <w:sz w:val="20"/>
                <w:lang w:val="en-US" w:eastAsia="en-US" w:bidi="ar-SA"/>
              </w:rPr>
              <w:t>HELD: Motion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Claims were not struck at the preliminary stage, unless they were vexatious, inflammatory, an abuse of process, or clearly could not succeed. It was not argued that these elements existed in the statement of claim. A liberal approach allowing even weak and novel claims was appropriate. The punishment under the rules was the obligation to pay costs if one failed to prove its case. The case was still in the early stage. Contrary to Bridgestone's argument, the statement of claim sufficiently particularized the conspiracy and slander of product claims and it was not necessary for special damages for those claims to be set out now. However, Elwood was to particularize special damages in its amended statement of claim. As well, since discovery was yet to happen, it was not necessary for the statement of claim to set out the exact words relating to slander of product or defamation claims. The defendants were free to apply to strike the slander and defamation claims after discovery if they were not particularized at that time. Elwood was free to file its amended statement of claim. It was not necessary to strike the original statement of claim as it was now historical and was being replaced with an amended statement of claim. </w:t>
            </w:r>
            <w:r>
              <w:rPr>
                <w:lang w:val="en-US" w:eastAsia="en-US" w:bidi="ar-SA"/>
              </w:rPr>
              <w:cr/>
            </w:r>
          </w:p>
          <w:p>
            <w:pPr>
              <w:rPr>
                <w:lang w:val="en-US" w:eastAsia="en-US" w:bidi="ar-SA"/>
              </w:rPr>
            </w:pPr>
          </w:p>
        </w:tc>
      </w:tr>
    </w:tbl>
    <w:p>
      <w:pPr>
        <w:jc w:val="both"/>
        <w:rPr>
          <w:lang w:val="en-US" w:eastAsia="en-US" w:bidi="ar-SA"/>
        </w:rPr>
      </w:pPr>
      <w:bookmarkStart w:id="218" w:name="Counsel_32"/>
      <w:bookmarkEnd w:id="218"/>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80" style="position:absolute;z-index:25174323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Plaintiffs: G. Tucker and K. Fischer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Defendants, Bridgestone Corporation and Bridgestone Off The Road Tire Latin America: J. Fiddick and S. Vanderfluit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Defendants, Bridgestone/Firestone Off Road Tire Company: John R. Schmidt</w:t>
      </w:r>
      <w:r>
        <w:rPr>
          <w:lang w:val="en-US" w:eastAsia="en-US" w:bidi="ar-SA"/>
        </w:rPr>
        <w:cr/>
      </w:r>
    </w:p>
    <w:p>
      <w:pPr>
        <w:spacing w:after="240"/>
        <w:rPr>
          <w:lang w:val="en-US" w:eastAsia="en-US" w:bidi="ar-SA"/>
        </w:rPr>
      </w:pPr>
      <w:bookmarkStart w:id="219" w:name="Judgment_32"/>
      <w:bookmarkEnd w:id="219"/>
      <w:r>
        <w:pict>
          <v:line id="_x0000_s1181" style="position:absolute;z-index:251794432" from="0,12pt" to="512pt,12pt" strokecolor="#009ddb" strokeweight="1.5pt">
            <v:stroke linestyle="single"/>
          </v:line>
        </w:pict>
      </w:r>
    </w:p>
    <w:p>
      <w:pPr>
        <w:spacing w:before="120" w:line="240" w:lineRule="atLeast"/>
        <w:ind w:firstLine="240"/>
        <w:rPr>
          <w:lang w:val="en-US" w:eastAsia="en-US" w:bidi="ar-SA"/>
        </w:rPr>
      </w:pPr>
      <w:r>
        <w:rPr>
          <w:rFonts w:ascii="arial" w:eastAsia="arial" w:hAnsi="arial" w:cs="arial"/>
          <w:color w:val="000000"/>
          <w:sz w:val="18"/>
          <w:lang w:val="en-US" w:eastAsia="en-US" w:bidi="ar-SA"/>
        </w:rPr>
        <w:t>[Editor's note: An erratum was released by the Court July 6, 2004. The correction has been made to the text and the erratum is appended to this document.]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9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20" w:name="MASTER GROVES (orally)"/>
            <w:bookmarkEnd w:id="220"/>
            <w:r>
              <w:rPr>
                <w:rFonts w:ascii="arial" w:eastAsia="arial" w:hAnsi="arial" w:cs="arial"/>
                <w:b/>
                <w:color w:val="000000"/>
                <w:sz w:val="30"/>
                <w:lang w:val="en-US" w:eastAsia="en-US" w:bidi="ar-SA"/>
              </w:rPr>
              <w:t>MASTER GROVES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Thank you, gentlemen. This is in the matter of Anthony John Elwood, John Engleman, and Trans Pacific Equipment Inc. as plaintiffs in Bridgestone Corporation, Bridgestone Off Road Latin America SA and Bridgestone/Firestone Off Road Tire Company as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An application has been brought before the court by the defendant, Bridgestone/Firestone Off Road Tire Company, which I will call Bridgestone Off Road, to have aspects of the plaintiffs' statement of claim struck. The motion which sets out the defendants' claim for relief is dated the 2nd of April, 2004.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Bridgestone Corporation, Bridgestone Off the Road Tire Latin America SA and Bridgestone Off Road are all related companies.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Elwood, filed a statement of claim on the 21st of September, 2001. The claim alleges that in late 1999 when the plaintiff was attempting to sell tires in competition with Bridgestone, the various Bridgestone Corporations embarked on a campaign, so they argue, to essentially put the plaintiffs out of business. They say that the campaign involved making false statements concerning the tires in question, false statements which have been specified, to some degree, in the statement of claim. The plaintiffs say in their statement of claim that they repeatedly offered to make the tires that they were attempting to sell available to the various defendants for testing to show that the concerns raised by the various defendants in their alleged statements were not valid concerns. The concerns raised were essentially that the tires had been damaged by exposure to oil or other contaminants, and that they were not fit for the intended purpose.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allege in their statement of claim that their efforts to have the defendants test the tires were all rebuffed.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say that the primary motive of the various defendants was not a legitimate safety concern for the customers that they potentially had in common, but it was to ensure that the plaintiffs could not sell the tires in competition with the Bridgestone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plaintiffs also say that the defendants knew that the tires were not dangerous or defective, or alternatively, they should have known that, and they acted recklessly and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their actions.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the facts played out, the tires were ultimately inspected by a Bridgestone entity which found them safe and fit to use. Eventually, a Bridgestone entity purchased and re-sold the tires in question at a substantial profit.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pled the torts of inducing breach of contract, interference with economic and contractual relations, conspiracy, defamation, slander of product and injurious falsehood. The plaintiffs alleged malice. They alleged that they have suffered a loss of profit in connection with the tires, wasted expense, and a loss of reputation, and they claim punitive, aggravated and exemplary damages. There was also initially a claim for trespass to the tires, which, as will be pointed out later in these reasons, has been dropped in a proposed amended statement of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This matter was argued before me last week on the 30th of June, 2004 for a full day. However, prior to that date, on a date on which I unfortunately cannot find in my review of matters late last night and this morning, but sometime earlier in June I heard about an hour and a half's application on the matter. It seemed clear to me at that earlier application, and I should add not unusual, that the original statement of claim had some deficiencies. It seemed clear from a practical point of view, that I would give the plaintiff an opportunity to amend their statement of claim prior to striking their claim. So as to avoid the necessity of a new application and delay, being faced with a trial date sometime soon, I directed at the original hearing that the plaintiff provide, by a specific date, a redrafted amended writ of summons and statement of claim, and that all parties return on the 30th of June to further consider the matter to see if the issues of concern raised by the defendant in their motion had been addressed by a redrafted statement of claim. The statement of claim has been amended in a proposed form, and it is attached to the plaintiff's supplemental argument. The plaintiffs urge that I order that they have liberty to file this amended statement of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Having had an opportunity to consider the proposed amendments, Bridgestone Off Road, supported by the primary defendant, Bridgestone Corporation, urge upon the court the following relief: Firstly, they request that the original statement of claim for defamation, slander of product, and conspiracy be struck. Secondly, they request that the particulars filed, both the requested particulars and the voluntary particulars filed in regards to the original statement of claim, also be struck. Thirdly they request an order that the plaintiff file an amended statement of claim generally, but without the conspiracy allegations as set out in paragraph 34 and 35 of the draft, without the slander of product allegations as set out in paragraphs 91 and 93 of the draft, without the defamation allegations set out in paragraph 125 and 126 of the draft, and without reference to the defamation related to an additional Bridgestone Company, Bridgestone Australia, who is not named as a defendant. A fourth request is that the plaintiff be required to incorporate particulars of special damages in the new amended statement of claim. Those particulars were provided in regards to the original statement of claim, but do not appear in either the original statement of claim or the amended statement of claim per se. A fifth request is the plaintiffs request that the defendants be required to particularize their loss of reputation claim by way of particulars. Finally, the defendants request the court to assess costs and special costs for allegations which appeared in the original statement of claim which are now withdrawn.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will first deal with some general principles that are applicable, in my view, to this type of application in which prior to trial a party wishes to strike a certain aspect of the other party's pleadings. In my view, it is unusual to strike claims in statement of claims at a preliminary stage. The rules provide that claims can be struck as a result of failure to comply with the rules. That is a form of punishment for a person not playing the game properly, so to speak. The rules also provide that claims can be struck if they are vexatious, inflammatory, and abuse of process. These are words used in various case law and under the rules of court. General principles also suggest, and the rules suggest, that claims can be struck if there is no possibility of success upon an examination. It has not been argued that any of these aspects are present in either the original statement of claim or the amended statement of claim. In my view the courts have to take a relatively liberal approach, and the administration of justice requires a liberal approach, when one looks at striking claims and looks at pleadings generally. The effective administration of justice, in my view, requires plaintiffs to be generally allowed to advocate claims, even weak claims, even novel claims, and even unique approaches to satisfying long-standing requirements of proving claims. The law is an evolving entity. Creativity is not to be harnessed. Only on the rarest of occasions when the creativity or the novelty of a claim can be viewed itself as an injustice would it be appropriate for the courts to strike claims at a preliminary stage which attempt to broaden the scope of the law or attempt to approach a means of proving a claim in a different fashion.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That is not to say that there are consequences and remedies for parties who are forced to defend weak claims or novel claims, or forced to defend unusual approaches to claims. Parties to litigation must be mindful of the obligation at the end of the day to pay costs. That is the "punishment" that our rules provide for a party who fails to prove its case. Costs can be considerable. Certainly, special costs can be enormous.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Turning to the defendants' claims in reqards to the amended statement of claim, their third request first, the defendant seeks to strike out the defamation, slander of product, and conspiracy claims. In regards to the conspiracy claims which are set out in paragraph 34 and 35 of the draft, the defendants argue that the elements of conspiracy are the requirement to identify who the parties are, what the agreement or conspiracy between the parties is, the purpose or object of the alleged conspiracy, the overt acts in furtherance of the conspiracy, and finally the injury or damage to the plaintiff by the conspiracy. They state that there is a need to clarify or plead the special damages which result from the conspiracy in order for the claim to survive.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regards to the test for slander of product, the test that is articulated by the defendant is that the defendants have published words in a disparaging manner of the plaintiffs' goods, that the words were false, that they were published, and that special damages arise. Again, the defendants argue the need to clarify special damages and to set out exact words. They view the current proposed amended statement of claim as being deficient in those two areas, failing to clarify damages and set out the exact words.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regards to the defamation claim, the defendant states that it is necessary to plead exact words, and this cannot be covered by a promise to provide further details at some point in the future.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regards to the Australian Bridgestone allegations, the next concern raised about the proposed amended statement of claim, the defendants argue that there is insufficient connection between any of the defendants to make this aspect of the pleadings survivable.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plaintiffs in response say that in regards to conspiracy, there is no need to set out specific damages related to the conspiracy. They believe that it is covered in their loss of profit claim, and their loss of income claim. In regards to the slander of product, the plaintiffs say that the exact words are not necessary. This is a similar argument to their argument in support of the defamation claim. They say that there is no need to plead special damages here, just as they say there is not such a requirement in the conspiracy claim. They urge the court to consider the case of Brown v. Cole, </w:t>
      </w:r>
      <w:hyperlink r:id="rId546" w:history="1">
        <w:r>
          <w:rPr>
            <w:rFonts w:ascii="arial" w:eastAsia="arial" w:hAnsi="arial" w:cs="arial"/>
            <w:i/>
            <w:color w:val="0077CC"/>
            <w:sz w:val="20"/>
            <w:u w:val="single"/>
            <w:shd w:val="clear" w:color="auto" w:fill="FFFFFF"/>
            <w:lang w:val="en-US" w:eastAsia="en-US" w:bidi="ar-SA"/>
          </w:rPr>
          <w:t>[1994] B.C.J. No. 2356</w:t>
        </w:r>
      </w:hyperlink>
      <w:r>
        <w:rPr>
          <w:rFonts w:ascii="arial" w:eastAsia="arial" w:hAnsi="arial" w:cs="arial"/>
          <w:color w:val="000000"/>
          <w:sz w:val="20"/>
          <w:lang w:val="en-US" w:eastAsia="en-US" w:bidi="ar-SA"/>
        </w:rPr>
        <w:t xml:space="preserve"> in this regard.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regards to the defamation claim, the plaintiff says that they should be at liberty to further particularize the claim after discovery. Finally, in regards to the defamation concerning the Australia company, or the claim of defamation concerning the Australia company, they believe their claim will be saved by adding a provision that the Bridgestone Corporation defendant and Bridgestone Australia are joint tortfeasors in regards to defamation, as they have set out in paragraph 95 of their statement of claim in regards to other aspects of the claim. This would occur somewhere after paragraph 118 of the new statement of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regards to the concerns about the conspiracy claim, and in regards to the pleadings generally, though the trial is fast approaching in this matter, I accept that there is a substantial likelihood that this matter will not be ready for trial. The discoveries have not yet taken place, and we are still, at this late stage, working on basic issues of pleadings. For that reason, I think it is necessary to take the approach that though this litigation has been long-standing, it is really, to some degree, at a very early stage. In my view, it is not a correct summary of the law to say that in regards to the conspiracy claim it is necessary for the plaintiff to set out special damages related to that conspiracy. The plaintiffs, in my view, in their statement of claim in the conspiracy section that is impugned by the defendants, have set out what they allege the conspiracy to be, who the parties are, and the fact that they have suffered damages. In my view they have sufficiently particularized the conspiracy claim at this stage in the pleadings so as to get over the hurdle of the court being satisfied that there is at least some prospect of success in their claim such that it should not be struck.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regards to the slander of products claim in the amended statement of claim, again the concerns raised by the defendant Bridgestone Off Road is that they feel there is a need for exact words, and again a need to plead special damages related to the slander of product. For the same reasons I noted in regards to conspiracy, the same conclusion applies in regards to the damages. In my view, it is sufficient for the plaintiff to say that they have suffered damages and to particularize those damages without necessarily saying under what specific head of damages or what specific tort those damages fall.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regards to the need for the exact words in the slander of product, that is the same concern that the defendants have raised in regards to the defamation, that exact words of the defamation and slander of product are required to be proven. To strike the claim for slander of product and defamation because again, at this relatively early stage, there is a lack of exact words, prior to discovery, seems to me to be draconian. The remedy is to allow the defendants the liberty to apply to strike these claims if not particularized after discovery. I have concluded that the proposed amendments as such should be allowed subject to that liberty.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Finally in regards to the claim related to Bridgestone Australia, I agree with counsel for the plaintiff that upon reviewing the pleadings there is not sufficient wording in the amended statement of claim to tie in the named Bridgestone Australia. But I also agree with counsel for the plaintiff that the Bridgestone Australia aspect of the claim can be tied together if there is an allegation added to the amended statement of claim that Bridgestone Australia and Bridgestone Corporation are joint tortfeasors, similar to what is currently paragraph 95 of the amended statement of claim, and this should appear somewhere after paragraph 118 of the proposed amended statement of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have therefore concluded that there should be an order granting the plaintiff liberty to file the amended writ of summons and statement of claim subject to the requirement to add in a reference somewhere after paragraph 118 to Bridgestone Australia and Bridgestone Corporation being joint feasors, and subject as well to the defendants having specific liberty to apply to strike the slander of product and defamation claims after discovery if they are not particularized. So subject to that, and what I'm about to add, the amended writ of summons and statement of claim will be allowed.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Additionally I am going to require in the amended writ of summons and statement of claim, the plaintiff to particularize the special damages. Those are to be set out in the amended statement of claim as the defendants have requested. So that will have to appear as well in the amended statement of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Next, in regards to the defendants' request for further particularization related to the loss of reputation, I am not going to require that to be set out in the statement of claim. I am however going to require the plaintiffs to provide particulars by the 22nd of July 2004 of their loss of reputation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Turning now to the defendants' request that I strike the original statement of claim, and I strike the particulars filed in support of that statement of claim, I have ordered that the amendments be allowed. In my view, there is no need to strike the statement of claim or the particulars in regards to that statement of claim because having made the order I have made, those documents are only of historical significance. They do not form part of the pleadings any longer, and there is no need for them to be formally struck.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regards to costs, I am going to allow the defendants claims for costs related only to the costs thrown away in dealing with claims raised by the plaintiffs which have been abandoned as a result of the filing of the amended statement of claim. The defendants are to have their costs on scale 3 in regards to those claims. In regards to the balance of this application, there will simply be costs in the cause. Thank you.</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MASTER GROVES</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 * * * *</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ERRATUM</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Released: July 6, 2004.</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Appearances of Counsel should read as follows: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Plaintiffs: G. Tucker and K. Fischer;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Defendants, Bridgestone Corporation and Bridgestone Off The Road Tire Latin America: J. Fiddick and S. Vanderfluit;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Defendants, Bridgestone/Firestone Off Road Tire Company: John R. Schmidt.</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8446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53" w:history="1">
        <w:r>
          <w:rPr>
            <w:rFonts w:ascii="arial" w:eastAsia="arial" w:hAnsi="arial" w:cs="arial"/>
            <w:b/>
            <w:bCs/>
            <w:i/>
            <w:color w:val="0077CC"/>
            <w:kern w:val="32"/>
            <w:sz w:val="28"/>
            <w:szCs w:val="32"/>
            <w:u w:val="single"/>
            <w:shd w:val="clear" w:color="auto" w:fill="FFFFFF"/>
            <w:lang w:val="en-US" w:eastAsia="en-US" w:bidi="ar-SA"/>
          </w:rPr>
          <w:t>Endean v. Canadian Red Cross Society, [2000] B.C.J. No. 1254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K.J.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8 - 10, 1999 and January 18 - 20,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22,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C965349 and A981187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1254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971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8 W.W.R. 294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78 B.C.L.R. (3d) 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45 C.P.C. (4th) 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97 A.C.W.S. (3d) 550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Anita Endean, as representative plaintiff, plaintiff, and The Canadian Red Cross Society, Her Majesty the Queen in Right of British Columbia, and the Attorney General of Canada, defendants, and Prince George Regional Hospital, Dr. William Galliford, Dr. Robert Hart Dykes, Dr. Peter Houghton, Dr. John Doe, Her Majesty the Queen in Right of Canada, and Her Majesty the Queen in Right of the Province of British Columbia, third parties (Vancouver Registry No. C965349) And between Christopher Forrest Mitchell, plaintiff, and The Canadian Red Cross Society, the Attorney General of Canada, and Her Majesty the Queen in Right of the Province of British Columbia, defendants (Vancouver Registry No. A981187)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3"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1" w:name="Keywords_32"/>
      <w:bookmarkEnd w:id="221"/>
      <w:r>
        <w:rPr>
          <w:rFonts w:ascii="arial" w:eastAsia="arial" w:hAnsi="arial" w:cs="arial"/>
          <w:b/>
          <w:color w:val="000000"/>
          <w:sz w:val="20"/>
          <w:lang w:val="en-US" w:eastAsia="en-US" w:bidi="ar-SA"/>
        </w:rPr>
        <w:t>Barristers and solicitors — Compensation — Agreements, contingent fees — Review and approval — Calculation of (incl. multiplier) — Measure of compensation — Class actions.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2" w:name="Case Summary_32"/>
            <w:bookmarkEnd w:id="22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lawyers in a class action for court approval of their fees. The lawyers represented British Columbia claimants in a national action against the Canadian Red Cross. The claimants formed two groups, the Endean group and the Mitchell group. The Endean group comprised British Columbia hemophiliacs who contracted hepatitis C because of Red Cross practices. The Mitchell group comprised others in the province who contracted the disease by transfusion. Nationally, lawyers reached a settlement totalling $1.6 billion, with legal costs to be paid out of the trust fund established to handle the award. The parties agreed that legal fees were not to exceed $52.5 million. All lawyers involved across Canada agreed to a global fee of $45 million for the Endean-type claimants and $7.5 million for the Mitchell-type. The Endean lawyers themselves sought $15 million plus disbursements and the Mitchell lawyers sought $500,000. The lawyers had engaged in extremely complex litigation as well as research into medical topics and public health care. One of the Endean lawyers was the first in the country to achieve certification of a class in the action, energizing the litigation nationally. He also served on a committee overseeing the structuring of the compensation. The Endean group's fee request amounted to a multiplier of 3.75. The multiplier for the Mitchell lawyers' request, on a somewhat more favourable result per claimant, was 5.5, although the Mitchell lawyers agreed that the bulk of the work on their case had been performed in Ontario.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3" w:name="Holdings of Court_30"/>
            <w:bookmarkEnd w:id="223"/>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Fees were approved as requested. Concerning the Endean group, counsel went far beyond the scope of services usually rendered by lawyers. They devoted a large percentage of their time to the case and turned down other retainers because of it. The litigation was highly complex and important, involving the largest settlement of a personal injury claim in Canadian history. Counsel were of high standing, acting for claimants who could not otherwise have paid for their services. They achieved excellent results against substantial risk of no recovery. Contingent fees were meant to reflect the risks involved, and British Columbia counsel sought reasonable fees commensurate with their participation in the result. Their requested fee represented only 4.26 per cent of the recovery. Many of the same considerations applied to the Mitchell group's counsel, whose requested fee represented only three percent of the result achieved for 11 per cent of the claimants nationally.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4" w:name="Legislation Cited_21"/>
      <w:bookmarkEnd w:id="2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4"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8-4(2).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Class Proceedings Act, s.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Proceedings Act, 1992, </w:t>
      </w:r>
      <w:hyperlink r:id="rId554" w:history="1">
        <w:r>
          <w:rPr>
            <w:rFonts w:ascii="arial" w:eastAsia="arial" w:hAnsi="arial" w:cs="arial"/>
            <w:i/>
            <w:color w:val="0077CC"/>
            <w:sz w:val="20"/>
            <w:u w:val="single"/>
            <w:shd w:val="clear" w:color="auto" w:fill="FFFFFF"/>
            <w:lang w:val="en-US" w:eastAsia="en-US" w:bidi="ar-SA"/>
          </w:rPr>
          <w:t>S.O. 1992, c. 6, s.33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Companies' Creditors Arrangement Act, </w:t>
      </w:r>
      <w:hyperlink r:id="rId555" w:history="1">
        <w:r>
          <w:rPr>
            <w:rFonts w:ascii="arial" w:eastAsia="arial" w:hAnsi="arial" w:cs="arial"/>
            <w:i/>
            <w:color w:val="0077CC"/>
            <w:sz w:val="20"/>
            <w:u w:val="single"/>
            <w:shd w:val="clear" w:color="auto" w:fill="FFFFFF"/>
            <w:lang w:val="en-US" w:eastAsia="en-US" w:bidi="ar-SA"/>
          </w:rPr>
          <w:t>R.S.C. 1985, c. C-36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Infants Act, </w:t>
      </w:r>
      <w:r>
        <w:rPr>
          <w:rFonts w:ascii="arial" w:eastAsia="arial" w:hAnsi="arial" w:cs="arial"/>
          <w:i/>
          <w:color w:val="000000"/>
          <w:sz w:val="20"/>
          <w:lang w:val="en-US" w:eastAsia="en-US" w:bidi="ar-SA"/>
        </w:rPr>
        <w:t>R.S.B.C. 1996, c. 223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Law Society of British Columbia Rules, Rule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Legal Profession Act, </w:t>
      </w:r>
      <w:hyperlink r:id="rId556" w:history="1">
        <w:r>
          <w:rPr>
            <w:rFonts w:ascii="arial" w:eastAsia="arial" w:hAnsi="arial" w:cs="arial"/>
            <w:i/>
            <w:color w:val="0077CC"/>
            <w:sz w:val="20"/>
            <w:u w:val="single"/>
            <w:shd w:val="clear" w:color="auto" w:fill="FFFFFF"/>
            <w:lang w:val="en-US" w:eastAsia="en-US" w:bidi="ar-SA"/>
          </w:rPr>
          <w:t>S.B.C. 1998, c. 9, ss. 66</w:t>
        </w:r>
      </w:hyperlink>
      <w:r>
        <w:rPr>
          <w:rFonts w:ascii="arial" w:eastAsia="arial" w:hAnsi="arial" w:cs="arial"/>
          <w:color w:val="000000"/>
          <w:sz w:val="20"/>
          <w:lang w:val="en-US" w:eastAsia="en-US" w:bidi="ar-SA"/>
        </w:rPr>
        <w:t>(2), 68(2), 68(6).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5" w:name="Counsel_33"/>
      <w:bookmarkEnd w:id="22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5" style="position:absolute;z-index:251795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J.J. Camp, Q.C., David P. Church, Sharon D. Matthews and Bruce W. Lemer, for the plaintiff, Anita Endean. Marvin R.V. Storrow, Q.C., and David E. Gruber, for the plaintiff, Christopher Forrest Mitchell. Gordon Turriff, D. Clifton Prowse and Keith Johnston, for the defendant/third party, Her Majesty the Queen in Right of the Province of British Columbia. Gordon Turriff and John R. Haig, Q.C., for the defendant, the Attorney General of Canada and the third party, Her Majesty the Queen in Right of Canada.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6" w:name="Judgment_33"/>
      <w:bookmarkEnd w:id="226"/>
      <w:r>
        <w:pict>
          <v:line id="_x0000_s1186" style="position:absolute;z-index:25184563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7" w:name="K.J. SMITH J."/>
            <w:bookmarkEnd w:id="227"/>
            <w:r>
              <w:rPr>
                <w:rFonts w:ascii="arial" w:eastAsia="arial" w:hAnsi="arial" w:cs="arial"/>
                <w:b/>
                <w:color w:val="000000"/>
                <w:sz w:val="30"/>
                <w:lang w:val="en-US" w:eastAsia="en-US" w:bidi="ar-SA"/>
              </w:rPr>
              <w:t>K.J.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application raises the question of the proper approach to the compensating of plaintiffs' counsel in class actions brought in British Columbia.</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These are two of six parallel lawsuits commenced in British Columbia, Quebec, and Ontario on behalf of residents of Canada infected directly and secondarily with Hepatitis C virus ("HCV") by the Canadian blood supply between January 1, 1986, and July 1, 1990. The Endean action concerns those British Columbia residents whose claims result from transfusion and the Mitchell action deals with infected haemophilic residents of the province. The background of these actions is described in Endean v. Canadian Red Cross Society </w:t>
      </w:r>
      <w:hyperlink r:id="rId557" w:history="1">
        <w:r>
          <w:rPr>
            <w:rFonts w:ascii="arial" w:eastAsia="arial" w:hAnsi="arial" w:cs="arial"/>
            <w:i/>
            <w:color w:val="0077CC"/>
            <w:sz w:val="20"/>
            <w:u w:val="single"/>
            <w:shd w:val="clear" w:color="auto" w:fill="FFFFFF"/>
            <w:lang w:val="en-US" w:eastAsia="en-US" w:bidi="ar-SA"/>
          </w:rPr>
          <w:t>(1997), 148 D.L.R. (4th) 158</w:t>
        </w:r>
      </w:hyperlink>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[1997] 10 W.W.R. 752</w:t>
        </w:r>
      </w:hyperlink>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36 B.C.L.R. (3d) 350</w:t>
        </w:r>
      </w:hyperlink>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37 C.C.L.T. (2d) 242</w:t>
        </w:r>
      </w:hyperlink>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11 C.P.C. (4th) 368</w:t>
        </w:r>
      </w:hyperlink>
      <w:r>
        <w:rPr>
          <w:rFonts w:ascii="arial" w:eastAsia="arial" w:hAnsi="arial" w:cs="arial"/>
          <w:color w:val="000000"/>
          <w:sz w:val="20"/>
          <w:lang w:val="en-US" w:eastAsia="en-US" w:bidi="ar-SA"/>
        </w:rPr>
        <w:t xml:space="preserve">, rev'd in part </w:t>
      </w:r>
      <w:hyperlink r:id="rId558" w:history="1">
        <w:r>
          <w:rPr>
            <w:rFonts w:ascii="arial" w:eastAsia="arial" w:hAnsi="arial" w:cs="arial"/>
            <w:i/>
            <w:color w:val="0077CC"/>
            <w:sz w:val="20"/>
            <w:u w:val="single"/>
            <w:shd w:val="clear" w:color="auto" w:fill="FFFFFF"/>
            <w:lang w:val="en-US" w:eastAsia="en-US" w:bidi="ar-SA"/>
          </w:rPr>
          <w:t>(1998), 157 D.L.R. (4th) 465</w:t>
        </w:r>
      </w:hyperlink>
      <w:r>
        <w:rPr>
          <w:rFonts w:ascii="arial" w:eastAsia="arial" w:hAnsi="arial" w:cs="arial"/>
          <w:color w:val="000000"/>
          <w:sz w:val="20"/>
          <w:lang w:val="en-US" w:eastAsia="en-US" w:bidi="ar-SA"/>
        </w:rPr>
        <w:t xml:space="preserve">, </w:t>
      </w:r>
      <w:hyperlink r:id="rId558" w:history="1">
        <w:r>
          <w:rPr>
            <w:rFonts w:ascii="arial" w:eastAsia="arial" w:hAnsi="arial" w:cs="arial"/>
            <w:i/>
            <w:color w:val="0077CC"/>
            <w:sz w:val="20"/>
            <w:u w:val="single"/>
            <w:shd w:val="clear" w:color="auto" w:fill="FFFFFF"/>
            <w:lang w:val="en-US" w:eastAsia="en-US" w:bidi="ar-SA"/>
          </w:rPr>
          <w:t>[1998] 9 W.W.R. 136</w:t>
        </w:r>
      </w:hyperlink>
      <w:r>
        <w:rPr>
          <w:rFonts w:ascii="arial" w:eastAsia="arial" w:hAnsi="arial" w:cs="arial"/>
          <w:color w:val="000000"/>
          <w:sz w:val="20"/>
          <w:lang w:val="en-US" w:eastAsia="en-US" w:bidi="ar-SA"/>
        </w:rPr>
        <w:t xml:space="preserve">, </w:t>
      </w:r>
      <w:hyperlink r:id="rId558" w:history="1">
        <w:r>
          <w:rPr>
            <w:rFonts w:ascii="arial" w:eastAsia="arial" w:hAnsi="arial" w:cs="arial"/>
            <w:i/>
            <w:color w:val="0077CC"/>
            <w:sz w:val="20"/>
            <w:u w:val="single"/>
            <w:shd w:val="clear" w:color="auto" w:fill="FFFFFF"/>
            <w:lang w:val="en-US" w:eastAsia="en-US" w:bidi="ar-SA"/>
          </w:rPr>
          <w:t>106 B.C.A.C. 73</w:t>
        </w:r>
      </w:hyperlink>
      <w:r>
        <w:rPr>
          <w:rFonts w:ascii="arial" w:eastAsia="arial" w:hAnsi="arial" w:cs="arial"/>
          <w:color w:val="000000"/>
          <w:sz w:val="20"/>
          <w:lang w:val="en-US" w:eastAsia="en-US" w:bidi="ar-SA"/>
        </w:rPr>
        <w:t xml:space="preserve">, </w:t>
      </w:r>
      <w:hyperlink r:id="rId558" w:history="1">
        <w:r>
          <w:rPr>
            <w:rFonts w:ascii="arial" w:eastAsia="arial" w:hAnsi="arial" w:cs="arial"/>
            <w:i/>
            <w:color w:val="0077CC"/>
            <w:sz w:val="20"/>
            <w:u w:val="single"/>
            <w:shd w:val="clear" w:color="auto" w:fill="FFFFFF"/>
            <w:lang w:val="en-US" w:eastAsia="en-US" w:bidi="ar-SA"/>
          </w:rPr>
          <w:t>48 B.C.L.R. (3d) 90</w:t>
        </w:r>
      </w:hyperlink>
      <w:r>
        <w:rPr>
          <w:rFonts w:ascii="arial" w:eastAsia="arial" w:hAnsi="arial" w:cs="arial"/>
          <w:color w:val="000000"/>
          <w:sz w:val="20"/>
          <w:lang w:val="en-US" w:eastAsia="en-US" w:bidi="ar-SA"/>
        </w:rPr>
        <w:t xml:space="preserve">, </w:t>
      </w:r>
      <w:hyperlink r:id="rId558" w:history="1">
        <w:r>
          <w:rPr>
            <w:rFonts w:ascii="arial" w:eastAsia="arial" w:hAnsi="arial" w:cs="arial"/>
            <w:i/>
            <w:color w:val="0077CC"/>
            <w:sz w:val="20"/>
            <w:u w:val="single"/>
            <w:shd w:val="clear" w:color="auto" w:fill="FFFFFF"/>
            <w:lang w:val="en-US" w:eastAsia="en-US" w:bidi="ar-SA"/>
          </w:rPr>
          <w:t>42 C.C.L.T. 222</w:t>
        </w:r>
      </w:hyperlink>
      <w:r>
        <w:rPr>
          <w:rFonts w:ascii="arial" w:eastAsia="arial" w:hAnsi="arial" w:cs="arial"/>
          <w:color w:val="000000"/>
          <w:sz w:val="20"/>
          <w:lang w:val="en-US" w:eastAsia="en-US" w:bidi="ar-SA"/>
        </w:rPr>
        <w:t xml:space="preserve"> (C.A.), leave to appeal granted, </w:t>
      </w:r>
      <w:hyperlink r:id="rId559" w:history="1">
        <w:r>
          <w:rPr>
            <w:rFonts w:ascii="arial" w:eastAsia="arial" w:hAnsi="arial" w:cs="arial"/>
            <w:i/>
            <w:color w:val="0077CC"/>
            <w:sz w:val="20"/>
            <w:u w:val="single"/>
            <w:shd w:val="clear" w:color="auto" w:fill="FFFFFF"/>
            <w:lang w:val="en-US" w:eastAsia="en-US" w:bidi="ar-SA"/>
          </w:rPr>
          <w:t>[1998] S.C.C.A. No. 260</w:t>
        </w:r>
      </w:hyperlink>
      <w:r>
        <w:rPr>
          <w:rFonts w:ascii="arial" w:eastAsia="arial" w:hAnsi="arial" w:cs="arial"/>
          <w:color w:val="000000"/>
          <w:sz w:val="20"/>
          <w:lang w:val="en-US" w:eastAsia="en-US" w:bidi="ar-SA"/>
        </w:rPr>
        <w:t xml:space="preserve"> (S.C.C.) ("Endean No. 1"), wherein I certified the Endean action as a class proceeding pursuant to the 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A settlement was ultimately reached between the plaintiffs and the Federal, Provincial, and Territorial Governments (the "FPT Governments") in one pan-Canadian negotiation and was approved by orders granted in each of the British Columbia Supreme Court, the Ontario Superior Court of Justice, and the Quebec Superior Court. The terms of the settlement and the reasons for approval are described in my decision in Endean v. Canadian Red Cross Society (1999), </w:t>
      </w:r>
      <w:hyperlink r:id="rId560" w:history="1">
        <w:r>
          <w:rPr>
            <w:rFonts w:ascii="arial" w:eastAsia="arial" w:hAnsi="arial" w:cs="arial"/>
            <w:i/>
            <w:color w:val="0077CC"/>
            <w:sz w:val="20"/>
            <w:u w:val="single"/>
            <w:shd w:val="clear" w:color="auto" w:fill="FFFFFF"/>
            <w:lang w:val="en-US" w:eastAsia="en-US" w:bidi="ar-SA"/>
          </w:rPr>
          <w:t>[2000] 1 W.W.R. 688</w:t>
        </w:r>
      </w:hyperlink>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68 B.C.L.R. (3d) 350</w:t>
        </w:r>
      </w:hyperlink>
      <w:r>
        <w:rPr>
          <w:rFonts w:ascii="arial" w:eastAsia="arial" w:hAnsi="arial" w:cs="arial"/>
          <w:color w:val="000000"/>
          <w:sz w:val="20"/>
          <w:lang w:val="en-US" w:eastAsia="en-US" w:bidi="ar-SA"/>
        </w:rPr>
        <w:t xml:space="preserve">, the decision of Winkler J. in Parsons v. Canadian Red Cross Society, </w:t>
      </w:r>
      <w:hyperlink r:id="rId561" w:history="1">
        <w:r>
          <w:rPr>
            <w:rFonts w:ascii="arial" w:eastAsia="arial" w:hAnsi="arial" w:cs="arial"/>
            <w:i/>
            <w:color w:val="0077CC"/>
            <w:sz w:val="20"/>
            <w:u w:val="single"/>
            <w:shd w:val="clear" w:color="auto" w:fill="FFFFFF"/>
            <w:lang w:val="en-US" w:eastAsia="en-US" w:bidi="ar-SA"/>
          </w:rPr>
          <w:t>[1999] O.J. No. 3572</w:t>
        </w:r>
      </w:hyperlink>
      <w:r>
        <w:rPr>
          <w:rFonts w:ascii="arial" w:eastAsia="arial" w:hAnsi="arial" w:cs="arial"/>
          <w:color w:val="000000"/>
          <w:sz w:val="20"/>
          <w:lang w:val="en-US" w:eastAsia="en-US" w:bidi="ar-SA"/>
        </w:rPr>
        <w:t xml:space="preserve"> (S.C.J.), and the decision of Morneau J. in Honhon c. Canada (Procureur général), </w:t>
      </w:r>
      <w:hyperlink r:id="rId562" w:history="1">
        <w:r>
          <w:rPr>
            <w:rFonts w:ascii="arial" w:eastAsia="arial" w:hAnsi="arial" w:cs="arial"/>
            <w:i/>
            <w:color w:val="0077CC"/>
            <w:sz w:val="20"/>
            <w:u w:val="single"/>
            <w:shd w:val="clear" w:color="auto" w:fill="FFFFFF"/>
            <w:lang w:val="en-US" w:eastAsia="en-US" w:bidi="ar-SA"/>
          </w:rPr>
          <w:t>[1999] J.Q. no 4370</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settlement agreement requires the FPT Governments to pay monies into a trust fund to be invested and managed for the benefit of the class plaintiffs. Payment of fees to class counsel is provided for in clause 13.03 of the agreement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fees, disbursements, costs, GST and other applicable taxes of Class Action Counsel will be paid out of the Trust. Fees will be fixed by the Court in each Class Action on the basis of a lump sum, hourly rate, hourly rate increased by a multiplier or otherwise, but not on the basis of a percentage of the Settlement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Although it was not spelled out in the formal agreement, the parties agreed, as well, that the fees as approved by the courts shall not exceed $52,500,000 in total.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Counsel for the plaintiffs have agreed among themselves to seek approval of fees of $7,500,000 for those representing the haemophilic classes and $45,000,000 for those representing the transfused classes. Mr. Camp and Mr. Lemer, counsel for Ms. Endean and the class she represents, seek approval of a fee of $15,000,000 plus disbursements. From their fee, they will pay the fees of several other lawyers who acted for particular members of the British Columbia transfused class. Mr. Storrow, counsel for the plaintiffs in the Mitchell action, seeks approval of a fee of $500,000 plus disbursements. Each of the applicants has a contingent-fee contract with his representative plaintiff providing for payment of a lump-sum fee in the amount claimed and disbursements.</w:t>
      </w:r>
      <w:r>
        <w:rPr>
          <w:rFonts w:ascii="arial" w:eastAsia="arial" w:hAnsi="arial" w:cs="arial"/>
          <w:sz w:val="20"/>
          <w:lang w:val="en-US" w:eastAsia="en-US" w:bidi="ar-SA"/>
        </w:rPr>
        <w:cr/>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Class Proceedings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applications are brought pursuant to s. 38 of the Class Proceedings Act, which provides, in relevant part, as follows: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 An agreement respecting fees and disbursements between a solicitor and a representative plaintiff must be in writing and must</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state the terms under which fees and disbursements are to be paid,</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give an estimate of the expected fee, whether or not that fee is contingent on success in the class proceeding, and</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state the method by which payment is to be made, whether by lump sum or otherwise.</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agreement respecting fees and disbursements between a solicitor and a representative plaintiff is not enforceable unless approved by the court, on the application of the solicitor.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agreement is not approved by the court, the court may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determine the amount owing to the solicitor in respect of fees and disbursements,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 an inquiry, assessment or accounting under the Rules of Court to determine the amount owing,</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 that the amount owing be determined in any other manner, or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any other or further order it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agreements in question satisfy the requirements of s-s. 38(1). The issue is whether they should be approved pursuant to s-s. 38(2) and, if not, what disposition should be made pursuant to s-s. 38(7).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Class Proceedings Act provides no guidance as to how the court should approach the approval. Accordingly, the statutory and common law of general application in respect of solicitors' fees must apply. I will return to this aspect of the discussion after considering the approach proposed by Mr. Turriff on behalf of the FPT Governments.</w:t>
      </w:r>
      <w:r>
        <w:rPr>
          <w:rFonts w:ascii="arial" w:eastAsia="arial" w:hAnsi="arial" w:cs="arial"/>
          <w:sz w:val="20"/>
          <w:lang w:val="en-US" w:eastAsia="en-US" w:bidi="ar-SA"/>
        </w:rPr>
        <w:cr/>
      </w:r>
    </w:p>
    <w:p>
      <w:pPr>
        <w:numPr>
          <w:numId w:val="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approach proposed by the FPT Governments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preface these comments by observing that I requested the assistance on this application of counsel for the FPT Governments. In my view, they are in a uniquely advantageous position to comment on the litigation risks run by plaintiffs' counsel and on the value of the contributions made by them to the ultimate settlement, which are the two issues upon which Mr. Turriff focussed his submissions. However, Mr. Turriff did not put before me any evidence of the opinions or observations of Messrs. Whitehall, Haig, or Prowse, who carried these actions for the FPT Governments and negotiated the settlement with plaintiffs' counsel. That is unfortunate, as I remain of the view that their opinions would have been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Turriff suggested a method of assessing lawyers' fees based on an approach that has been used in Ontario and in the United States, known in those jurisdictions respectively as the "base-fee/multiplier" approach and the "lodestar/multiplier" approach. In Mr. Turriff's submission, this method is grounded in economic theory and is a rational and scientific approach to the assessment of lawyers' fees. He contrasted this with the traditional approach in British Columbia, which he characterized as based on "intuition and impression."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the multiplier method has a history in Ontario and in the United States, I will first consider the situation in those jurisdictions.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Ontario Class Proceedings Act, 1992, </w:t>
      </w:r>
      <w:hyperlink r:id="rId563" w:history="1">
        <w:r>
          <w:rPr>
            <w:rFonts w:ascii="arial" w:eastAsia="arial" w:hAnsi="arial" w:cs="arial"/>
            <w:i/>
            <w:color w:val="0077CC"/>
            <w:sz w:val="20"/>
            <w:u w:val="single"/>
            <w:shd w:val="clear" w:color="auto" w:fill="FFFFFF"/>
            <w:lang w:val="en-US" w:eastAsia="en-US" w:bidi="ar-SA"/>
          </w:rPr>
          <w:t>S.O. 1992, c. 6</w:t>
        </w:r>
      </w:hyperlink>
      <w:r>
        <w:rPr>
          <w:rFonts w:ascii="arial" w:eastAsia="arial" w:hAnsi="arial" w:cs="arial"/>
          <w:color w:val="000000"/>
          <w:sz w:val="20"/>
          <w:lang w:val="en-US" w:eastAsia="en-US" w:bidi="ar-SA"/>
        </w:rPr>
        <w:t>, provides, in s-s. 33(1), that lawyers for a representative plaintiff may enter into fee agreements providing for payment of fees only in the event of success. Sub-sections 33(3) to (8) provide for the multiplier approach advocated by Mr. Turriff. "Base fee" is defined in s-s. (3) as the product of the total number of hours worked by the solicitor and an hourly rate, and "multiplier" is defined as a multiple to be applied to the base fee. Sub-sections (4) through (8) enact that the solicitor may apply to have his or her fees increased by a multiplier and that, on such an application, the court must determine a "reasonable" base fee and may then apply a multiplier that "results in fair and reasonable compensation to the solicitor for the risk incurred in undertaking and continuing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However, contingent fees derived other than from a base fee/multiplier are not prohibited in class actions in Ontario: see Nantais v. Telectronics Proprietary (Canada) Ltd. </w:t>
      </w:r>
      <w:hyperlink r:id="rId564" w:history="1">
        <w:r>
          <w:rPr>
            <w:rFonts w:ascii="arial" w:eastAsia="arial" w:hAnsi="arial" w:cs="arial"/>
            <w:i/>
            <w:color w:val="0077CC"/>
            <w:sz w:val="20"/>
            <w:u w:val="single"/>
            <w:shd w:val="clear" w:color="auto" w:fill="FFFFFF"/>
            <w:lang w:val="en-US" w:eastAsia="en-US" w:bidi="ar-SA"/>
          </w:rPr>
          <w:t>(1996), 28 O.R. (3d) 523</w:t>
        </w:r>
      </w:hyperlink>
      <w:r>
        <w:rPr>
          <w:rFonts w:ascii="arial" w:eastAsia="arial" w:hAnsi="arial" w:cs="arial"/>
          <w:color w:val="000000"/>
          <w:sz w:val="20"/>
          <w:lang w:val="en-US" w:eastAsia="en-US" w:bidi="ar-SA"/>
        </w:rPr>
        <w:t xml:space="preserve"> (Gen. Div.) and Crown Bay Hotel Ltd. Partnership v. Zurich Indemnity Co. of Canada </w:t>
      </w:r>
      <w:hyperlink r:id="rId565" w:history="1">
        <w:r>
          <w:rPr>
            <w:rFonts w:ascii="arial" w:eastAsia="arial" w:hAnsi="arial" w:cs="arial"/>
            <w:i/>
            <w:color w:val="0077CC"/>
            <w:sz w:val="20"/>
            <w:u w:val="single"/>
            <w:shd w:val="clear" w:color="auto" w:fill="FFFFFF"/>
            <w:lang w:val="en-US" w:eastAsia="en-US" w:bidi="ar-SA"/>
          </w:rPr>
          <w:t>(1998), 40 O.R. (3d) 83</w:t>
        </w:r>
      </w:hyperlink>
      <w:r>
        <w:rPr>
          <w:rFonts w:ascii="arial" w:eastAsia="arial" w:hAnsi="arial" w:cs="arial"/>
          <w:color w:val="000000"/>
          <w:sz w:val="20"/>
          <w:lang w:val="en-US" w:eastAsia="en-US" w:bidi="ar-SA"/>
        </w:rPr>
        <w:t xml:space="preserve"> (Gen. Div.). In the latter decision, Winkler J. approved a percentage contingent fee and observed, at p. 88, that percentage contingent fees may be desirable to promote the policy objective of judicial economy in that they encourage efficiency in the litigation and discourage unnecessary work that might otherwise be done by the lawyer simply in order to increase the base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Justice Winkler's observation has support in the American experience, which is discussed in the decision of the United States Court of Appeals, District of Columbia Circuit, in Swedish Hosp. Corp. v. Shalala, 1 F.3d 1261 (D.C. Cir. 1993). In that case, the Court observed, at pp. 1265-66, that the percentage-of-the-fund method of calculating fees was the most common approach in the United States until 1973. The rationale underlying this method is that plaintiffs' attorneys who create a common fund for a class of individuals should be paid a reasonable fee from the fund as a whole in order to avoid the unjust enrichment of class members who would not otherwise contribute to the legal costs [p. 1265].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Court recounted that, in Lindy Brothers Builders, Inc. v. American Radiator &amp; Standard Sanitary Corp., 487 F.2d 161 (3d Cir. 1973), the Third Circuit introduced the "lodestar/multiplier" approach in reaction to a perception that percentage fees sometimes resulted in large fee awards. The lodestar, like the base fee in Ontario, is the product of the hours reasonably spent and a reasonable hourly rate. Under this approach, the lodestar is to be adjusted upward or downward by a multiplier to reflect such factors as the contingency nature of the case and the quality of the lawyers'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Court went on to explain, at p. 1266, that the lodestar approach gained predominance in the United States until the Third Circuit appointed a task force to compare the respective merits of the two approaches. The task-force report described the lodestar method as a "cumbersome, enervating, and often surrealistic process of preparing and evaluating fee petitions that now plagues the Bench and Bar." The report enumerated several criticisms of the lodestar approach, which are summarized at pp. 1266-67 as follows: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"increases the workload of an already overtaxed judicial system"; 2) the elements of the process "are insufficiently objective and produce results that are far from homogeneous"; 3) the process "creates a sense of mathematical precision that is unwarranted in terms of the realities of the practice of law"; 4) the process "is subject to manipulation by judges who prefer to calibrate fees in terms of percentages of the settlement fund or the amounts recovered by the plaintiffs or of an overall dollar amount"; 5) the process, although designed to curb abuses, has led to other abuses, such as "encouraging lawyers to expend excessive hours engag[ing] in duplicative and unjustified work, inflat[ing] their 'normal' billing rate[s], and includ[ing] fictitious hours"; 6) it "creates a disincentive for the early settlement of cases"; 7) it "does not provide the district court with enough flexibility to reward or deter lawyers so that desirable objectives, such as early settlement, will be fostered"; 8) the process "works to the particular disadvantage of the public interest bar" because, for example, the "lodestar" is set lower in civil rights cases than in securities and antitrust cases; and 9) despite the apparent simplicity of the lodestar approach, "considerable confusion and lack of predictability remain in its administration."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task force concluded, as is set out at p. 1267, that the lodestar approach should be retained in "statutory fee" cases but that the percentage fee was the best approach for "common fund" cases. This distinction is significant for the present analysis, and is explained in In Re Prudential Ins. Co. of America Sales Litigation, 148 F.3d 283 (3d Cir. 1998) at p. 333: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percentage-of-recovery method is generally favored in cases involving a common fund, and is designed to allow courts to award fees from the fund "in a manner that rewards counsel for success and penalizes it for failure." ... The lodestar method is more commonly applied in statutory fee-shifting cases, and is designed to reward counsel for undertaking socially beneficial litigation in cases where the expected relief has a small enough monetary value that a percentage-of-recovery method would provide inadequate compensation.... It may also be applied in cases where the nature of the recovery does not allow the determination of the settlement's value necessary for application of the percentage-of-recovery method....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Clearly, the actions presently under consideration are analogous to the common fund cases in the American jurisprudence.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Class actions are new to British Columbia: the Class Proceedings Act was enacted in 1995 and the Ontario Class Proceedings Act, 1992, from which it drew heavily, was enacted in 1992. In M. Eiezenga, M. Peerless, and C. Wright, Class Actions Law and Practice (Markham: Butterworths, 1999) at s. 1.12, p. 1.4, the authors noted that class actions for damages first became available in the United States in 1938 and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American experience is thus more mature than its newer Canadian counterpart and was available as relevant background for Canadian legislators to draw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Accordingly, there is much to be learned from the long experience of American courts with the methods of compensating successful class counsel, and the cases that I have just mentioned provide a valuable context in which to view the issue presently up for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reject Mr. Turriff's submission that the base-fee/multiplier approach should be imported into British Columbia as the method of assessing the fees of plaintiffs' class counsel pursuant to s. 38 of the Class Proceedings Act. The deficiencies in this methodology were identified by the Third Circuit task-force report, supra, and its introduction into our jurisprudence is undesirable and unnecessary. Its role should be confined to serving in appropriate circumstances as a tool for testing the court's initial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One of the disadvantages inherent in the multiplier approach is exemplified in this case, where Mr. Turriff applied for an order compelling production for his inspection of all plaintiffs' files and plaintiffs' counsels' billing records in the transfusion action and for leave to cross-examine Mr. Camp on his affidavit. I reserved judgment on the application to cross-examine Mr. Camp, and I will come to that shortly. I dismissed the application for production of records because it would have constituted an unwarranted invasion by the defendants of the plaintiffs' solicitor-client privilege and, as well, because it was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 reiterate the opinion that I expressed in that oral ruling that the review of fees pursuant to s. 38 of the Class Proceedings Act is similar to the review of fees in an infant settlement conducted pursuant to the Infants Act, </w:t>
      </w:r>
      <w:r>
        <w:rPr>
          <w:rFonts w:ascii="arial" w:eastAsia="arial" w:hAnsi="arial" w:cs="arial"/>
          <w:i/>
          <w:color w:val="000000"/>
          <w:sz w:val="20"/>
          <w:lang w:val="en-US" w:eastAsia="en-US" w:bidi="ar-SA"/>
        </w:rPr>
        <w:t>R.S.B.C. 1996, c. 223</w:t>
      </w:r>
      <w:r>
        <w:rPr>
          <w:rFonts w:ascii="arial" w:eastAsia="arial" w:hAnsi="arial" w:cs="arial"/>
          <w:color w:val="000000"/>
          <w:sz w:val="20"/>
          <w:lang w:val="en-US" w:eastAsia="en-US" w:bidi="ar-SA"/>
        </w:rPr>
        <w:t xml:space="preserve">, and that the approach should therefore be similar. I referred to Harrington (Guardian ad litem of) v. Royal Inland Hospital </w:t>
      </w:r>
      <w:hyperlink r:id="rId566" w:history="1">
        <w:r>
          <w:rPr>
            <w:rFonts w:ascii="arial" w:eastAsia="arial" w:hAnsi="arial" w:cs="arial"/>
            <w:i/>
            <w:color w:val="0077CC"/>
            <w:sz w:val="20"/>
            <w:u w:val="single"/>
            <w:shd w:val="clear" w:color="auto" w:fill="FFFFFF"/>
            <w:lang w:val="en-US" w:eastAsia="en-US" w:bidi="ar-SA"/>
          </w:rPr>
          <w:t>(1995), 131 D.L.R. (4th) 15</w:t>
        </w:r>
      </w:hyperlink>
      <w:r>
        <w:rPr>
          <w:rFonts w:ascii="arial" w:eastAsia="arial" w:hAnsi="arial" w:cs="arial"/>
          <w:color w:val="000000"/>
          <w:sz w:val="20"/>
          <w:lang w:val="en-US" w:eastAsia="en-US" w:bidi="ar-SA"/>
        </w:rPr>
        <w:t xml:space="preserve">, </w:t>
      </w:r>
      <w:hyperlink r:id="rId566" w:history="1">
        <w:r>
          <w:rPr>
            <w:rFonts w:ascii="arial" w:eastAsia="arial" w:hAnsi="arial" w:cs="arial"/>
            <w:i/>
            <w:color w:val="0077CC"/>
            <w:sz w:val="20"/>
            <w:u w:val="single"/>
            <w:shd w:val="clear" w:color="auto" w:fill="FFFFFF"/>
            <w:lang w:val="en-US" w:eastAsia="en-US" w:bidi="ar-SA"/>
          </w:rPr>
          <w:t>69 B.C.A.C. 1</w:t>
        </w:r>
      </w:hyperlink>
      <w:r>
        <w:rPr>
          <w:rFonts w:ascii="arial" w:eastAsia="arial" w:hAnsi="arial" w:cs="arial"/>
          <w:color w:val="000000"/>
          <w:sz w:val="20"/>
          <w:lang w:val="en-US" w:eastAsia="en-US" w:bidi="ar-SA"/>
        </w:rPr>
        <w:t xml:space="preserve">, </w:t>
      </w:r>
      <w:hyperlink r:id="rId566" w:history="1">
        <w:r>
          <w:rPr>
            <w:rFonts w:ascii="arial" w:eastAsia="arial" w:hAnsi="arial" w:cs="arial"/>
            <w:i/>
            <w:color w:val="0077CC"/>
            <w:sz w:val="20"/>
            <w:u w:val="single"/>
            <w:shd w:val="clear" w:color="auto" w:fill="FFFFFF"/>
            <w:lang w:val="en-US" w:eastAsia="en-US" w:bidi="ar-SA"/>
          </w:rPr>
          <w:t>14 B.C.L.R. (3d) 201</w:t>
        </w:r>
      </w:hyperlink>
      <w:r>
        <w:rPr>
          <w:rFonts w:ascii="arial" w:eastAsia="arial" w:hAnsi="arial" w:cs="arial"/>
          <w:color w:val="000000"/>
          <w:sz w:val="20"/>
          <w:lang w:val="en-US" w:eastAsia="en-US" w:bidi="ar-SA"/>
        </w:rPr>
        <w:t xml:space="preserve">, </w:t>
      </w:r>
      <w:hyperlink r:id="rId566" w:history="1">
        <w:r>
          <w:rPr>
            <w:rFonts w:ascii="arial" w:eastAsia="arial" w:hAnsi="arial" w:cs="arial"/>
            <w:i/>
            <w:color w:val="0077CC"/>
            <w:sz w:val="20"/>
            <w:u w:val="single"/>
            <w:shd w:val="clear" w:color="auto" w:fill="FFFFFF"/>
            <w:lang w:val="en-US" w:eastAsia="en-US" w:bidi="ar-SA"/>
          </w:rPr>
          <w:t>45 C.P.C. (3d) 105</w:t>
        </w:r>
      </w:hyperlink>
      <w:r>
        <w:rPr>
          <w:rFonts w:ascii="arial" w:eastAsia="arial" w:hAnsi="arial" w:cs="arial"/>
          <w:color w:val="000000"/>
          <w:sz w:val="20"/>
          <w:lang w:val="en-US" w:eastAsia="en-US" w:bidi="ar-SA"/>
        </w:rPr>
        <w:t xml:space="preserve"> (C.A.) and, in particular to the remarks of Finch J.A. at para. 253 to the effect that, except in unusual cases, it is not necessary to examine the lawyers' files and accounting records. In that case, the solicitor obtained approval of his fee from a judge of this Court after another judge had adjourned his initial application and requested further submissions. When this anomaly came to light, the second judge revoked her approval and the first judge embarked on an examination of the solicitors' files from which he concluded that the solicitor had grossly exaggerated the amount of time that he had claimed to have spent on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has been no suggestion of any conduct of that sort here, and I remain of the opinion that the type of discovery sought by Mr. Turriff is not appropriate in this context. The course that Mr. Turriff was set upon would have resulted in a separate, lengthy, and complex proceeding to assess the reasonableness of the proposed fees and would set a precedent that is neither necessary nor contemplated by s. 38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well, I give no weight to the evidence of the economist, Mr. Ross, which was offered by Mr. Turriff as expert opinion on, as Mr. Ross described it in his written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appropriate framework for determining the amount, if any, that should be added to what would otherwise be a reasonable market value fee for professional legal services provided by plaintiffs' counsel to ensure an economic incentive for competent lawyers to take on class action contingency work that should be taken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Ross advocated formulae for the mathematical calculation of fees. They involved, at the first stage, an "earnings equivalent multiplier" to be used to calculate the base fee using "judgmental probability", that is, the probability that the action will succeed. At the second stage, a "risk aversion multiplier" was offered to measure such things as the particular lawyer's risk of erratic long-term income resulting from a series of unsuccessful contingency cases. The proper fee in any given case, according to Mr. Ross, is the result produced by the following formula: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REASONABLE FEE = Reasonable hours worked X reasonable hourly rates X (earnings equivalent multiplier X risk aversion multiplier)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where the multipliers change as the risks change from time to time throughout the retainer.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chance of success in a given lawsuit and the risks to be run by an individual lawyer in taking it involve a myriad of objective factors and many quintessentially subjective considerations. These chances and risks are incapable of scientific calculation. The proposal advanced by Mr. Ross gives the impression of mathematical precision but, at its heart, is no less arbitrary and subjective than the approach conventionally followed by the courts of this province. The economic opinion evidence is, therefore, not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I understand Mr. Turriff's submission, his application to cross-examine Mr. Camp on his affidavit is not based on the usual ground that Mr. Camp's assertions of fact were put in issue by contrary evidence from Mr. Turriff's clients. There was no such evidence. Rather, he wished to investigate Mr. Camp's actions and state of mind at various times throughout his retainer for the purpose of establishing a factual basis for the application of the formula offered by Mr. Ross. As I have rejected the formula, there is no need for the cross-examination. Moreover, any attempt to quantify changes in litigation risk as events transpired would likely be futile and would consume an unwarranted amount of time. Accordingly, the application to cross-examine Mr. Camp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Turriff's submissions on the effects of changing risks deserve comment. He identified a number of events that he characterized as "risk-reducing." All of them, but one, related to the evolving settlement agreement. It is true that the parties were moved along the path to settlement by such things as the publication in November 1997 of the Final Report of the Commission of Inquiry on the Blood System in Canada (the "Krever report") and the announcement in March 1998 by the FPT Governments of the availability of $1,100,000,000 to settle these actions. However, I cannot accept that these events reduced the risk of failure of the negotiations in any real or measurable way. The risk of failure continued to hinge on a multitude of factors any one of which could have aborted the negotiations, a danger that continued even after the settlement had received court approval.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other "risk-reducing" factor identified by Mr. Turriff was the certification of the Endean action. However, it would be wrong to treat counsel's success on this application as justification for reducing the contingent fee on the theory that the skill and effort of counsel have made a successful result more probable. At the outset of the retainer, counsel and clients knew that the enterprise would fail if certification were denied. The chance of success or failure at this stage was therefore a factor in the percentage fee initially agreed upon and, as well, by reason of the settlement agreement, in the lump sum fee that was later substituted for it. It would be wrong to use hindsight to give different weight to that risk than the lawyers and clients gave to it at the outset.</w:t>
      </w:r>
      <w:r>
        <w:rPr>
          <w:rFonts w:ascii="arial" w:eastAsia="arial" w:hAnsi="arial" w:cs="arial"/>
          <w:sz w:val="20"/>
          <w:lang w:val="en-US" w:eastAsia="en-US" w:bidi="ar-SA"/>
        </w:rPr>
        <w:cr/>
      </w:r>
    </w:p>
    <w:p>
      <w:pPr>
        <w:numPr>
          <w:numId w:val="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 approach to assessing 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Turriff began his submission with the proposition that the courts of Quebec, Ontario, and British Columbia must consider and weigh the evidence presented in all jurisdictions in order to ensure "that no lawyer in any of the three jurisdictions becomes entitled to a fee which does not accurately reflect his or her relative contribution towards the pan-Canadian settlement agreement." In his submission, there is a possibility for conflicting judgments in this respect that, he contends, would impair the integrity of all three awards and would undermine the legitimacy of all three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agree that gross inconsistency between the fee awards in the three provinces should be avoided if possible. On the other hand, it cannot be forgotten that each province has its own laws and traditions in respect of solicitors' fees. I must act on the evidence presented in this Court and I must apply the laws of British Columbia to arrive at my decision. However, in doing so, I must have appropriate regard to the national context in which the legal actions have been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Section 66 of the Legal Profession Act, </w:t>
      </w:r>
      <w:r>
        <w:rPr>
          <w:rFonts w:ascii="arial" w:eastAsia="arial" w:hAnsi="arial" w:cs="arial"/>
          <w:i/>
          <w:color w:val="000000"/>
          <w:sz w:val="20"/>
          <w:lang w:val="en-US" w:eastAsia="en-US" w:bidi="ar-SA"/>
        </w:rPr>
        <w:t>S.B.C. 1998, c. 9</w:t>
      </w:r>
      <w:r>
        <w:rPr>
          <w:rFonts w:ascii="arial" w:eastAsia="arial" w:hAnsi="arial" w:cs="arial"/>
          <w:color w:val="000000"/>
          <w:sz w:val="20"/>
          <w:lang w:val="en-US" w:eastAsia="en-US" w:bidi="ar-SA"/>
        </w:rPr>
        <w:t xml:space="preserve"> governs contingent fee agreements. Sub-section 66(2) provides that the benchers may make rules respecting contingent fee agreements, including rules regulating the limits to lawyers' charges. By s-s. 68(2), the client has the right to have the registrar examine a fee agreement and, by s-s. 68(6), the registrar is empowered to modify or cancel the agreement if it is found to be unfair or unreasonable "under the circumstances existing at the time the agreement was entered into."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Part 8 of the Law Society Rules, entitled "Lawyers' Fees", sets up a standard of fairness and reasonableness. The relevant provisions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8-1 (1) A lawyer who enters into a contingent fee agreement with a client must ensure that, under the circumstances existing at the time the agreement is entered into,</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agreement is fair,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lawyer's remuneration provided for in the agreement is reasonable.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A lawyer who prepares a bill for fees earned under a contingent fee agreement must ensure that the total fee payable by the client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exceed the remuneration provided for in the agreement,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reasonable under the circumstances existing at the time the bill is prepared.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addition to the statute law, the court has inherent jurisdiction to review the reasonableness of solicitors' fees arising out of contingent fee agreements and, as well, inherent parens patriae jurisdiction to ensure the reasonableness of legal fees incurred on behalf of class members who are under legal disability: see Harrington (Guardian ad litem of) v. Royal Inland Hospital, supra at p. 264, para. 192 and pp. 266-67, paras. 197-99.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meanings of the words "fair" and "reasonable" were considered in Commonwealth Investors Syndicate Ltd. v. Laxton </w:t>
      </w:r>
      <w:hyperlink r:id="rId567" w:history="1">
        <w:r>
          <w:rPr>
            <w:rFonts w:ascii="arial" w:eastAsia="arial" w:hAnsi="arial" w:cs="arial"/>
            <w:i/>
            <w:color w:val="0077CC"/>
            <w:sz w:val="20"/>
            <w:u w:val="single"/>
            <w:shd w:val="clear" w:color="auto" w:fill="FFFFFF"/>
            <w:lang w:val="en-US" w:eastAsia="en-US" w:bidi="ar-SA"/>
          </w:rPr>
          <w:t>(1990), 50 B.C.L.R. (2d) 186</w:t>
        </w:r>
      </w:hyperlink>
      <w:r>
        <w:rPr>
          <w:rFonts w:ascii="arial" w:eastAsia="arial" w:hAnsi="arial" w:cs="arial"/>
          <w:color w:val="000000"/>
          <w:sz w:val="20"/>
          <w:lang w:val="en-US" w:eastAsia="en-US" w:bidi="ar-SA"/>
        </w:rPr>
        <w:t xml:space="preserve"> (C.A.) ("Commonwealth No. 1"). There, the Court was considering a predecessor of s. 66 of the Legal Profession Act, namely, s. 99 of the Barristers and Solicitors Act, R.S.B.C. 1979, c. 26, which, for present purposes, did not differ in any material way. At pp. 198-99 of Commonwealth No. 1, the Court set out a two-step inquiry: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step investigates the mode of obtaining the contract and whether the client understood and appreciated its contents.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second inquiry, assuming the contract is found to be "fair" involves an investigation of the "reasonableness" of the contract. On this investigation, extending from the time of the making of the contract until its termination or its completion, all of the ordinary factors which are involved in the determination of the amount a lawyer may charge a client are to be considered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Thus, "reasonableness" relates to the amount of the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a second appeal in the Commonwealth case, reported as Commonwealth Investors Syndicate Ltd. v. Laxton </w:t>
      </w:r>
      <w:hyperlink r:id="rId568" w:history="1">
        <w:r>
          <w:rPr>
            <w:rFonts w:ascii="arial" w:eastAsia="arial" w:hAnsi="arial" w:cs="arial"/>
            <w:i/>
            <w:color w:val="0077CC"/>
            <w:sz w:val="20"/>
            <w:u w:val="single"/>
            <w:shd w:val="clear" w:color="auto" w:fill="FFFFFF"/>
            <w:lang w:val="en-US" w:eastAsia="en-US" w:bidi="ar-SA"/>
          </w:rPr>
          <w:t>(1994), 94 B.C.L.R. (2d) 177</w:t>
        </w:r>
      </w:hyperlink>
      <w:r>
        <w:rPr>
          <w:rFonts w:ascii="arial" w:eastAsia="arial" w:hAnsi="arial" w:cs="arial"/>
          <w:color w:val="000000"/>
          <w:sz w:val="20"/>
          <w:lang w:val="en-US" w:eastAsia="en-US" w:bidi="ar-SA"/>
        </w:rPr>
        <w:t xml:space="preserve"> (C.A.), app. for leave to appeal dis'd, </w:t>
      </w:r>
      <w:hyperlink r:id="rId569" w:history="1">
        <w:r>
          <w:rPr>
            <w:rFonts w:ascii="arial" w:eastAsia="arial" w:hAnsi="arial" w:cs="arial"/>
            <w:i/>
            <w:color w:val="0077CC"/>
            <w:sz w:val="20"/>
            <w:u w:val="single"/>
            <w:shd w:val="clear" w:color="auto" w:fill="FFFFFF"/>
            <w:lang w:val="en-US" w:eastAsia="en-US" w:bidi="ar-SA"/>
          </w:rPr>
          <w:t>[1994] S.C.C.A. No. 427</w:t>
        </w:r>
      </w:hyperlink>
      <w:r>
        <w:rPr>
          <w:rFonts w:ascii="arial" w:eastAsia="arial" w:hAnsi="arial" w:cs="arial"/>
          <w:color w:val="000000"/>
          <w:sz w:val="20"/>
          <w:lang w:val="en-US" w:eastAsia="en-US" w:bidi="ar-SA"/>
        </w:rPr>
        <w:t xml:space="preserve">, March 30, 1995 ("Commonwealth No. 2"), the Court dealt with the meaning of "reasonableness". McEachern C.J.B.C., speaking for the Court, referred to the oft-cited decision in Yule v. Saskatoon </w:t>
      </w:r>
      <w:hyperlink r:id="rId570" w:history="1">
        <w:r>
          <w:rPr>
            <w:rFonts w:ascii="arial" w:eastAsia="arial" w:hAnsi="arial" w:cs="arial"/>
            <w:i/>
            <w:color w:val="0077CC"/>
            <w:sz w:val="20"/>
            <w:u w:val="single"/>
            <w:shd w:val="clear" w:color="auto" w:fill="FFFFFF"/>
            <w:lang w:val="en-US" w:eastAsia="en-US" w:bidi="ar-SA"/>
          </w:rPr>
          <w:t>(1955), 1 D.L.R. (2d) 540</w:t>
        </w:r>
      </w:hyperlink>
      <w:r>
        <w:rPr>
          <w:rFonts w:ascii="arial" w:eastAsia="arial" w:hAnsi="arial" w:cs="arial"/>
          <w:color w:val="000000"/>
          <w:sz w:val="20"/>
          <w:lang w:val="en-US" w:eastAsia="en-US" w:bidi="ar-SA"/>
        </w:rPr>
        <w:t xml:space="preserve"> (Sask. C.A.) and to the factors set out therein, namely: the extent and character of the services rendered; the labour, time and trouble involved; the character and importance of the litigation; the amount of money and the value of the property involved; the professional skill and experience called for; the character and standing of counsel in the profession; the results achieved; and, to some extent at least, the ability of the client to pay. He observed, at pp. 183-84, para. 25, that further considerations apply in respect of contingent fees including, at least, the risk of no recovery at all and the expectation of a larger fee based upon the result than would be warranted in non-contingency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However, the assessment is not produced by simply summing the results of the considerations of each factor. McEachern C.J.B.C. made that clear at p. 187, para. 47, where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the circumstances must be considered, including the Yule factors, the risks and expectations, and the terms of the bargain which is the subject matter of the inquiry. With all this in mind, the court must then ask, as a matter of judgment, whether the fee fixed by the agreement is reasonable and maintains the integrity of the profession?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Laxton's contingent fee agreement in the Commonwealth cases related to a conventional lawsuit, not to a class action. In my view, the approval of counsels' fees in class actions involves additional considerations that are not present in the ordinary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First, the rationale for using percentage fees in "common fund" cases in the United States is relevant. Class actions differ from conventional actions in that the beneficiaries of the action do not participate actively in it, leaving the instruction of counsel to the representative plaintiff. As was observed in Swedish Hosp. Corp. v. Shalala, supra at p. 1265, fees in these cases must be shared by the beneficiaries of the fund in order to avoid their unjust enrichment. American courts have recognized that this approach shifts the emphasis from the fair value of the time expended by counsel, or what we would refer to as a quantum meruit fee, to a fair percentage of the recovery: see Swedish Hosp. Corp. v. Shalala, supra at p. 1266.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my opinion, the equitable sharing of fees by the recipients of the award or settlement is a proper consideration in assessing the reasonableness of lawyers' fees in class actions. What is a fair fee for the work done by the lawyer is important, but equally important is that each member of the class should share in payment of a fair fee for the result achieved, as viewed from his or her perspective. This notion has been recognized as a proper consideration in the approval of class counsel fees in British Columbia. In Harrington v. Dow Corning Corp. </w:t>
      </w:r>
      <w:hyperlink r:id="rId571" w:history="1">
        <w:r>
          <w:rPr>
            <w:rFonts w:ascii="arial" w:eastAsia="arial" w:hAnsi="arial" w:cs="arial"/>
            <w:i/>
            <w:color w:val="0077CC"/>
            <w:sz w:val="20"/>
            <w:u w:val="single"/>
            <w:shd w:val="clear" w:color="auto" w:fill="FFFFFF"/>
            <w:lang w:val="en-US" w:eastAsia="en-US" w:bidi="ar-SA"/>
          </w:rPr>
          <w:t>(1999), 64 B.C.L.R. (3d) 332</w:t>
        </w:r>
      </w:hyperlink>
      <w:r>
        <w:rPr>
          <w:rFonts w:ascii="arial" w:eastAsia="arial" w:hAnsi="arial" w:cs="arial"/>
          <w:color w:val="000000"/>
          <w:sz w:val="20"/>
          <w:lang w:val="en-US" w:eastAsia="en-US" w:bidi="ar-SA"/>
        </w:rPr>
        <w:t xml:space="preserve"> (S.C.), at para. 18, E.R.A. Edwards J. observed that the factors that ought to be considered include "the individual claimants' contribution to the fee as a portion of their recoveries." This passage was applied by Brenner J. (as he then was) in Sawatzky v. Soci t Chirurgicale Instrumentarium Inc. (8 September 1999), Vancouver C954740 (B.C.S.C.) at para. 8 and by Williamson J. in Fischer v. Delgratia Mining Corporation, </w:t>
      </w:r>
      <w:hyperlink r:id="rId572" w:history="1">
        <w:r>
          <w:rPr>
            <w:rFonts w:ascii="arial" w:eastAsia="arial" w:hAnsi="arial" w:cs="arial"/>
            <w:i/>
            <w:color w:val="0077CC"/>
            <w:sz w:val="20"/>
            <w:u w:val="single"/>
            <w:shd w:val="clear" w:color="auto" w:fill="FFFFFF"/>
            <w:lang w:val="en-US" w:eastAsia="en-US" w:bidi="ar-SA"/>
          </w:rPr>
          <w:t>[1999] B.C.J. No. 3149</w:t>
        </w:r>
      </w:hyperlink>
      <w:r>
        <w:rPr>
          <w:rFonts w:ascii="arial" w:eastAsia="arial" w:hAnsi="arial" w:cs="arial"/>
          <w:color w:val="000000"/>
          <w:sz w:val="20"/>
          <w:lang w:val="en-US" w:eastAsia="en-US" w:bidi="ar-SA"/>
        </w:rPr>
        <w:t>, (7 December 1999), Vancouver C974521 (B.C.S.C.) at para. 22. Accordingly, the proportion that the proposed fee bears to the recovery is prominent in the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 second consideration arises from the unique nature of class proceedings. In a conventional action, the causal relationship between the lawyers' work and the result achieved is normally unquestioned. That is not necessarily so in class actions where the extent of the benefit brought about by the lawyer's work must be ascertained. This concept is illustrated in In Re Prudential Ins. Co. of America Sales Litigation, supra, where a class action was brought on behalf of millions of policyholders alleging deceptive sales practices by a life insurer. The Court held that class counsel should not be given full credit for the result when it was based, in part, on a compensation scheme implemented as a result of an investigation by the New Jersey Insurance Commissioner, who recommended a remediation plan to compensate affected policyholders, to prevent future violations, and to restore public confidence in the insurance industry. In remarks that are apposite here, the Court said, at p. 337: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a party need not be the only catalyst in order to be considered a "material factor" and may be credited for extra-judicial benefits created, there must still be a sound basis that the party was more than an initial impetus behind the creation of the benefit. Allowing private counsel to receive fees based on the benefits created by public agencies would undermine the equitable principles which underlie the concept of the common fund, and would create an incentive for plaintiffs attorneys to "minimize the costs of failure . . . by free riding on the monitoring efforts of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I have already remarked, the American experience with class actions is instructive. I adopt that reasoning and conclude that it is necessary, in considering the reasonableness of the fee in relation to the results achieved, to consider the causal relationship between the efforts of class counsel and the benefits conferred on the class claimants by the resulting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turn now to a consideration of the fees proposed in these actions.</w:t>
      </w:r>
      <w:r>
        <w:rPr>
          <w:rFonts w:ascii="arial" w:eastAsia="arial" w:hAnsi="arial" w:cs="arial"/>
          <w:sz w:val="20"/>
          <w:lang w:val="en-US" w:eastAsia="en-US" w:bidi="ar-SA"/>
        </w:rPr>
        <w:cr/>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 AND CONCLUSIONS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Fees in the transfused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While an examination of the factors identified as relevant to the inquiry is necessary and will be useful, it ought not to overwhelm the recognition of the "judgment, audacity and legal skill" of counsel, to adopt a descriptive phrase used by McEachern C.J.B.C. in Commonwealth No. 2, supra at p. 187, para. 46. In my view, Mr. Camp is one of only a few lawyers in this province with the combination of legal talent, experience, and boldness necessary to have achieved this outcome.</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and character of the services rendered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scope of the services rendered by counsel in this case extended far beyond what is normally encountered in the practice of law. Mr. Camp and Mr. Lemer had to deal with difficult legal issues pertaining to product liability,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public policy in the context of public blood-banking and infectious diseases. As well, they had to become familiar with the epidemiology and natural history of HCV, a disease about which little was known at the outset and about which medical opinion was evolving throughout the course of their retainer. Further, they had to learn and to understand the workings of the public health care system in Canada and the interplay between federal, provincial, and territorial governments in the administration of these matters. The medical and political issues were overarching and were, to a large extent, out of their control. They had to react to these things and to accommodate their approach as matters evolved. Throughout, they were faced with disagreements between groups of infected persons and with the changing political winds as these issues were debated in the public media and as governments and government officials changed. At the same time, they had to deal with the many class members who were understandably pressing them for a resolution of the matter. In short, the gravity and difficulty of the task they faced was of the highest order.</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labour, time and trouble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It is necessary at this point to consider the duration of the retainer of class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effective approval date for the settlement was January 22, 2000. Since that time, however, Mr. Camp and Ms. Matthews have expended considerable time, along with counsel in the other jurisdictions, in getting the settlement plan up and running to the point where benefits could be paid to class members. Much of that time was necessitated by the removal and replacement of the initial plan Administrator and, as well, considerable time was invested in preparing the many documents required for the processing of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issue arises because the terms of the settlement provide for the creation of a Joint Committee, comprised of three class counsel from the transfused class actions and one class counsel from the haemophilic class actions. The terms of the settlement invest the Joint Committee with the overall supervision of the administration of the plan, including the recommending of persons for appointment by the courts as plan Administrator and the preparation of all necessary protocols. The fees of the members of the Joint Committee are to be submitted to the courts for approval from time to time throughout the life of the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Camp is a member of the Joint Committee and, as I understand it, Mr. Turriff's position is that the time expended by Mr. Camp and Ms. Matthews since January 22, 2000, should be billed as Joint Committee fees and should not be taken into consideration on the approval of class counsel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cannot agree. Class counsel were retained to recover money for the class plaintiffs on account of their claims, and the work of counsel under their retainer agreements is not finished until that has happened. I understand that payments to class plaintiffs have begun this month. Accordingly, now is the appropriate time to measure the reasonableness of the proposed fees. It should be noted that Mr. Camp does not take the position that he should be entitled to charge for this work as Joint Committee work in addition to his fee as class counsel. Quite properly, in my view, he asks that his work to date be considered in relation to the reasonableness of his contingent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 second preliminary issue concerns the relevance of the time and effort expended by counsel in preparing for and conducting the hearing of the application to approve class counsel fees. Mr. Turriff's position is that this time was not spent for the benefit of class plaintiffs and is therefore not relevant to the reasonableness of the proposed fee. However, s. 38 of the Class Proceedings Act requires class counsel to seek court approval of their fees. This requirement is an integral part of the statutory scheme for class actions. Moreover, it is a term of each of the fee agreements in issue that the agreed fee will be subject to court approval. Accordingly, the obtaining of court approval of their fees is part of the work plaintiffs' counsel were required to do and the time spent by them in doing so must be considered in the assessment of the reasonableness of their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addition to their efforts in relation to the lawsuit and to the settlement, members of Mr. Camp's firm have spent a great deal of time over the past four years dealing with the questions and concerns of class claimants. As well, much time was devoted to meeting with HCV support groups across the country and with the media. As of June 12, 2000, Mr. Camp's firm has docketed approximately $3,200,000 in work in progress on this file. Mr. Camp and Ms. Matthews have devoted the majority of their time to this action since it was commenced and, as a result, they have declined many other retainers. For his part, Mr. Lemer has recorded more than $500,000 in time on this file since its inception and has spent a large proportion of his professional time on it at the expense of turning down remunerative work.</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character and importance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character of the litigation and its importance to the plaintiffs bear mentioning. As a class action, this action involved many procedural and practical difficulties not encountered in conventional litigation. As well, it was a highly complex product liability/medical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attendant with great risk. The members of the plaintiff class are infected with a debilitating disease that will, in many cases, lead to a protracted and uncomfortable death. The events that precipitated this lawsuit constituted a national public-health disaster. This case was therefore of immense importance to the class plaintiffs and was important, as well, to the Canadian public for the light that it shed on the problems that gave rise to this national tragedy.</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money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total value of the settlement, in present-value terms, is in the order of $1,600,000,000. So far as I am aware, this is the largest settlement of a tort claim for damages for personal injuries in Canadian history.</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professional skills and experience called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Turriff conceded that the work done by plaintiffs' counsel required a high level of skill; that it was complex, difficult, and well-done; and that the result achieved was excellent. These points cannot be understated. To handle all of these matters and to persevere through to the settlement ultimately achieved involved a quality of representation by counsel that is uncommon. As was observed by McEachern C.J.B.C. in Commonwealth No. 2, supra at p. 185, para. 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Because of the breadth of their experience, and their special adversarial skills ... senior counsel are quick learners who master the details, understand the issues, conceptualize the difficulties, and figure out how to achieve the desired result. The problems faced by Mr. Laxton were complex and formidable.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Those remarks aptly describe Mr. Camp and the difficulties he faced. This view is shared by Jack Giles, Q.C., a highly-regarded barrister of some forty years experience. In his opinion letter, which was filed in evidence, he said that the result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truly remarkable achievement. It was obtained in the face of daunting obstacles and grave risks. It called for a high degree of experience, skill, courage and determination.</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character and standing of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Giles commented, as well, that Mr. Camp was uniquely fitted by his experience and standing for the role of lead counsel in this matter. The evidence supports that view. Moreover, Mr. Lemer has a wealth of experience in blood-related litigation and made good use of his knowledge and experience and, as well, of his relationships with experts in the related fields and with counsel of similar interests.</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ability of the clients to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class plaintiffs began with doubtful claims and it is highly unlikely that any of them could have afforded to pay for individual legal representation in this case. Certainly, Ms. Endean could not have done so. The cost of lawyers and experts, and the potential costs payable to the defendants in the event of failure, were simply prohibitive. These actions were able to go forward only because they were carried by counsel pursuant to contingent fee agreements.</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results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class members will recover full and generous benefits as a result of the settlement and they will do so through a simple, administrative procedure without the necessity of engaging lawyers. Moreover, their costs of claiming compensation are to be covered by the settlement fund. The results achieved can only be described as excellent.</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Risk of No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risk of no recovery at all was substantial.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 demonstration of that proposition is the fact that the other two law firms consulted by the prospective class plaintiffs were unwilling to take the case on a pure contingency. One was prepared to take it only if paid hourly rates, with the plaintiffs to pay disbursements, and the other, although prepared to act for a contingent fee, insisted that the plaintiffs pay the disbursements. Of the three candidates for the action, only Messrs. Camp and Lemer were willing to undertake the action on a contingent fee at no cost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plaintiffs' best chance of establishing liability was against the Canadian Red Cross, but those hopes were dashed when this action was stayed against that organization and it was granted protection from its creditors pursuant to the Companies' Creditors Arrangement Act, </w:t>
      </w:r>
      <w:hyperlink r:id="rId555" w:history="1">
        <w:r>
          <w:rPr>
            <w:rFonts w:ascii="arial" w:eastAsia="arial" w:hAnsi="arial" w:cs="arial"/>
            <w:i/>
            <w:color w:val="0077CC"/>
            <w:sz w:val="20"/>
            <w:u w:val="single"/>
            <w:shd w:val="clear" w:color="auto" w:fill="FFFFFF"/>
            <w:lang w:val="en-US" w:eastAsia="en-US" w:bidi="ar-SA"/>
          </w:rPr>
          <w:t>R.S.C. 1985, c. C-36</w:t>
        </w:r>
      </w:hyperlink>
      <w:r>
        <w:rPr>
          <w:rFonts w:ascii="arial" w:eastAsia="arial" w:hAnsi="arial" w:cs="arial"/>
          <w:color w:val="000000"/>
          <w:sz w:val="20"/>
          <w:lang w:val="en-US" w:eastAsia="en-US" w:bidi="ar-SA"/>
        </w:rPr>
        <w:t>, leaving minimal assets available for satisfaction of any judgment. As well, the stay impeded the ability of counsel for the plaintiffs to obtain important evidence from the Canadian Red Cross through pre-trial discovery. On the other hand, the risk of failure on liability against the FPT Governments was real and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It was not only the risk of failure in the lawsuit that counsel had to contend with. There were also political risks. The danger existed throughout that the FPT Governments might establish a no-fault compensation scheme that would undermine these actions. This risk was heightened when the Krever Commission recommended in November 1997 that a no-fault compensation scheme be implemented by government for all those infected with HCV. Had that happened, these actions would have been for naught and plaintiffs' class counsel would have had to absorb the considerable costs they had incurred in carrying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There was also a significant risk that the settlement negotiations might fail. This was a matter of grave concern because the prospects of achieving comparable recovery through a trial were poor. Throughout the negotiations, counsel were frequently faced with potentially deal-breaking issues. As well, there were disputes between the class plaintiffs and other groups of infected persons that threatened to thwart a comprehensive settlement. There was, further, the risk that the courts would not approve the settlement. After that obstacle was overcome, the risk of the settlement negotiations aborting continued because of the modifications suggested by the courts. The FPT Governments initially took the position that these modifications were material, which would have allowed them to withdraw from the settlement, and it was only through further arduous bargaining that they were persuaded to accept the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Accordingly, the risk of no recovery was a substantial and omnipresent risk that did not diminish over the course of the retainer but continued until the FPT Governments finally accepted the court-suggested modifications to the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Moreover, the consequences of failure to Mr. Camp and Mr. Lemer would have been devastating. Mr. Camp correctly described this enterprise during his submission as "bet-your-firm-litigation."</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expectation of a larger fee than in a non-contingency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It is the nature of contingent fees that counsel and client expect that the fee, if success is achieved, will exceed what would otherwise be appropriate for the work done. Counsel shoulder the risk of failure in these cases and they and their clients legitimately expect that they will recover an enhanced fee for doing so. The evidence of Ms. Endean on this application bears this out.</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contribution of counsel to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do not think that it can be said that counsel are seeking to take advantage of any "extra-judicial" benefit to the class plaintiffs, as was the case in In Re Prudential Ins. Co. of America Sales Litigation, supra. The first indication of a willingness by the FPT Governments to pay compensation was on March 27, 1998, after the transfused class actions in British Columbia and Quebec had been certified on behalf of residents of those provinces and after the action on behalf of all other class members resident in Canada had been commenced in Ontario. Moreover, the announcement of the available $1,100,000,000 limited the potential recipients to the claimants in the class actions. In my view, the pre-eminent cause of the recovery in the context of this discussion was the effort of class counsel, and it would not be proper to give them less than full credit for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As already noted, Mr. Turriff argued that I must measure the relative contribution of class counsel in each province to the pan-Canadian settlement so that there will be no chance of counsel in one province being credited in fees for value contributed by counsel in other provinces. However, it is impossible in hindsight to unravel the many factors that influenced the ultimate outcome in this case. The efforts of counsel in the other provinces undoubtedly played a large role. As well, the voices of lobby groups and others heard through the media likely entered into the deliberations of the FPT Governments. It is not necessary to identify the discrete causal contributions and to measure their respective force. It is sufficient to ascertain whether the efforts of Mr. Camp and Mr. Lemer were a material cause of the result achieved to the extent that they should receive full credit in their fees for the outcome. I have concluded that they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that regard, it should be noted that Mr. Camp and Mr. Lemer were the first to obtain class-action certification. Although the Quebec action had been commenced, it had not been certified at that time. The Ontario action had not yet even been commenced. The certification was no small accomplishment given the vigour with which the application was contested and the fact that the only previous Canadian attempt to obtain certification for a mass tort action involving infected blood had met with failure: see Sutherland v. Canadian Red Cross Society </w:t>
      </w:r>
      <w:hyperlink r:id="rId573" w:history="1">
        <w:r>
          <w:rPr>
            <w:rFonts w:ascii="arial" w:eastAsia="arial" w:hAnsi="arial" w:cs="arial"/>
            <w:i/>
            <w:color w:val="0077CC"/>
            <w:sz w:val="20"/>
            <w:u w:val="single"/>
            <w:shd w:val="clear" w:color="auto" w:fill="FFFFFF"/>
            <w:lang w:val="en-US" w:eastAsia="en-US" w:bidi="ar-SA"/>
          </w:rPr>
          <w:t>(1994), 17 O.R. (3d) 645</w:t>
        </w:r>
      </w:hyperlink>
      <w:r>
        <w:rPr>
          <w:rFonts w:ascii="arial" w:eastAsia="arial" w:hAnsi="arial" w:cs="arial"/>
          <w:color w:val="000000"/>
          <w:sz w:val="20"/>
          <w:lang w:val="en-US" w:eastAsia="en-US" w:bidi="ar-SA"/>
        </w:rPr>
        <w:t xml:space="preserve"> (Gen. Div.). Whether the actions in the other provinces would have gone forward otherwise or not, it appears that the certification in British Columbia was the catalyst that gave them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certification also energized plaintiffs' counsel nationally and Mr. Camp played a role in bringing approximately twenty of them together to form a coalition for the purpose of advancing their clients' claims. He made other significant contributions, as well. He was the chair of the coalition's first negotiating committee and, when that committee became unwieldy, he was one of three counsel delegated to negotiate for the transfused class, along with Mr. Strosberg of Ontario and Mr. Lavigne of Quebec. Mr. Camp was the first to bring representatives of the FPT Governments to the bargaining table when he met with Mr. Whitehall and Mr. Prowse, representing the federal and British Columbia governments respectively, on February 11, 1998. This meeting led to the further meetings that ultimately resulted in settlement. Mr. Camp and Ms. Tough, Ontario counsel for the haemophilic classes, were instrumental in bridging the differences between the transfused class members and the haemophilic class members. This accommodation resulted in their bargaining jointly with the FPT Governments, which was critical to the success of the negotiations. Mr. Camp's judgment and tactical decisions from time to time throughout the negotiations were important to their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Lemer and Ms. Mathews made significant contributions as well. Both served on the subcommittees formed by the coalition of lawyers for the purpose of facilitating negotiations and moving the lawsuits forward. I have already commented on Mr. Lemer's depth of knowledge and his value as a resource in relation to blood-related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am satisfied that British Columbia class counsel made a substantial contribution to the result and that their efforts were at least as valuable as those of class counsel in the other provinces. It would not be proper in the circumstances to give them less than full credit for the result in the assessment of the reasonableness of their proposed fees.</w:t>
      </w:r>
      <w:r>
        <w:rPr>
          <w:rFonts w:ascii="arial" w:eastAsia="arial" w:hAnsi="arial" w:cs="arial"/>
          <w:sz w:val="20"/>
          <w:lang w:val="en-US" w:eastAsia="en-US" w:bidi="ar-SA"/>
        </w:rPr>
        <w:cr/>
      </w:r>
    </w:p>
    <w:p>
      <w:pPr>
        <w:numPr>
          <w:numId w:val="2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integrity of the legal profession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Next, Mr. Turriff submitted that the fee proposed here is "simply too much". He suggested that a fee of this magnitude would "impair the integrity of the legal profession". That phrase appears in the remarks of McEachern C.J.B.C. in Commonwealth No. 2, supra, where, at p. 187, para. 47, in a passage that I have already quoted,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With all this in mind, the court must then ask, as a matter of judgment, whether the fee fixed by the agreement is reasonable and maintains the integrity of the profession?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Esson C.J. (as he then was) commented on this concept in Richardson (Guardian ad litem of) v. Low </w:t>
      </w:r>
      <w:hyperlink r:id="rId574" w:history="1">
        <w:r>
          <w:rPr>
            <w:rFonts w:ascii="arial" w:eastAsia="arial" w:hAnsi="arial" w:cs="arial"/>
            <w:i/>
            <w:color w:val="0077CC"/>
            <w:sz w:val="20"/>
            <w:u w:val="single"/>
            <w:shd w:val="clear" w:color="auto" w:fill="FFFFFF"/>
            <w:lang w:val="en-US" w:eastAsia="en-US" w:bidi="ar-SA"/>
          </w:rPr>
          <w:t>(1996), 23 B.C.L.R. (3d) 268</w:t>
        </w:r>
      </w:hyperlink>
      <w:r>
        <w:rPr>
          <w:rFonts w:ascii="arial" w:eastAsia="arial" w:hAnsi="arial" w:cs="arial"/>
          <w:color w:val="000000"/>
          <w:sz w:val="20"/>
          <w:lang w:val="en-US" w:eastAsia="en-US" w:bidi="ar-SA"/>
        </w:rPr>
        <w:t xml:space="preserve"> (S.C.) at paras. 29-30. I think that what he envisaged in using the phrase "integrity of the profession" was the decency, honour, and high-mindedness of the profession, both in substance and in public perception. He referred, for example, to the willingness of lawyers to readily reduce the amount payable under a contingent fee agreement when circumstances are such that the agreed fee would be disproportionate to the amount of effort, risk, and cost involved; that the lawyer will be able to fill with other remunerative work the time set aside to try a case that was settled; and that the client needs the funds and cannot really afford to pay them to the lawyer despite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Here, the fees proposed are very large. The total value of the time docketed by all plaintiffs' counsel for the transfused class, including those who acted for individual plaintiffs and who will be paid their fees by Mr. Camp, amounts to approximately $4,000,000. Accordingly, the proposed fee is roughly 3.75 times the value that they have ascribed to their work. However, that is not necessarily a reliable measure, as I have already noted. Moreover, it must be remembered that good counsel can often achieve with a minimal effort what it might take less skillful counsel a great deal of time to achieve, as was seen in Commonwealth No. 1 and Commonwealth No. 2. Good counsel should not be penalized for their acuity and efficiency by basing their fees only on the amount of time that it took them to accomplish their clients' objectives.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Camp and Mr. Lemer do not seek approval of a percentage fee in this case. However, percentage contingent fees have long been common in British Columbia and have been approved in class proceedings in this province: see Harrington v. Dow Corning Corp., supra, Campbell v. Flexwatt Corp. (22 February 1996), Victoria 2895/95 (B.C.S.C.), and Fischer v. Delgratia Mining Corporation, supra. A comparison between the proposed fees as a percentage of the settlement amount and percentage fees approved in previous class actions will therefore be informative, although I must not lose sight of the principle identified by Esson C.J. (as he then was) in Richardson (Guardian ad litem of) v. Low, supra at para. 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"what is the reasonable fee?" must be answered, not as a percentage, but in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There is evidence that British Columbia has approximately 22% of the transfused HCV-infected cohort. On that basis, for purposes of rough estimation, approximately $352,000,000 of the $1,600,000,000 settlement can be notionally credited to the clients represented by Mr. Camp and Mr. Lemer, and their proposed fee of $15,000,000 is 4.26% of the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 contingent percentage fee of that magnitude in an action for damages for personal injuries is virtually unheard of in British Columbia. Rule 8-4(2) of the Law Society Rules permits a maximum percentage of 40% in cases such as this. The vast majority of percentage contingent fees in British Columbia range between 15% and 33 1/3%. In Harrington v. Dow Corning Corp., supra E.R.A. Edwards J. observed that class counsel fees in the United States commonly range between 15% and 50%, and that a "presumptively reasonable rate" is 30%. He approved a contingent fee of 15%, which produced a fee in the order of $6,000,000 for plaintiffs' class counsel. In Sawatzky, supra a contingent fee of 20% amounting to $760,000 was approved. In Fischer, supra a fee of 30% of shares in a public company issued in settlement was approved, although the value of the fee in monetary terms is not apparent.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fee proposed here compares favourably in percentage terms with contingent fees approved in Ontario and Quebec, as well. In Nantais, supra Brockenshire J. approved a percentage fee of 30%, which yielded a fee of approximately $6,000,000. In Doyer v. Dow Corning Corp. (1 September 1999), Montreal 500-06-000013-934 (Q.S.C.) a percentage of 20% was approved yielding a fee of $10,400,000. In Pelletier v. Baxter Health Care Corp., </w:t>
      </w:r>
      <w:hyperlink r:id="rId575" w:history="1">
        <w:r>
          <w:rPr>
            <w:rFonts w:ascii="arial" w:eastAsia="arial" w:hAnsi="arial" w:cs="arial"/>
            <w:i/>
            <w:color w:val="0077CC"/>
            <w:sz w:val="20"/>
            <w:u w:val="single"/>
            <w:shd w:val="clear" w:color="auto" w:fill="FFFFFF"/>
            <w:lang w:val="en-US" w:eastAsia="en-US" w:bidi="ar-SA"/>
          </w:rPr>
          <w:t>[1999] Q.J. No. 3038</w:t>
        </w:r>
      </w:hyperlink>
      <w:r>
        <w:rPr>
          <w:rFonts w:ascii="arial" w:eastAsia="arial" w:hAnsi="arial" w:cs="arial"/>
          <w:color w:val="000000"/>
          <w:sz w:val="20"/>
          <w:lang w:val="en-US" w:eastAsia="en-US" w:bidi="ar-SA"/>
        </w:rPr>
        <w:t xml:space="preserve"> (S.C.), a percentage of 16.9% yielding $3,648,000 in fees was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note, as well, the observation of McEachern C.J.B.C., speaking for the Court in Commonwealth No. 2, supra at p. 188, para. 49, that he saw nothing unreasonable or threatening to the integrity of the profession in a fee of 25% "for the skillful recovery of $6.5 million." Further, Mr. Giles, who is an experienced Vancouver barrister, as I have already noted, does not appear to consider that Mr. Camp's proposed fee is unseemly: he expressed the opinion that it is reasonable in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accept that a percentage fee should generally be lower where the recovery is higher. However, 4.26% is modest by any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Another important factor in this connection is that the fees are not to be deducted from the compensation payable to the individual plaintiffs, as the settlement agreement provided for an allocation of $52,500,000 for legal fees in addition to that compensation. It could be said that this observation is illusory, as the $52,500,000 could have been allocated in part to plaintiffs' claims. However, two facts cannot be overlooked. First, the individual compensation awards provided for in the fund are full and generous and are available to the class members without further legal proceedings. Secondly, the FPT Governments tacitly agreed to fees up to this amount when they agreed upon the structure of the settlement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Another perspective can be gained by considering the fee from the point of view of each member of the class. It appears that there are approximately 22,000 class members in British Columbia and the fee therefore works out to about $682 each. This is a modest fee for individual awards ranging from a minimum of $10,000 in non-pecuniary compensation to a maximum of $225,000 for non-pecuniary compensation plus loss of income, cost of care and home services, and other expenses, particularly when the fee is not deducted from the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It is also important to note that the representative plaintiff, Ms. Endean, considers the fee to be reasonable and urges the court to approve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While public perception is difficult to gauge, there is some interesting anecdotal evidence here. On July 11, 1999, Mr. Camp appeared on a "hot line" radio show in Vancouver, on a station that has coverage throughout the province, to discuss the $52,500,000 allocated for plaintiffs' lawyers' fees in this case. After Mr. Camp explained his justification of that amount, the host took several calls from listeners. The majority of callers supported Mr. Camp's position and, of those who were not supportive, none were overly critical. I do not give this evidence any weight as a measure of public opinion on this matter, but it does suggest that at least some members of the public would not think less of the profession if the fee proposed in this case should be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my opinion, to say that the fee is "simply too much" invites a completely arbitrary assessment, one that depends upon the subjective opinions and whims of the particular judge hearing the application. If the proposed fees are to be reduced on the ground that they impair the integrity of the profession, some principled basis must be suggested for doing so. None has been suggested and I cannot agree that the proposed fee should be reduced by an arbitrary amount ostensibly to protect the integrity of the profession.</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Public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Turriff also advanced a public policy argument. He said that his clients want this Court to establish an upper limit for fees in class actions generally. One of his clients, the Province of British Columbia, enacted the Class Proceedings Act just a few years ago, in 1995, but did not impose any upper limit on fees at that time. Under our system of government, the introduction of a public policy of this nature is a matter for our elected representatives, not for this Court, and I decline Mr. Turriff's invitation to judicially legislate an upper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There is, however, an aspect of public policy that is relevant. It was captured by Professor Garry D. Watson Q.C. in a paper entitled Class Actions: Uncharted Procedural Issues. In discussing the issue of compensation for plaintiffs' class counsel in the context of the Ontario statute, he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a vitally important subject, not just because it determines what will go into class counsel's pocket but because it will determine whether or not the legislation is successful. In the final analysis whether or not the Class Proceedings Act will achieve its noble objectives will largely depend upon whether or not there are plaintiff class lawyers who are prepared to act for the class and hence bring the actions. This in turn depends on two factors (a) the level of monetary reward given to class counsel, and (b) the predictability and reliability of the award. In the final analysis, both of these aspects are crucial. Class actions will simply not be brought if class counsel are not adequately remunerated for the time, effort and skill put into the litigation and the risk they assume (under contingency fee arrangements) of receiving nothing. Equally important is that such remuneration be reasonably predictable, i.e., that class counsel can take on class actions with a reasonable expectation that in the event of success they will receive reasonable remuneration. It is vital to the viability of class actions that class counsel not be met on "judgment day" with judicial pronouncements (issued with the "benefit" of hindsight) that class counsel "spent too much time, had hourly rates that were too high and in any event were conducting a case which was not really risky at all" and awarded a low base fee and a niggardly multiplier - except in very clear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These comments flow from the objectives of the class action legislation, which include the improvement of access to the courts for those whose actions might have merit but who would not otherwise pursue them because the legal costs of proceeding are disproportionate to the amount of the individual claims: see Endean No. 1, supra at para. 23. Given that objective, the courts must ensure, first, that plaintiffs' lawyers who take on risky class actions on a contingent basis are adequately rewarded for their efforts and, second, that hindsight is not used unfairly in the assessment of the reasonableness of their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On a consideration of all of the circumstances in this case, I am satisfied that the contingent fee contract was fair at the time it was made and that the fee of $15,000,000 proposed by Mr. Camp and Mr. Lemer is reasonable.</w:t>
      </w:r>
      <w:r>
        <w:rPr>
          <w:rFonts w:ascii="arial" w:eastAsia="arial" w:hAnsi="arial" w:cs="arial"/>
          <w:sz w:val="20"/>
          <w:lang w:val="en-US" w:eastAsia="en-US" w:bidi="ar-SA"/>
        </w:rPr>
        <w:cr/>
      </w:r>
    </w:p>
    <w:p>
      <w:pPr>
        <w:numPr>
          <w:numId w:val="2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Fees in the haemophilic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turn now to the fee proposed by Mr. Storrow in the haemophilic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Actions were commenced on behalf of the haemophilic claimants in Ontario, Quebec, and British Columbia in 1998. The Ontario action was commenced by Ms. Tough, then of the firm of Blake, Cassels &amp; Graydon, who coordinated and supervised the actions in Quebec and British Columbia as well. On May 1, 1998, the Vancouver office of that firm commenced the Mitchell action in this Court. The nature and extent of the work done in the Vancouver office of the firm is described in the following extract taken from Mr. Neaves' affidavit:</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Blakes Vancouver delegated to Ms. Tough the responsibility of acting as national lead counsel on behalf of each plaintiffs' class in the British Columbia, Ontario and Quebec Hemophiliac Class Actions. However, I spent a considerable amount of time preparing for and participating in negotiation sessions with the FPT governments on behalf of the Representative Plaintiff in this action and in support of Ms. Tough's efforts. As a member of the Blakes Vancouver team, I provided advice to senior personnel in the Canadian Hemophilia Society and to members of the steering committee [of plaintiffs' class counsel]. I frequently consulted with and took instructions from the Representative Plaintiff. Mr. Gruber spent a considerable amount of time preparing for the hearing to approve the settlement that was ultimately reached and dealing with subsequent matters. Throughout our involvement, Mr. Storrow provided the Blakes Vancouver team with direction and advice and supported Ms. Tough in her national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Counsel for the haemophilic classes agreed to seek a collective fee of $7,500,000 and to share it in proportion to the amount of work done in each province. According to Mr. Neaves, the $7,500,000 "primarily represents the work of Ms. Tough". In Mr. Neaves' words, the Vancouver office did "the least amount of work on its own." As lawyers in the Vancouver office spent most of their time assisting Ms. Tough, they agreed to seek $500,000 for their fees and Mr. Mitchell executed a contingent fee contract with Blake, Cassels &amp; Graydon in that amount on June 2,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Counsel for this group ran similar risks to counsel for the transfused group, including the risks that for political reasons the FPT Governments would institute a no-fault compensation scheme and that negotiations would fail. These risks had heightened consequences for counsel for the haemophilic classes because of the greater litigation risk arising out of the grave difficulties they would necessarily encounter in attempting to prove causation. In the case of the transfused plaintiffs, it would be possible to identify a discrete transfusion as the source of the infection. However, haemophilic plaintiffs have been receiving blood and blood products regularly, many since before 1986, and the blood products were manufactured from pooled blood donations, making proof of causation at a trial very difficult if not impossible. The settlement was therefore particularly valuable for this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compensation plan for these claimants is very similar to that agreed upon for the transfused class. However, haemophilic plaintiffs have a better result than transfused plaintiffs in some respects. First, haemophilic plaintiffs will not have to establish that their infection occurred within the class period. This is a critical provision because of the inability of most haemophiliacs to identify the source of their infection. Second, haemophiliacs will not be required to submit to liver biopsies for the purpose of identifying the relevant stage of their illness for compensation purposes. This is important because of the danger of uncontrollable bleeding from such an invasive procedure. Next, estates and family members of haemophiliacs who died prior to January 1, 1999, and who were infected with both HIV and HCV at the time of death may elect to receive a payment of $72,000 without proof that HCV was the cause of death. Finally, haemophilic plaintiffs infected with both HIV and HCV may avoid the stress and anxiety of participating in the long-term compensation program by electing to take a lump sum payment of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It is apparent that, in comparison to Mr. Camp and his colleagues, British Columbia counsel for the hemophilic class made a smaller contribution to the outcome. The weight of the following factors accrues largely to Ms. Tough: the extent and character of the services rendered, the professional skills and experience called for, the character and standing of counsel, the results achieved, and the contribution of counsel to the result. On the other hand, although Ms. Tough deserves the lion's share of credit for the result, there is no doubt that the efforts of British Columbia counsel assisted her significantly in her efforts.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Other factors involved in the assessment of reasonableness are directly applicable to the claim by British Columbia counsel. The risks of failure of the action and of the negotiations were assumed by Mr. Storrow and his colleagues, though the consequences of failure were of a much lesser order of magnitude to them than to Mr. Camp and Mr. Lemer. As well, it must be remembered that the risk of failure in the litigation was far higher for this class than for the transfused class. The litigation was profoundly important to the haemophilic class members, the amount recovered is generous, and the plaintiffs would not have been able to achieve the settlement without the assistance of class counsel acting on a contingent fee agreement. Moreover, the character and standing in the profession of Mr. Storrow and his colleagues is undisputed.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It must be noted that the Vancouver office of Blakes docketed no time on this matter until March 28, 1998, the day following the announcement on behalf of the FPT Governments that they would make $1,100,000,000 available to settle the actions. In pointing this out, Mr. Turriff suggested that there was no significant risk run by British Columbia counsel. There is an initial appeal to this assertion, but it does not tell the whole story. As I have already observed elsewhere in these reasons, the risk that negotiations might founder was a real and present risk until well after the judgments granting conditional approval of the settlement. Thus, the time invested by British Columbia counsel was at risk of being valueless. As well, the Toronto arm of the firm had invested substantial time and effort, through Ms. Tough, on behalf of haemophiliacs in the preceding years. The thoroughness and quality of Ms. Tough's work stands out clearly on the evidence. While her agreement to a fee of $500,000 for her Vancouver colleagues may seem generous, it is undoubtedly an expression of her view of the value of their work to the overall result and of the extent of the risk that they ran. As such, I consider it to be evidence supporting the reasonableness of the proposed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Of the total amount of the settlement, it is estimated that approximately $150,300,000 should be allocated notionally to the haemophilic classes. Of the approximately 1,650 haemophilic plaintiffs nationally, approximately 180 are residents of British Columbia, or roughly 11%. If it is assumed that the total recovery for British Columbia haemophilic plaintiffs is 11% of the $150,300,000, that is, $16,533,000, the $500,000 share of the fee allocated to British Columbia counsel is 3% of the recovery. That is a manifestly reasonable percentage.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Assuming a cohort of 180 plaintiffs resident in British Columbia, the fee represents a charge of approximately $2,800 per plaintiff. While these are rough estimations, that is a reasonable amount for each claimant to pay in relation to the benefits recovered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If the matter is examined from the base fee/multiplier approach, the proposed fee does not fare as well. A rough estimate of the value attributed to the time docketed by the Vancouver office of Blakes is $90,000. The proposed fee therefore represents a multiplier of 5.5, which is at the high end of the range of permissible multipliers using this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sorts of checks on reasonableness that I have just performed are useful as guides but, at bottom, the question is whether the proposed fee is reasonable having regard to all of the relevant circumstances. Having considered the circumstances, I conclude that this proposed fee of $500,000 meets the test for reasonableness.</w:t>
      </w:r>
      <w:r>
        <w:rPr>
          <w:rFonts w:ascii="arial" w:eastAsia="arial" w:hAnsi="arial" w:cs="arial"/>
          <w:sz w:val="20"/>
          <w:lang w:val="en-US" w:eastAsia="en-US" w:bidi="ar-SA"/>
        </w:rPr>
        <w:cr/>
      </w:r>
    </w:p>
    <w:p>
      <w:pPr>
        <w:numPr>
          <w:numId w:val="3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As I understand it, Mr. Camp claims disbursements in the amount of $75,376 and Mr. Turriff, having scrutinized the items comprising that total, agrees that the amount claimed is reasonable and that the disbursements involved are properly payable. Accordingly, the claim for disbursements totalling that amount is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Storrow advised during his submission that the disbursements for which he claims reimbursement total approximately $35,000. Mr. Turriff indicated that he wished to have some time to review the disbursements claimed and to make a written submission if he should think it necessary. I have not received anything further from counsel in this regard. Accordingly, if counsel can agree on the disbursements, they may insert the agreed amount in the order to be drawn up consequent on these reasons. There will be liberty to apply in the event that there are disbursement items requiring adjudication.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K.J.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7"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82" w:history="1">
        <w:r>
          <w:rPr>
            <w:rFonts w:ascii="arial" w:eastAsia="arial" w:hAnsi="arial" w:cs="arial"/>
            <w:b/>
            <w:bCs/>
            <w:i/>
            <w:color w:val="0077CC"/>
            <w:kern w:val="32"/>
            <w:sz w:val="28"/>
            <w:szCs w:val="32"/>
            <w:u w:val="single"/>
            <w:shd w:val="clear" w:color="auto" w:fill="FFFFFF"/>
            <w:lang w:val="en-US" w:eastAsia="en-US" w:bidi="ar-SA"/>
          </w:rPr>
          <w:t>Ewing v. Sidhu, [2000] B.C.J. No. 1528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Williamson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June 28 - 30, 2000.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July 24, 2000.</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B972089</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[2000] B.C.J. No. 1528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2000 BCSC 1125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98 A.C.W.S. (3d) 343</w:t>
      </w:r>
    </w:p>
    <w:p>
      <w:pPr>
        <w:spacing w:before="120" w:line="260" w:lineRule="atLeast"/>
        <w:rPr>
          <w:lang w:val="en-US" w:eastAsia="en-US" w:bidi="ar-SA"/>
        </w:rPr>
      </w:pPr>
      <w:r>
        <w:rPr>
          <w:rFonts w:ascii="arial" w:eastAsia="arial" w:hAnsi="arial" w:cs="arial"/>
          <w:color w:val="000000"/>
          <w:sz w:val="20"/>
          <w:lang w:val="en-US" w:eastAsia="en-US" w:bidi="ar-SA"/>
        </w:rPr>
        <w:t>Between Lance Joseph Ewing and Audaciter Enterprises Ltd. (Incorporation No. 0392748), plaintiffs, and Bhaeat Singh Sidhu a.k.a. Singh Bhaeat Sidhu and Queen City Taxi Ltd. (Incorporation No. 01159569), defendants, and Insurance Corporation of British Columbia, third party</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(42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88" style="position:absolute;z-index:25169408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28" w:name="Keywords_33"/>
      <w:bookmarkEnd w:id="228"/>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 Damage awards — Injury and death — Body injuries — Special damage awards — Loss of business or professional income — Cost of future care — General damage awards — Loss of prospective earnings — Pain and suffering, loss of amenities and other nonpecuniary damages.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29" w:name="Case Summary_33"/>
            <w:bookmarkEnd w:id="229"/>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Ewing against Sidhu for damages following a motor vehicle accident. Ewing owned a small but growing business called Advanced Ergonomics. Ewing was in his vehicle when a vehicle driven by Sidhu struck from behind. Ewing had been in two other accidents several years earlier, in which he sustained injuries to his right thoracic area. His injuries from the most recent accident were largely healed within six weeks. However, he continued to experience hip pain that he managed with exercise and occasional analgesics. Ewing sought non-pecuniary damages of $45,000, damages for past income loss, and an award for future earning capacity. He claimed that a straight-line increase in his company's profitability was interrupted briefly in the period after the accident. </w:t>
            </w:r>
            <w:r>
              <w:rPr>
                <w:lang w:val="en-US" w:eastAsia="en-US" w:bidi="ar-SA"/>
              </w:rPr>
              <w:cr/>
            </w:r>
          </w:p>
          <w:p>
            <w:pPr>
              <w:spacing w:before="120" w:line="260" w:lineRule="atLeast"/>
              <w:ind w:left="240"/>
              <w:jc w:val="both"/>
              <w:rPr>
                <w:lang w:val="en-US" w:eastAsia="en-US" w:bidi="ar-SA"/>
              </w:rPr>
            </w:pPr>
            <w:bookmarkStart w:id="230" w:name="Holdings of Court_31"/>
            <w:bookmarkEnd w:id="230"/>
            <w:r>
              <w:rPr>
                <w:rFonts w:ascii="arial" w:eastAsia="arial" w:hAnsi="arial" w:cs="arial"/>
                <w:color w:val="000000"/>
                <w:sz w:val="20"/>
                <w:lang w:val="en-US" w:eastAsia="en-US" w:bidi="ar-SA"/>
              </w:rPr>
              <w:t>HELD: Action allowed in part.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Ewing was awarded non-pecuniary damages of $30,000, plus damages for loss of income of $40,000. Ewing's company, and Ewing, had sustained an income loss in the period shortly after the accident because his working hours were reduced for several weeks. However, the loss was a delay in income rather than an absolute loss. Damages for future earning capacity of $25,000 were awarded on the basis that most of his impairment in future earning capacity resulted from his previous two accidents. Special damages of $10,400 were awarded, plus $600 for the cost of future care. </w:t>
            </w:r>
            <w:r>
              <w:rPr>
                <w:lang w:val="en-US" w:eastAsia="en-US" w:bidi="ar-SA"/>
              </w:rPr>
              <w:cr/>
            </w:r>
          </w:p>
          <w:p>
            <w:pPr>
              <w:rPr>
                <w:lang w:val="en-US" w:eastAsia="en-US" w:bidi="ar-SA"/>
              </w:rPr>
            </w:pPr>
          </w:p>
        </w:tc>
      </w:tr>
    </w:tbl>
    <w:p>
      <w:pPr>
        <w:jc w:val="both"/>
        <w:rPr>
          <w:lang w:val="en-US" w:eastAsia="en-US" w:bidi="ar-SA"/>
        </w:rPr>
      </w:pPr>
      <w:bookmarkStart w:id="231" w:name="Counsel_34"/>
      <w:bookmarkEnd w:id="23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89" style="position:absolute;z-index:25174528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Peter Kravchuke, for the plaintiff. Stephen G. Herman, for the defendant, Queen City Taxi Ltd. and third party.</w:t>
      </w:r>
      <w:r>
        <w:rPr>
          <w:lang w:val="en-US" w:eastAsia="en-US" w:bidi="ar-SA"/>
        </w:rPr>
        <w:cr/>
      </w:r>
    </w:p>
    <w:p>
      <w:pPr>
        <w:spacing w:after="240"/>
        <w:rPr>
          <w:lang w:val="en-US" w:eastAsia="en-US" w:bidi="ar-SA"/>
        </w:rPr>
      </w:pPr>
      <w:bookmarkStart w:id="232" w:name="Judgment_34"/>
      <w:bookmarkEnd w:id="232"/>
      <w:r>
        <w:pict>
          <v:line id="_x0000_s1190" style="position:absolute;z-index:25179648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33" w:name="WILLIAMSON J."/>
            <w:bookmarkEnd w:id="233"/>
            <w:r>
              <w:rPr>
                <w:rFonts w:ascii="arial" w:eastAsia="arial" w:hAnsi="arial" w:cs="arial"/>
                <w:b/>
                <w:color w:val="000000"/>
                <w:sz w:val="30"/>
                <w:lang w:val="en-US" w:eastAsia="en-US" w:bidi="ar-SA"/>
              </w:rPr>
              <w:t>WILLIAMSON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April 12, 1996, the plaintiff Lance Ewing was in his automobile in Richmond when his vehicle was struck from behind by a vehicle driven by the defendant Sidhu and owned by Queen City Taxi Ltd. The vehicle driven by Ewing was owned by his company then known as Audaciter Enterprises Ltd., a company now known as Advanced Ergonomics Inc.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is not in issue. The defendant driver was apparently impaired and was arrested at the scene.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Ewing was injured. He sustained soft tissue injuries to the left arm, neck, and left shoulder. He was also injured in the sacroiliac joint area of his left hip. The majority of these injuries were resolved within six weeks. However, his left sacroiliac joint continues to bother him to some extent to the present 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Ewing required physiotherapy for about three and one-half months. The evidence discloses that he was a good patient who followed the instructions of his medical advisors. He still exercises regularly to prevent an increase in the mild pain he experiences from time to time in his hip area.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He had been an ardent badminton player and was able to return to that game intermittently after a few weeks, but he concluded playing that game as it "was probably contributing a little bit" to ongoing discomfort and as a result he is "away from it again". He testified that unless he maintains consistent exercise programs he experiences a recurrence or an increase in the pain in his hip. He also now avoids very long drives as he finds that they aggravate the pain in his sacroiliac joint.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Other than these residual effects, he has long been able to return to the majority of his pre-accident activities.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noted, Mr. Ewing was good patient who followed medical advice. He was also described as stoic. The soft tissue injuries in the neck and shoulder areas resolved within about six weeks. By approximately two and one-half weeks after the accident he was back working three hours a day, and by September he was working full-time. Although most injuries resolved, he is left with some pain in the hip which he manages with exercise and occasional analgesics.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Counsel for the plaintiff suggests non-pecuniary damages should be in the range of $45,000; counsel for the defendant says the range is $12,000 to 20,000. Each brings cases to support his suggestion.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plaintiff relies principally upon three decisions of this court: McCarthy v. Wiebe and McCorquodale, </w:t>
      </w:r>
      <w:hyperlink r:id="rId583" w:history="1">
        <w:r>
          <w:rPr>
            <w:rFonts w:ascii="arial" w:eastAsia="arial" w:hAnsi="arial" w:cs="arial"/>
            <w:i/>
            <w:color w:val="0077CC"/>
            <w:sz w:val="20"/>
            <w:u w:val="single"/>
            <w:shd w:val="clear" w:color="auto" w:fill="FFFFFF"/>
            <w:lang w:val="en-US" w:eastAsia="en-US" w:bidi="ar-SA"/>
          </w:rPr>
          <w:t>[1996] B.C.J. No. 2590</w:t>
        </w:r>
      </w:hyperlink>
      <w:r>
        <w:rPr>
          <w:rFonts w:ascii="arial" w:eastAsia="arial" w:hAnsi="arial" w:cs="arial"/>
          <w:color w:val="000000"/>
          <w:sz w:val="20"/>
          <w:lang w:val="en-US" w:eastAsia="en-US" w:bidi="ar-SA"/>
        </w:rPr>
        <w:t xml:space="preserve">, (16 December, 1996) Vancouver B932210, Nixon v. Kanciruk, </w:t>
      </w:r>
      <w:hyperlink r:id="rId584" w:history="1">
        <w:r>
          <w:rPr>
            <w:rFonts w:ascii="arial" w:eastAsia="arial" w:hAnsi="arial" w:cs="arial"/>
            <w:i/>
            <w:color w:val="0077CC"/>
            <w:sz w:val="20"/>
            <w:u w:val="single"/>
            <w:shd w:val="clear" w:color="auto" w:fill="FFFFFF"/>
            <w:lang w:val="en-US" w:eastAsia="en-US" w:bidi="ar-SA"/>
          </w:rPr>
          <w:t>[1997] B.C.J. No. 2652</w:t>
        </w:r>
      </w:hyperlink>
      <w:r>
        <w:rPr>
          <w:rFonts w:ascii="arial" w:eastAsia="arial" w:hAnsi="arial" w:cs="arial"/>
          <w:color w:val="000000"/>
          <w:sz w:val="20"/>
          <w:lang w:val="en-US" w:eastAsia="en-US" w:bidi="ar-SA"/>
        </w:rPr>
        <w:t xml:space="preserve">, (26 November, 1997) Vancouver B954161, and Mejia v. Sakic, </w:t>
      </w:r>
      <w:hyperlink r:id="rId585" w:history="1">
        <w:r>
          <w:rPr>
            <w:rFonts w:ascii="arial" w:eastAsia="arial" w:hAnsi="arial" w:cs="arial"/>
            <w:i/>
            <w:color w:val="0077CC"/>
            <w:sz w:val="20"/>
            <w:u w:val="single"/>
            <w:shd w:val="clear" w:color="auto" w:fill="FFFFFF"/>
            <w:lang w:val="en-US" w:eastAsia="en-US" w:bidi="ar-SA"/>
          </w:rPr>
          <w:t>[1998] B.C.J. No. 414</w:t>
        </w:r>
      </w:hyperlink>
      <w:r>
        <w:rPr>
          <w:rFonts w:ascii="arial" w:eastAsia="arial" w:hAnsi="arial" w:cs="arial"/>
          <w:color w:val="000000"/>
          <w:sz w:val="20"/>
          <w:lang w:val="en-US" w:eastAsia="en-US" w:bidi="ar-SA"/>
        </w:rPr>
        <w:t>, (24 February, 1998) Vancouver B965224, all of which concern awards for non-pecuniary damages of $45,000.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However a perusal of these cases indicates the injuries caused serious difficulties for the plaintiffs for periods far longer than in the case at bar.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Mejia, the computer specialist plaintiff sustained injury to his sacro-iliac joint. Seventeen months after the accident he was reported suffering chronic back pain and unable to do is job. It was reported his condition would probably deteriorate.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Nixon the plaintiff sustained soft tissue injuries, but the court also found the accident "materially contributed" to a herniated disc which was the principle problem. Three years after the accident the plaintiff could "always feel pain" and the prognosis was that he remain in an administrative position in order to avoid flare ups which otherwise would "almost certainly occur".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McCarthy there were two accidents. The injuries were more widespread than in the case at bar, and for some time after the first one the plaintiff was "totally disabled" to the point where she had to be helped in and out of chairs and the bathtub.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conclude the injuries in the case at bar are less severe than in the above cases. Were it not for the persisting difficulty with the hip area, I would accept defence counsel's submissions. However, given the evidence of the continuing intermittent difficulty with the sacroiliac area, evidence which I accept, a slightly higher award is appropriate. I assess non-pecuniary damages at $30,000.</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Pecuniary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Ewing claims past income loss as well as an award for impairment of future earning capability. The plaintiff relies upon an expert report authored by G.F. Taunton; the defendant upon a report and supplements of Anthony Upton.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income loss claim is complicated because he is the effective owner and key person in a small growing enterprise which started in the early 1990s and continued to expand throughout the period that he was injured. In effect, as one witness put it, the issue for damages is whether the profitability of his company would have increased more than it did had Ewing not been injured.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Ewing was born and raised in Newfoundland and came to this province in about 1980. He worked in a number of labouring jobs and then took a job in a hospital where he observed ambulance attendants at work. He decided to become a paramedic.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 eventually obtained his First Aid Certificate and his EMA II (the qualification to become an ambulance attendant) and worked for the Emergency Health Services Commission until about 1988.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1987 and l988 he was involved in two accidents, both of which caused injury to his right thoracic area. Each time he was off work briefly. Subsequent to the second incident, Ewing found that continuing to work as an ambulance attendant would exacerbate that injury although it had otherwise resolved. As a result, and with the encouragement of his doctor, he decided to look for work in a related area that would be less demanding physically.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He found and accepted a job as the manager of the safety program for an open pit mine. He held this position for some two years. He left this position to take on a contract to design, implement and manage occupational safety programs for a retail food supermarket chain. After two years in this position he advocated arranging for representation on the part of the retail food industry as a whole, rather than individual companies, during a review of the regulations by the Workers' Compensation Board. He was successful in creating the position and in being retained on the regulation review. He worked for this organization from 1992 until 1995.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However, throughout this period he had begun to work with his own company, then called Audaciter Enterprises Ltd. This fledgling company provided consulting services in the area of safety with a view to reducing Workers' Compensation Board premiums paid by companies by designing programs to reduce injuries and time loss to employees. Over time the company has changed its emphasis from general safety to ergonomics. Hence the change of name to Advanced Ergonomics Inc.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When the company started in 1992 Ewing was the only employee. The company now employs approximately 20 staff and consultants, and also sub-contracts. Its gross revenue has gone from $225,000 in 1995 to an estimated $1,500,000 in the year 2000.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Ewing, his wife and his parents, are Directors of the company, and Ewing splits his income with his wife. As a couple, in 1992, they took approximately $23,000 out of the company. By 1997, they were taking close to $113,000 out of the company. All of the shares are held by Ewing, his wife or his parents.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is the position of the plaintiff that the straight line increase in profitability of the company of which Ewing is the operating mind was interrupted briefly in the period after the accident. The plaintiff says because he had to take time off, he was not able to devote the time that he would have otherwise devoted to the company and that profits were unrealized.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He initially calculated this loss on the basis of billable hours as a consultant which he billed personally for the benefit of the company. However, it is his evidence that as the company has expanded he has devoted less time to consulting work himself and so therefore his billable hours have decreased to the point where they are now zero. He testified that he still puts in long hours with the company in non-billable time - that is to say in the areas of administration and business development. His evidence is that this is a more effective use of his time and it is to the benefit of the company to do so. The apparent success of the company is consistent with this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But his changing role in the company, and the impossibility of pin-pointing lost billable hours, renders the calculation of loss of income difficult.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During the few months after the accident, Ewing retained, or more correctly increased the use of, the services of another safety consultant, a Mr. Ian May. May's involvement is problematic, for he already worked for Ewing's company in any case, and he also worked for an important client of the company. The defendant's expert would compensate Ewing for his lost hours, and would also compensate Ewing for the cost of paying May to work those hours. This recommendation is seized upon by the plaintiff as demonstrating that Upton's report is unreliable.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find Upton's report unconvincing. Some assumptions he utilizes are not supported by the evidence. In setting out average hours worked in the months before the accident, he fails to take into account vacation periods. He also assumes the end of one contract (he refers to it as having been lost) as having a significance which in my view has not been made out. The nature of conducting business by way of contracts of necessity includes the fact that contracts come to an end. The company appears to have had ample work scheduled in the period immediately after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Kravchuke, for the plaintiff, submits I should reject the Upton report as biased. He notes that Upton cannot be considered truly independent as effectively his entire income comes from the third party insurance corporation. However, while for the reasons given above, I have some difficulty with the persuasiveness of the report, I am not prepared on the material before me to reject it on the basis of bias.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Past Income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am satisfied that Ewing's company, and therefore Ewing, sustained a loss in income in the period shortly after the accident because his working hours were significantly reduced for a period of weeks. However, I agree that this loss is better described as a delay in income rather than an absolute loss. Undoubtedly, a delay in income is to some extent a real financial loss. The matter is complicated, however, by the hiring of Mr. May to do some work that Ewing would otherwise have done, thus minimizing the delay. I note there is no evidence any work was actually lost due to delay - which is to say that no existing contracts were cancelled, and there is no evidence of penalties assessed for any delay.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There is in evidence one letter from Ewing to a potential client declining an offer for work, but there is nothing as to the value of that potential contract and no convincing evidence that it was turned down because of Ewing's injuries. Indeed, as noted above, the company continued to attract more and more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expert called by the plaintiff recognized the difficulties involved in this matter, and stated that his estimates of loss should be treated "primarily for illustrative purposes". Thus, by way of illustration, he concludes that if Ewing, age 37 at the time of the accident, continued as President of the company until 65 years of age, and if his injuries caused a lag in the earnings of the company, the loss would have been $194,509 if the lag in earnings were six months, and $97,255 if the lag was three months. I am satisfied upon the evidence that any lag was closer to three months than six.</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find these illustrations unpersuasive. While I except there was some "lag" in earnings as a result of the accident, I conclude it was minimal. Mr. May was hired to do work which Ewing would have done. Thus, the impact of Ewing's injuries was minimized. The company continued to flourish and expand. I conclude loss was experienced and that loss was principally the result of Ewing's briefly restricted marketing or business development activities. But this factor had a small impact, as the continued growth of the company demonstrates.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the result, any lag being on the shorter side and having less impact that Mr. Taunton would suggest, I assess damages for loss of income at $40,000.</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Impairment of Future Income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plaintiff says that as a result of the continuing difficulties with his hip joint, the options open to him in the future for employment have been impaired. He relies upon the following passage from Palmer v. Goodall </w:t>
      </w:r>
      <w:hyperlink r:id="rId586"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(B.C.C.A.) at p. 59:</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Because it is impairment that is being redressed, even a plaintiff who is apparently going to be able to earn as much as he could have earned if not injured or who, with retraining, on the balance of probabilities, will be able to do so, is entitled to compensation for the impairment. He is entitled to it because for the rest of his life some occupations will be closed to him and it is impossible to say that over his working life the impairment will not harm his income earning 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this case Ewing is apparently going to be able to earn in the future as much as he would have earned if not injured. Can it be said his ongoing hip problems will not harm his income earning ability? I think not. But that does not end the matter, for in this case there is evidence that previous injuries had already foreclosed certain types of occupations to Ewing.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As noted in paragraph 19 above, in l987, during the period he was an ambulance attendant, Ewing was injured. He sustained soft tissue injuries to his right thoracic area, and was off work two or three weeks. Then in 1988 he was involved in a motor vehicle accident in which he sustained injuries to the same right thoracic area.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He received medical advice that he should consider finding work less physically demanding. This advice was confirmed when he returned to work and found it "not without discomfort". Shortly after, he took the position at the mine noted above.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conclude that while it cannot be said the 1996 accident has not impaired Ewing's employment options, those options were already impaired in a similar way as a result of the accidents in l987 and l988. I conclude that impairment, however, was exacerbated by the 1996 accident. Ewing is entitled to be put in the same position, so far as is possible, as he was in April 11, l996. He is not entitled to be placed in a better position. The full financial responsibility for that impairment (which is in any case minimal) cannot be laid at the feet of the defendant in this case. I conclude a majority of any impairment to future earning capabilities resulted from the 1987 and 1988 accidents.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assess damages for impairment of future earning capacity at $25,000.</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Special damages are allowed in the amount of $10,400.64. The plaintiff also seeks $200 per year for analgesics. The $200 figure has not been challenged, but the duration of this need is speculative. I am satisfied Ewing will need these analgesics for some time, but only occasionally, and assess this award at $600.</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Summary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41a</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2405"/>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58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Non-pecuniary damages</w:t>
            </w:r>
          </w:p>
        </w:tc>
        <w:tc>
          <w:tcPr>
            <w:tcW w:w="2355"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$30,000.00</w:t>
            </w:r>
          </w:p>
        </w:tc>
        <w:tc>
          <w:tcPr>
            <w:tcW w:w="368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1"/>
        <w:gridCol w:w="2614"/>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37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Past Income Loss</w:t>
            </w:r>
          </w:p>
        </w:tc>
        <w:tc>
          <w:tcPr>
            <w:tcW w:w="2560"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40,000.00</w:t>
            </w:r>
          </w:p>
        </w:tc>
        <w:tc>
          <w:tcPr>
            <w:tcW w:w="368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1673"/>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4301"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Impairment of Ability to Earn</w:t>
            </w:r>
          </w:p>
        </w:tc>
        <w:tc>
          <w:tcPr>
            <w:tcW w:w="1638"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25,000.00</w:t>
            </w:r>
          </w:p>
        </w:tc>
        <w:tc>
          <w:tcPr>
            <w:tcW w:w="368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2196"/>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78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Cost of Future Care</w:t>
            </w:r>
          </w:p>
        </w:tc>
        <w:tc>
          <w:tcPr>
            <w:tcW w:w="2150"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600.00</w:t>
            </w:r>
          </w:p>
        </w:tc>
        <w:tc>
          <w:tcPr>
            <w:tcW w:w="368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1"/>
        <w:gridCol w:w="2614"/>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37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Special Damages</w:t>
            </w:r>
          </w:p>
        </w:tc>
        <w:tc>
          <w:tcPr>
            <w:tcW w:w="2560"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10,400.64</w:t>
            </w:r>
          </w:p>
        </w:tc>
        <w:tc>
          <w:tcPr>
            <w:tcW w:w="368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before="120" w:line="260" w:lineRule="atLeast"/>
        <w:ind w:firstLine="240"/>
        <w:rPr>
          <w:lang w:val="en-US" w:eastAsia="en-US" w:bidi="ar-SA"/>
        </w:rPr>
      </w:pPr>
      <w:r>
        <w:rPr>
          <w:rFonts w:ascii="arial" w:eastAsia="arial" w:hAnsi="arial" w:cs="arial"/>
          <w:color w:val="000000"/>
          <w:sz w:val="20"/>
          <w:lang w:val="en-US" w:eastAsia="en-US" w:bidi="ar-SA"/>
        </w:rPr>
        <w:t>[The Court did not number the Summary. Quicklaw has assigned the number 41a.]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Award accordingly. The plaintiff will have his costs at Scale 3, with liberty to file a consent order or to apply if there is something of which I am not aware.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WILLIAMSON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8466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93" w:history="1">
        <w:r>
          <w:rPr>
            <w:rFonts w:ascii="arial" w:eastAsia="arial" w:hAnsi="arial" w:cs="arial"/>
            <w:b/>
            <w:bCs/>
            <w:i/>
            <w:color w:val="0077CC"/>
            <w:kern w:val="32"/>
            <w:sz w:val="28"/>
            <w:szCs w:val="32"/>
            <w:u w:val="single"/>
            <w:shd w:val="clear" w:color="auto" w:fill="FFFFFF"/>
            <w:lang w:val="en-US" w:eastAsia="en-US" w:bidi="ar-SA"/>
          </w:rPr>
          <w:t>Ferguson v. British Columbia Nurses' Union, [2005] B.C.J. No. 1468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Sigurdson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25 - 28,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29,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33133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1468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2005 BCSC 982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42 C.C.E.L. (3d) 63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[2005] CLLC para. 210-037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140 A.C.W.S. (3d) 633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2005 CarswellBC 1589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Catherine Anne Ferguson, plaintiff, and British Columbia Nurses Union,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2"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4" w:name="Keywords_34"/>
      <w:bookmarkEnd w:id="234"/>
      <w:r>
        <w:rPr>
          <w:rFonts w:ascii="arial" w:eastAsia="arial" w:hAnsi="arial" w:cs="arial"/>
          <w:b/>
          <w:color w:val="000000"/>
          <w:sz w:val="20"/>
          <w:lang w:val="en-US" w:eastAsia="en-US" w:bidi="ar-SA"/>
        </w:rPr>
        <w:t>Labour law — Unions — Officers — Employment law — Employer-employee relationship — Employee, what constitutes — Termination of employment — Wrongful dismissal — Civil procedure — Judgments and orders — Summary judgments.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5" w:name="Case Summary_34"/>
            <w:bookmarkEnd w:id="23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employee, Ferguson, for summary judgment against the defendant, the British Columbia Nurses' Union, for damages for wrongful dismissal. The plaintiff, a registered nurse and member of the Union, was re-elected president of the Union for a two-year term. She resigned in the face of difficulties with members of the governing council. She alleged that the Union's conduct, through its council members, created an intolerable working situation that amounted to a fundamental breach of the employment agreement and constituted a constructive dismissal. The Union sought a summary dismissal of the employee's claim on the basis that as an elected officer, she was not an employee, that no employment or other contract existed, that she resigned voluntarily, and suffered no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6" w:name="Holdings of Court_32"/>
            <w:bookmarkEnd w:id="236"/>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not possible on the affidavit evidence to determine the facts necessary to conclude whether a fundamental breach of contract occurred or was condoned, or whether a voluntary resignation occurred, or whether the plaintiff sustained damages. However, it was possible to conclude that the plaintiff was an employee. Although there was no written contract, there were a number of indications that the substance of the relationship was one of employment. The fact that she held an elected office did not preclude a finding that she was an employee. The Union had a significant degree of control over the president's duties. A complaint process existed that could result in the president's termination. The plaintiff was on a leave of absence from her employer, was paid on a full time basis by the Union, and was to be paid for a fixed term. She received benefits and the Union made the usual statutory deductions. The document that described the president's duties referred to them as terms and conditions of employment. Accordingly, the Union's application to dismiss the employee's action was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7" w:name="Legislation Cited_22"/>
      <w:bookmarkEnd w:id="23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3"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Labour Relations Code, </w:t>
      </w:r>
      <w:r>
        <w:rPr>
          <w:rFonts w:ascii="arial" w:eastAsia="arial" w:hAnsi="arial" w:cs="arial"/>
          <w:i/>
          <w:color w:val="000000"/>
          <w:sz w:val="20"/>
          <w:lang w:val="en-US" w:eastAsia="en-US" w:bidi="ar-SA"/>
        </w:rPr>
        <w:t>R.S.B.C. 1996, c. 244</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8" w:name="Counsel_35"/>
      <w:bookmarkEnd w:id="23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4" style="position:absolute;z-index:251797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J.B. Carter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K.P. Young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9" w:name="Judgment_35"/>
      <w:bookmarkEnd w:id="239"/>
      <w:r>
        <w:pict>
          <v:line id="_x0000_s1195" style="position:absolute;z-index:25184768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0" w:name="SIGURDSON J."/>
            <w:bookmarkEnd w:id="240"/>
            <w:r>
              <w:rPr>
                <w:rFonts w:ascii="arial" w:eastAsia="arial" w:hAnsi="arial" w:cs="arial"/>
                <w:b/>
                <w:color w:val="000000"/>
                <w:sz w:val="30"/>
                <w:lang w:val="en-US" w:eastAsia="en-US" w:bidi="ar-SA"/>
              </w:rPr>
              <w:t>SIGURDSON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the plaintiff's action for wrongful dismissal, there are competing applications under Rule 18A. The defendant seeks to dismiss the plaintiff's claim and the plaintiff applies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 registered nurse, was elected President of the defendant British Columbia Nurses Union (the "Union") initially in 1998 and again in May 2000 for a term to run September 1, 2000 to August 31, 2002. The ultimate governing authority of the Union is exercised by its members at Union conventions which occur annually ("Convention"). Between Conventions the governing body of the Union is a council which is comprised of elected representatives of the Union from around the province and from the Union executive ("the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Difficulties arose between members of Council and the President. The plaintiff resigned her position as President on June 22,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applies under Rule 18A for dismissal of the action on the grounds that:</w:t>
      </w:r>
      <w:r>
        <w:rPr>
          <w:rFonts w:ascii="arial" w:eastAsia="arial" w:hAnsi="arial" w:cs="arial"/>
          <w:sz w:val="20"/>
          <w:lang w:val="en-US" w:eastAsia="en-US" w:bidi="ar-SA"/>
        </w:rPr>
        <w:cr/>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not an employee of the defendant and had no employment contract, or other contract, with the defendant and therefore cannot maintain an action for wrongful dismissal or an action for breach of contract;</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 was an employee (or party to some agreement with the defendant), she voluntarily resigned her position as president;</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 was an employee, or party to a contract similar to an employment contract, she was not constructively dismissed,</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defendant breached a contract with the plaintiff, she has suffered no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opposes the defendant's application under Rule 18A on the grounds that:</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matter of law she was an employee.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if she was not an employee, she and the defendant were nevertheless parties to an agreement (even if not an employment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also seeks judgment herself under Rule 18A. She says that the defendant's conduct, through its Council and the individual members of Council, in and around May and June 2000, created an intolerable working situation and amounted to a fundamental breach of contract and was, at law, a constructive dismissal.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Young, counsel for the Union, argues that the plaintiff was an office holder, not an employee. She argues that the plaintiff did not enter into an employment contract, written, oral or implied. By the Union Constitution which governed the parties' relationship, the plaintiff held the elected position of President, made a pledge of office as President and although paid, performed no services other than as President. The defendant says that the plaintiff as President could not be disciplined or dismissed by the Union, but could only be removed within the rules of the Constitution and the rules of natural justice. The plaintiff's protection from inappropriate treatment was provided by the principles of natural justice, labour relations legislation and the common law regarding membership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says that an elected officer, in the position of the plaintiff, cannot succeed in a wrongful dismissal action. Any possible trappings of employment status were for administrative convenience or by reason of her position as an office holder. The defendant says that significant indicia of an employment relationship, such as control by the defendant over how she did her job, were absent. The President was not subservient to the Council and did not see herself as subservient, but had significant duties and responsibilities under the Constitution and worked independently within that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also says that the plaintiff voluntarily resigned and, as such, cannot maintain an action for constructive dismissal, even if she was party to a contract with the defendant. The defendant says that it did not commit a fundamental breach of or repudiate the agreement. The defendant argues that, in any event, the plaintiff, by choosing not to work as a nurse, has failed to meet her duty to mitigate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position is that the plaintiff has the requisite status to maintain this action, as the parties' relationship was a contractual one of employer/employee.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essential element of the test for determining whether a person is an employee, the plaintiff argues, is whether the employer has significant control over the activities of the person. The mere fact that the person has an elected position does not preclude her characterization as an employee. The plaintiff relies heavily on Hokanson v. Sheet Metal Workers International Assn., Local 280 </w:t>
      </w:r>
      <w:hyperlink r:id="rId595" w:history="1">
        <w:r>
          <w:rPr>
            <w:rFonts w:ascii="arial" w:eastAsia="arial" w:hAnsi="arial" w:cs="arial"/>
            <w:i/>
            <w:color w:val="0077CC"/>
            <w:sz w:val="20"/>
            <w:u w:val="single"/>
            <w:shd w:val="clear" w:color="auto" w:fill="FFFFFF"/>
            <w:lang w:val="en-US" w:eastAsia="en-US" w:bidi="ar-SA"/>
          </w:rPr>
          <w:t>(1985), 12 C.C.E.L. 231</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Apart from control, the key indicators of employment that the plaintiff relies on are that the plaintiff was paid by the defendant, had an employment number with the defendant and was not otherwise employed, but was on a leave of absence from her usual work as a nurse. The plaintiff also points to the fact that she was provided a travel allowance, a housing and business allowance, received no outside income, had a close working relationship with the excluded staff and the Chief Operating Officer and the Council, was selected by the membership of the Union and could be disciplined under the Constitution which could effectively result in the termination of her position as President.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contends that her resignation was in response to conduct of Council which she alleges created a situation that was so intolerable that continued employment as President became impossible and that, at law, amounted to a repudiation of the employment contract by the defendant and, as such, was a wrongful dismissal. Alternatively, the plaintiff says that if there was not an employment contract, the parties nevertheless had a contract that was fundamentally breached by the same conduct in May and June,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Although the pleadings on the alternate contract claim of the plaintiff leave something to be desired I understood that the plaintiff's counsel's alternate submission to be that even if the plaintiff was an office holder, the parties were subject to a contract. The plaintiff characterized the fundamental breach of that contract either as the defendants' unequivocal refusal to perform its contractual obligation or that the defendants' conduct destroyed the commercial purpose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relevant paragraphs of the statement of claim setting out the allegations the plaintiff asserts led to her resignation are these:</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went on a medical leave from May 3rd to May 31st, 2000.</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4th, 2000, the BCNU Council passed a motion to "take a vote of non-confidence" in the Plaintiff as President of the BCNU and to "request her immediate resignation from the office as President and withdrawal from election for President."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May 4th motion was delivered by courier to the Plaintiff's home in Kamloops and requested that she resign and withdraw her name from the election before the votes were counted. The Plaintiff refused.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ballots were counted, the Plaintiff was re-elected for a second term on May 19th, 2000 by a 2-1 margin and the result was officially announced on May 23rd by press release.</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BCNU Council were advised that they had no authority under the Constitution and By-Laws of BCNU to call for a vote of non-confidence, ask for the resignation of the President or ask the President to withdraw from the impending election.</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BCNU Council were advised that the Council as a entity could not, pursuant to the By-Laws, file a complaint against the President. The Council were advised that individual Council members as members of the BCNU could file a complaint against the President as another member of BCNU.</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that advice, there were a series of 16 complaints filed by individual members of Council against the Plaintiff between May 12th, 2000 and May 24th, 2000.</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a series of nine further complaints made by individual Council members between June 15, 2000 and July 20, 2000. All complaints were made pursuant to the By-Laws of BCNU and the complaint investigation process was to proceed pursuant to the By-Laws of BCNU.</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May 29th, the BCNU Council published an eight-page statement entitled, "BCNU Council Statement Respecting Vote of Non-Confidence in President, Cathy Ferguson". In that statement the BCNU Council advised members that on May 4th, they had passed a motion to have a vote of non-confidence in the President and ask for her resignation and withdrawal from election for President. This May 29th statement advised the members that the plaintiff was not properly performing her role under the Constitution and to support their conclusion they provided 10 separate reasons. The substance of those "reasons" included the same contents as some of the complaints which had been previously filed by the individual Council members.</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BCNU Convention was held during the week of June 19th, 2000. Issues surrounding the Plaintiff's Presidency were raised at the outset of the Convention. Those issues discussed involved:</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May 4th BCNU Council motion;</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May 29th, BCNU Council statement;</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content of the complaints of various individual members of the Council.</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discussion of issues surrounding the Plaintiff's Presidency were so involved and intense that they were threatening other necessary business to be conducted at Convention.</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and in consideration of the best interest of BCNU as a whole the Plaintiff resigned as President Elect.</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all the circumstances the acts of BCNU Council during the months of May and June, 2000 is a constructive dismissal and constitutes a wrongful dismissal of the Plaintiff from her office as President Elect for the term September 1st, 2000 to August 31st, 2002.</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the conduct of the Defendant is a breach of the Plaintiff's contract to hold office as President.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summary, the conduct of which the plaintiff complains included the vote of non-confidence, the demand for her resignation, the filing of complaints said to be for the sole purpose of removing her as President, the publication of a statement that a working relationship between the Council and the President could not be maintained, the distribution of such comments at the Convention and her alleged removal as chair of the Convention.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also pleads that "[t]he conduct of the Defendant was in breach of their obligation of good faith and fair dealing with the Plaintiff and as a result the Plaintiff was humiliated, embarrassed and suffered mental distress and irreparable damage to her ability to hold office within BCNU".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 says that if the plaintiff has status as a party to a contract to bring this action, it should be dismissed on the merits. The defendant's position is that the conduct of which she complains is neither a fundamental breach nor a constructive dismissal. The defendant says that she simply resigned. The defendant submits that the plaintiff held a political position in a democratic organization and had to expect vigorous debate, criticism and challenge. The defendant says that the Council was entitled to be critical of the behaviour of the plaintiff and was within its rights to request her resignation. The defendant asserts that the plaintiff did not act in the best interests of the Union, that some of her conduct was disloyal, that she failed to act with due care and skill and exercised poor judgment, that she rejected the authority of Council and that she acted erratically and in a manner which damaged the trust and confidence of the Union membership.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any event the defendant says that the plaintiff condoned the conduct that she now relies on as constituting a constructive dismissal when she resolved to carry on despite the call for her resignation. The defendant also asserts that if the plaintiff is entitled to damages, she should have, at least in large measure, mitigated her damages by returning to her nursing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will be apparent in these reasons, I have concluded that I am unable to determine, on the evidence before me, the facts necessary to decide whether there was a fundamental breach of contract, or a voluntary resignation, or a condonation of a fundamental breach, if that occurred, because there are significant credibility issues tied up with those questions which I cannot resolve.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However, I find that I am able to decide the threshold issue or preliminary issue that arises on the defendant's application under Rule 18A and that is whether the plaintiff was an employee or a party to a contract that allows her to advance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turn to the evidence on this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defendant Union is a trade union certified under the Labour Relations Code, </w:t>
      </w:r>
      <w:r>
        <w:rPr>
          <w:rFonts w:ascii="arial" w:eastAsia="arial" w:hAnsi="arial" w:cs="arial"/>
          <w:i/>
          <w:color w:val="000000"/>
          <w:sz w:val="20"/>
          <w:lang w:val="en-US" w:eastAsia="en-US" w:bidi="ar-SA"/>
        </w:rPr>
        <w:t>R.S.B.C. 1996, c. 244</w:t>
      </w:r>
      <w:r>
        <w:rPr>
          <w:rFonts w:ascii="arial" w:eastAsia="arial" w:hAnsi="arial" w:cs="arial"/>
          <w:color w:val="000000"/>
          <w:sz w:val="20"/>
          <w:lang w:val="en-US" w:eastAsia="en-US" w:bidi="ar-SA"/>
        </w:rPr>
        <w:t>, to represent nurses employed at hospitals, facilities and in the community through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Catherine Anne Ferguson is a nurse and is a member of the Union.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British Columbia Nurses Union's Constitution provides for the election of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President's term of office is two years. Under the Constitution no individual can hold office for more than two consecutive terms. The President is the only full-time elected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Under the Constitution, the Union is governed by an annual Convention, but between Conventions the business is conducted by the Council which is comprised of 28 members. The Council is required to meet not less than four times each year (Article 8.01). The Council is the governing body of the Union when the Convention is not in session (Article 9.01).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Council determines the compensation package of the President.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Article 5 of the Constitution describes the duties of the Union officers. Section 5.01 says that the duties of the President include these:</w:t>
      </w:r>
      <w:r>
        <w:rPr>
          <w:rFonts w:ascii="arial" w:eastAsia="arial" w:hAnsi="arial" w:cs="arial"/>
          <w:sz w:val="20"/>
          <w:lang w:val="en-US" w:eastAsia="en-US" w:bidi="ar-SA"/>
        </w:rPr>
        <w:cr/>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preside at the Conventions of the Unions, meetings of Council and meetings of the Executive Committee;</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interpret Union activities and policies to others.</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be a signing officer.</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to perform other duties which may, from time to time, be assigned by the Council</w:t>
      </w:r>
      <w:r>
        <w:rPr>
          <w:rFonts w:ascii="arial" w:eastAsia="arial" w:hAnsi="arial" w:cs="arial"/>
          <w:color w:val="000000"/>
          <w:sz w:val="20"/>
          <w:lang w:val="en-US" w:eastAsia="en-US" w:bidi="ar-SA"/>
        </w:rPr>
        <w:t>.</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be an ex-officio member of all other Committees, except the Nominating Committee.</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be a Director of the BCNU Holding Society.</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be a Member of CFNU's National Executive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Council, prior to the plaintiff's first election, passed a motion adopting a document called "Roles and Functions 1995". This document describes in point form the various roles and functions of the Council, the President, the Chief Operating Officer and others. This document also says that the Council "approves [the] President's terms and conditions of employment and remuneration".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terms of the President's compensation and the Roles and Functions 1995 document were attached to the nomination forms in 1998 when the plaintiff first ran for president. Candidates were accordingly informed that the President "reports to Council and accepts direction from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terms of the President's role, the roles and functions document provides that the President reports to Council and accepts direction from Council, presides at meetings of Council as well as at the annual Convention, recommends policies and actions for decision by Council and ensures Council gets complete, relevant, and timely information for decision making. The President's role also includes leading and providing vision to the Union, determining action on urgent and important issues between Council meetings, acting as the chief spokesperson with the media and maintaining external relationships required in the achievement of Union objectives. These are only examples of the many roles and functions of the President.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Pursuant to the terms of the collective agreement between the Union and the Health Employers' Association of British Columbia, the plaintiff, while an employee at Royal Inland Hospital, was entitled to a leave of absence from her employment with that hospital for the term of her presidency.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plaintiff's remuneration was fixed by Council. Her base salary at the time of her resignation was $91,443.00. Prior to October 2000, she earned a base salary of $85,130.00.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Unlike other Union members, the plaintiff had a specific employee number from the BCNU which was different from her employee number at the Royal Inland Hospital. The plaintiff received the benefits provided by the defendant Union to the excluded staff. Her benefits included one paid return trip from Vancouver to her home in Kamloops every two weeks for either her spouse or herself. This is not a benefit enjoyed by the excluded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There is no specific provision in the Constitution for removal of the President from office. The only method of removal appears to be the provisions of Article 24 of the Constitution which deals with the discipline of members for breach of duty. Breach of duty includes knowingly violating Union policy or committing an act that is detrimental to the welfare of the Union. There are provisions in the Constitution for complaints and their investigation, for hearings and for penalties which include discipline ranging from reprimands to the termination of membership.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2000, shortly before the election when the plaintiff was running for a second term, difficulties arose between the Council and the President. I have already set out the allegations from the plaintiff's perspective in the Statement of Claim excerpts. These difficulties ultimately led to a resignation on June 22, after the plaintiff had been re-elected for a second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APPROPRIATENESS FOR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Is this case suitable for determination under Rule 18A, at least so far as the resignation, constructive dismissal and fundamental breach issues are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plaintiff says that regardless of the good faith of the defendant, and regardless of the legitimacy of the concerns of the Council or the individual members of the Council, the actions of the defendant after May 2, in terms of: the vote of non-confidence in the plaintiff as President; the request for her resignation; the filing of a number of complaints; the publication of Council's position on May 29 and at the Convention in June; the removal of the President as chair at the Convention; and what is alleged to be the refusal to allow her to interpret the policies, collectively amount to a constructive dismissal, in the sense that it became so intolerable a situation that continued employment became impossible. The plaintiff relies in particular on Shah v. Xerox Canada Ltd. </w:t>
      </w:r>
      <w:hyperlink r:id="rId596" w:history="1">
        <w:r>
          <w:rPr>
            <w:rFonts w:ascii="arial" w:eastAsia="arial" w:hAnsi="arial" w:cs="arial"/>
            <w:i/>
            <w:color w:val="0077CC"/>
            <w:sz w:val="20"/>
            <w:u w:val="single"/>
            <w:shd w:val="clear" w:color="auto" w:fill="FFFFFF"/>
            <w:lang w:val="en-US" w:eastAsia="en-US" w:bidi="ar-SA"/>
          </w:rPr>
          <w:t>(2000), 49 C.C.E.L. (2d) 166</w:t>
        </w:r>
      </w:hyperlink>
      <w:r>
        <w:rPr>
          <w:rFonts w:ascii="arial" w:eastAsia="arial" w:hAnsi="arial" w:cs="arial"/>
          <w:color w:val="000000"/>
          <w:sz w:val="20"/>
          <w:lang w:val="en-US" w:eastAsia="en-US" w:bidi="ar-SA"/>
        </w:rPr>
        <w:t xml:space="preserve">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 says that on the first day of the Convention, these disputes were resolved with the plaintiff agreeing to an independent investigation and that she subsequently, on the second day of the Convention, voluntarily resigned, but not in response to matters that she had previously condoned. Even if her resignation was in response to the conduct of which she now complains, the defendant says that the positions taken by the Council and its members were well known, justified, and did not amount to the creation of an intolerable working environment. The defendant says that even if continued employment became intolerable, which it disputes, and if the conduct was not condoned, the plaintiff, it says, cannot complain of actions that were taken in good faith and that were justified. Alternatively, the defendant says that these acts were not significant enough to amount to a fundamental breach of contract. Neither does it demonstrate an intention by the defendant to repudiate the employment contract, if there was one. In any event, the defendant says that the conduct of which the plaintiff complains cannot be described as unduly insensitive.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Both parties, I think largely due to concerns about the length and cost of any trial, urged me to resolve, on the affidavit and discovery evidence before me, the issue of whether there was a resignation, constructive dismissal, or a fundamental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Both parties however challenged the </w:t>
      </w:r>
      <w:r>
        <w:rPr>
          <w:rFonts w:ascii="arial" w:eastAsia="arial" w:hAnsi="arial" w:cs="arial"/>
          <w:i/>
          <w:color w:val="000000"/>
          <w:sz w:val="20"/>
          <w:lang w:val="en-US" w:eastAsia="en-US" w:bidi="ar-SA"/>
        </w:rPr>
        <w:t>bona fides</w:t>
      </w:r>
      <w:r>
        <w:rPr>
          <w:rFonts w:ascii="arial" w:eastAsia="arial" w:hAnsi="arial" w:cs="arial"/>
          <w:color w:val="000000"/>
          <w:sz w:val="20"/>
          <w:lang w:val="en-US" w:eastAsia="en-US" w:bidi="ar-SA"/>
        </w:rPr>
        <w:t xml:space="preserve"> and the credibility of some of the evidence of the other, but each side tried to advance theories under which the issue could be resolved in their client's favour on undisputed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should also note that Ms. Young for the Union took the position that if the matter could not be resolved under Rule 18A, there should simply be further cross-examination on any affidavit that was not accepted for the truth of its contents. Mr. Carter took the position that the affidavit material from the plaintiff's perspective was incomplete if the defendant was taking the position that it had just cause or that it was justified in taking the actions that it did in May and June,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Perhaps it is important to explain how this matter came before me under Rule 18A. Initially the defendant applied under Rule 18A for dismissal of the action on the discrete basis that the plaintiff was not an employee and therefore did not have status to maintain the action for breach of an employment contract. In response the plaintiff filed material that described the circumstances, from her perspective, that led to her leaving the presidency. The defendant filed reply materials, conducted discoveries, and that led to the parties putting all issues before me rather than the restricted issue of whether the plaintiff was party to an employment contract or similar contract that allowed her to bring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My conclusion is that the issues of resignation, constructive dismissal and fundamental breach cannot be determined under Rule 18A. I have concluded, however, that I am able to determine the issue of the defendant's motion of whether the plaintiff is an employee or is party to a contract under which she can bring an action for constructive dismissal or fundamental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However, on the merits of the other issues, whether there was a breach, whether it was a fundamental breach, whether the repudiation was accepted or condoned and whether the plaintiff is entitled to damages, including damages as set out in Wallace v. United Grain Growers Ltd. (c.o.b. Public Press), </w:t>
      </w:r>
      <w:hyperlink r:id="rId597" w:history="1">
        <w:r>
          <w:rPr>
            <w:rFonts w:ascii="arial" w:eastAsia="arial" w:hAnsi="arial" w:cs="arial"/>
            <w:i/>
            <w:color w:val="0077CC"/>
            <w:sz w:val="20"/>
            <w:u w:val="single"/>
            <w:shd w:val="clear" w:color="auto" w:fill="FFFFFF"/>
            <w:lang w:val="en-US" w:eastAsia="en-US" w:bidi="ar-SA"/>
          </w:rPr>
          <w:t>[1997] 3 S.C.R. 701</w:t>
        </w:r>
      </w:hyperlink>
      <w:r>
        <w:rPr>
          <w:rFonts w:ascii="arial" w:eastAsia="arial" w:hAnsi="arial" w:cs="arial"/>
          <w:color w:val="000000"/>
          <w:sz w:val="20"/>
          <w:lang w:val="en-US" w:eastAsia="en-US" w:bidi="ar-SA"/>
        </w:rPr>
        <w:t>, are all issues for which I am unable to find the facts to justly resolve on the material before me. I have concluded that I am unable to find the facts to determine whether there was a breach of contract, if there was a contract, as even if the plaintiff is correct in her perception of the workplace as being intolerable for her to continue, there remain a number of issues including condonation and whether or not the defendant was justified in taking the steps that it did, by way of a non-confidence vote, the request for her resignation, or otherwise. The issue of whether there was a voluntary resignation is not an issue I can decide in the absence of determining whether there was a repudiation or a fundamental breach that the resignation may have been in response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am unable on the evidence before me to find the facts to determine the merit of the defendant's complaints about the President, whether the series of complaints were legitimate or honestly advanced or not, or the reasonableness of the plaintiff's response in leaving the employment as she did. The parties have vastly different positions in that respect and I have been unable to reach any conclusions on the evidence before me on those issues and I do not make any findings in respect of those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THRESHOLD ISSUE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there a contract between the parties? Was the plaintiff an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return to the threshold issue, whether the plaintiff and the defendant are parties to a contract under which the things of which the plaintiff complains, if proven, might be a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facts concerning this initial issue are not particularly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essential issue is whether the plaintiff was a party to a contract, whether an employment contract or otherwise, under which she is able to advance the claims she makes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argues that it is not necessary to identify a precise term of the contract that was breached if the conduct of the defendant created an intolerable situation that destroyed the "commercial purpose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issue that I am dealing with therefore is the defendant's contention that the plaintiff was not an employee or an office holder who was a party to a contract with the defendant and that the action must be dismissed. If the plaintiff is an employee, or a party to a contract with the defendant, there is still a question whether the conduct of which the plaintiff complains might be in breach of that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So, the limited issue I am able to determine on this application is whether the plaintiff, apart from the merits of the dispute, has the status to bring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question of whether a party is an employee is often whether the party is an employee or instead has some other status such as that of an independent contractor or an agent or a volunteer. The question arises in a number of different contexts: vicarious liability, wrongful dismissal, taxation and so forth.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issue here is whether the plaintiff is simply an elected officer as opposed to an employee. The defendant says that she must be an employee to be able to maintain an action for constructive dismissal.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There are a number of tests that the parties referred me to for the determination of whether there was an employment relationship. The various tests overlap in many respects and in some aspects they are not apt.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 accept as accurate the statement of Macaulay J. in B.M. v. Mumford </w:t>
      </w:r>
      <w:hyperlink r:id="rId598" w:history="1">
        <w:r>
          <w:rPr>
            <w:rFonts w:ascii="arial" w:eastAsia="arial" w:hAnsi="arial" w:cs="arial"/>
            <w:i/>
            <w:color w:val="0077CC"/>
            <w:sz w:val="20"/>
            <w:u w:val="single"/>
            <w:shd w:val="clear" w:color="auto" w:fill="FFFFFF"/>
            <w:lang w:val="en-US" w:eastAsia="en-US" w:bidi="ar-SA"/>
          </w:rPr>
          <w:t>(2000), 84 B.C.L.R. (3d) 146</w:t>
        </w:r>
      </w:hyperlink>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2000 BCSC 1787</w:t>
        </w:r>
      </w:hyperlink>
      <w:r>
        <w:rPr>
          <w:rFonts w:ascii="arial" w:eastAsia="arial" w:hAnsi="arial" w:cs="arial"/>
          <w:color w:val="000000"/>
          <w:sz w:val="20"/>
          <w:lang w:val="en-US" w:eastAsia="en-US" w:bidi="ar-SA"/>
        </w:rPr>
        <w:t>, a case of vicarious liability, where he said this at paragraphs 23-25 about the determination of whether a person is an employer: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criteria for determining whether an entity is an employer stem primarily from employment law and generally include whether the entity:</w:t>
      </w:r>
    </w:p>
    <w:p>
      <w:pPr>
        <w:numPr>
          <w:numId w:val="2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exercises direction and control over the employees;</w:t>
      </w:r>
    </w:p>
    <w:p>
      <w:pPr>
        <w:numPr>
          <w:numId w:val="2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bears the burden of remuneration;</w:t>
      </w:r>
    </w:p>
    <w:p>
      <w:pPr>
        <w:numPr>
          <w:numId w:val="2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imposes discipline;</w:t>
      </w:r>
    </w:p>
    <w:p>
      <w:pPr>
        <w:numPr>
          <w:numId w:val="2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hires the employees;</w:t>
      </w:r>
    </w:p>
    <w:p>
      <w:pPr>
        <w:numPr>
          <w:numId w:val="2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has authority to dismiss the employees; and,</w:t>
      </w:r>
    </w:p>
    <w:p>
      <w:pPr>
        <w:numPr>
          <w:numId w:val="2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perceived to be the employer by the employees.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test is whether the alleged employer had the power of selecting, controlling and dismissing the alleged employee. See Robitaille v. Vancouver Hockey Club Ltd. </w:t>
      </w:r>
      <w:hyperlink r:id="rId599" w:history="1">
        <w:r>
          <w:rPr>
            <w:rFonts w:ascii="arial" w:eastAsia="arial" w:hAnsi="arial" w:cs="arial"/>
            <w:i/>
            <w:color w:val="0077CC"/>
            <w:sz w:val="20"/>
            <w:u w:val="single"/>
            <w:shd w:val="clear" w:color="auto" w:fill="FFFFFF"/>
            <w:lang w:val="en-US" w:eastAsia="en-US" w:bidi="ar-SA"/>
          </w:rPr>
          <w:t>(1979), 19 B.C.L.R. 158</w:t>
        </w:r>
      </w:hyperlink>
      <w:r>
        <w:rPr>
          <w:rFonts w:ascii="arial" w:eastAsia="arial" w:hAnsi="arial" w:cs="arial"/>
          <w:color w:val="000000"/>
          <w:sz w:val="20"/>
          <w:lang w:val="en-US" w:eastAsia="en-US" w:bidi="ar-SA"/>
        </w:rPr>
        <w:t xml:space="preserve"> (S.C.), affirmed </w:t>
      </w:r>
      <w:hyperlink r:id="rId600" w:history="1">
        <w:r>
          <w:rPr>
            <w:rFonts w:ascii="arial" w:eastAsia="arial" w:hAnsi="arial" w:cs="arial"/>
            <w:i/>
            <w:color w:val="0077CC"/>
            <w:sz w:val="20"/>
            <w:u w:val="single"/>
            <w:shd w:val="clear" w:color="auto" w:fill="FFFFFF"/>
            <w:lang w:val="en-US" w:eastAsia="en-US" w:bidi="ar-SA"/>
          </w:rPr>
          <w:t>[1981] 3 W.W.R. 481</w:t>
        </w:r>
      </w:hyperlink>
      <w:r>
        <w:rPr>
          <w:rFonts w:ascii="arial" w:eastAsia="arial" w:hAnsi="arial" w:cs="arial"/>
          <w:color w:val="000000"/>
          <w:sz w:val="20"/>
          <w:lang w:val="en-US" w:eastAsia="en-US" w:bidi="ar-SA"/>
        </w:rPr>
        <w:t xml:space="preserve"> (B.C.C.A.). In Hokanson v. S.M.W., Loc. 280 </w:t>
      </w:r>
      <w:hyperlink r:id="rId595" w:history="1">
        <w:r>
          <w:rPr>
            <w:rFonts w:ascii="arial" w:eastAsia="arial" w:hAnsi="arial" w:cs="arial"/>
            <w:i/>
            <w:color w:val="0077CC"/>
            <w:sz w:val="20"/>
            <w:u w:val="single"/>
            <w:shd w:val="clear" w:color="auto" w:fill="FFFFFF"/>
            <w:lang w:val="en-US" w:eastAsia="en-US" w:bidi="ar-SA"/>
          </w:rPr>
          <w:t>(1985), 12 C.C.E.L. 231</w:t>
        </w:r>
      </w:hyperlink>
      <w:r>
        <w:rPr>
          <w:rFonts w:ascii="arial" w:eastAsia="arial" w:hAnsi="arial" w:cs="arial"/>
          <w:color w:val="000000"/>
          <w:sz w:val="20"/>
          <w:lang w:val="en-US" w:eastAsia="en-US" w:bidi="ar-SA"/>
        </w:rPr>
        <w:t xml:space="preserve"> (B.C.S.C.), Spencer J. referred to the above test with approval.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Control, sometimes referred to as "overriding control" is an important factor in determining the existence of the employer-employee relationship and requires the court to consider the substantive aspects of the relationship rather than just the structure. The House of Lords suggested that the appropriate question to ask is "who is entitled to tell the employee the way in which he is to do the work upon which he is engaged." See Mersey Docks &amp; Harbour Board v. Coggins &amp; Griffiths (Liverpool), L.D., [1947] A.C. 1 (H.L.) at 17, approved in Trans-Canada Forest Products Ltd. v. Heaps, Waterous Ltd., </w:t>
      </w:r>
      <w:hyperlink r:id="rId601" w:history="1">
        <w:r>
          <w:rPr>
            <w:rFonts w:ascii="arial" w:eastAsia="arial" w:hAnsi="arial" w:cs="arial"/>
            <w:i/>
            <w:color w:val="0077CC"/>
            <w:sz w:val="20"/>
            <w:u w:val="single"/>
            <w:shd w:val="clear" w:color="auto" w:fill="FFFFFF"/>
            <w:lang w:val="en-US" w:eastAsia="en-US" w:bidi="ar-SA"/>
          </w:rPr>
          <w:t>[1954] S.C.R. 240</w:t>
        </w:r>
      </w:hyperlink>
      <w:r>
        <w:rPr>
          <w:rFonts w:ascii="arial" w:eastAsia="arial" w:hAnsi="arial" w:cs="arial"/>
          <w:color w:val="000000"/>
          <w:sz w:val="20"/>
          <w:lang w:val="en-US" w:eastAsia="en-US" w:bidi="ar-SA"/>
        </w:rPr>
        <w:t xml:space="preserve"> at 256. In other words, does the entity control the means of doing the work or, as considered in Trans-Canada Forest Products Ltd. at 256, is it "entitled to give the orders as to how the work should be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test that was applied in Mumford, Robitaille, and Hokanson to determine whether a person is in an employer/employee relationship may be summarized as whether the defendant had the power of selecting, controlling and dismissing the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question is of course one of substance and not form. Here there was no written contract of employment but there were many trappings of employment. The plaintiff had a leave of absence from her usual employer, was paid on a full time basis by the defendant, and was to be paid for a fixed term. The defendant made the usual statutory deductions and the plaintiff had health and other fringe benefits. The plaintiff was an elected official but the roles and functions document referred to the "President's terms and conditions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leading authority in this Court on this issue of employee or elected official is the decision of Spencer J. in Hokanson v. Sheet Metal Workers International Assn., Loc. 280, supra, which as I noted above in the reference to Mumford applied the three part test of the power of selection, control and dismissal. Hokanson has parallels to the case at bar because it concerns the issue of whether an elected union official can be an employee who can maintain an action for wrongful dismissal.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the usual employment situation the element of selection is satisfied by the defendant hiring, control is satisfied by the placement of the person in a hierarchy where she is directed to work and how to do it and dismissal rests in the employer either based on just cause or on the provision of reasonable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the case at bar there are some wrinkles to the application of the three part test. Rather than the usual employment situation, the plaintiff was elected by the membership rather than simply being hired; there is an issue about the extent of any control; and, the only manner to remove her was through the complaint process under the Constitution which might have ended her status as a Union member and hence her presidency.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Hokanson the plaintiff was elected to the position of a business representative for the defendant local by its membership. The constitution of the union provided that a business representative was elected for a term of three years. The local fell on hard times and, by a vote of its membership, resolved to close the office out of which the plaintiff worked, deprive him of a car that it had supplied him and lay him off for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Spencer J. considered that, if the plaintiff was an employee, the suspension was a constructive dismissal.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He addressed the issue of whether the plaintiff was an employee or an office holder. He described the position of an office holder this way at 236: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office holder at pleasure can be dismissed without a hearing and without cause and has no recourse. An office holder whose employment is governed by some statutory or other term regulating the manner of his dismissal is entitled to be told why he is to be dismissed and to have an opportunity to rebut the allegations against him. But if he is wrongly dismissed, i.e. not in accordance with that term, he may ask the court to restore him to his office, something which an ordinary servant cannot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Justice Spencer referred to the three part test used in Robitaille at 234-35. I highlight the application of the test: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Robitaille et al. v. Vancouver Hockey Club Ltd. </w:t>
      </w:r>
      <w:hyperlink r:id="rId599" w:history="1">
        <w:r>
          <w:rPr>
            <w:rFonts w:ascii="arial" w:eastAsia="arial" w:hAnsi="arial" w:cs="arial"/>
            <w:i/>
            <w:color w:val="0077CC"/>
            <w:sz w:val="20"/>
            <w:u w:val="single"/>
            <w:shd w:val="clear" w:color="auto" w:fill="FFFFFF"/>
            <w:lang w:val="en-US" w:eastAsia="en-US" w:bidi="ar-SA"/>
          </w:rPr>
          <w:t>(1979) 19 B.C.L.R. 158</w:t>
        </w:r>
      </w:hyperlink>
      <w:r>
        <w:rPr>
          <w:rFonts w:ascii="arial" w:eastAsia="arial" w:hAnsi="arial" w:cs="arial"/>
          <w:color w:val="000000"/>
          <w:sz w:val="20"/>
          <w:lang w:val="en-US" w:eastAsia="en-US" w:bidi="ar-SA"/>
        </w:rPr>
        <w:t xml:space="preserve"> the issue was whether the doctors who treated the plaintiff were employees of his employer so that that employer was vicariously responsible for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whether they were independent contractors. The test of a master and servant relationship accepted there by Esson J. (as he then was) at pp. 174 and 175 was whether the defendant had the power of selecting, controlling and dismissing the alleged employee. The learned Judge's adoption of that test was sustained on appeal, see </w:t>
      </w:r>
      <w:hyperlink r:id="rId600" w:history="1">
        <w:r>
          <w:rPr>
            <w:rFonts w:ascii="arial" w:eastAsia="arial" w:hAnsi="arial" w:cs="arial"/>
            <w:i/>
            <w:color w:val="0077CC"/>
            <w:sz w:val="20"/>
            <w:u w:val="single"/>
            <w:shd w:val="clear" w:color="auto" w:fill="FFFFFF"/>
            <w:lang w:val="en-US" w:eastAsia="en-US" w:bidi="ar-SA"/>
          </w:rPr>
          <w:t>(1981) 30 B.C.L.R. 286</w:t>
        </w:r>
      </w:hyperlink>
      <w:r>
        <w:rPr>
          <w:rFonts w:ascii="arial" w:eastAsia="arial" w:hAnsi="arial" w:cs="arial"/>
          <w:color w:val="000000"/>
          <w:sz w:val="20"/>
          <w:lang w:val="en-US" w:eastAsia="en-US" w:bidi="ar-SA"/>
        </w:rPr>
        <w:t xml:space="preserve"> at 302. </w:t>
      </w:r>
      <w:r>
        <w:rPr>
          <w:rFonts w:ascii="arial" w:eastAsia="arial" w:hAnsi="arial" w:cs="arial"/>
          <w:color w:val="000000"/>
          <w:sz w:val="20"/>
          <w:u w:val="single"/>
          <w:lang w:val="en-US" w:eastAsia="en-US" w:bidi="ar-SA"/>
        </w:rPr>
        <w:t>In my opinion Local 280 had the power of selection and control, and within the limits of the common law, the power of dismissal over the plaintiff here, although because of the constraints of its Local By-laws and its Constitution it got them in a rather unusual way. The selection was done by election under Article 12 of the Constitution. Local 280's By-law, Article 6(f) made Article 12 of the Constitution apply to the Local's elections. The whole Local had the right to vote and did vote the plaintiff into his position. That constitutes selection. Once elected and installed the business representative came under the direction of the Local's business manager, as provided by the Constitution, Article 13, Section 8(b). That manager too is elected by the Local. As Mr. Blaxland pointed out, the plaintiff when initiated as a member of the Union and again upon his installation as business representative undertook to conform to the International Union's Constitution which in turn governs the Local. That is control over the way in which the business representative carries out his function. Article 12, Section 11 of the Constitution provides for automatic removal if a business representative fails without reasonable cause to attend three consecutive Local meetings, and also provides a mechanism for removal for cause. The latter is achieved by a process of trial and ratification under Article 18, Section 2 of the Constitution. That is the power of dismissal</w:t>
      </w:r>
      <w:r>
        <w:rPr>
          <w:rFonts w:ascii="arial" w:eastAsia="arial" w:hAnsi="arial" w:cs="arial"/>
          <w:color w:val="000000"/>
          <w:sz w:val="20"/>
          <w:lang w:val="en-US" w:eastAsia="en-US" w:bidi="ar-SA"/>
        </w:rPr>
        <w:t>. In my opinion the tests for a master and servant relationship as adopted in the Robitaille case (supra) are all met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court also said that Mr. Hokanson, if he was he was an office holder, nevertheless had contractual rights of employment. At 236, Spencer J. put it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here does not ask to be restored to his position as business representative. In my opinion he probably has no right to that in any event because he was not an office holder but an ordinary employee. His case is quite distinguishable from the president, vice-president, recording secretary and other functionaries mentioned in Article 12, Section 1 of the Constitution. They are office holders. The difference, as Mr. Rideout says, lies in the element of control over their actions. They are the controlling mind of Local 280's executive. They are its corporate officers and its board of directors. The business representative does what he is told. If he was an office holder at all, which I doubt, then he was an office holder who also had contractual rights of employment, see Brown v. Waterloo Regional Board of Commissioners of Police </w:t>
      </w:r>
      <w:hyperlink r:id="rId602" w:history="1">
        <w:r>
          <w:rPr>
            <w:rFonts w:ascii="arial" w:eastAsia="arial" w:hAnsi="arial" w:cs="arial"/>
            <w:i/>
            <w:color w:val="0077CC"/>
            <w:sz w:val="20"/>
            <w:u w:val="single"/>
            <w:shd w:val="clear" w:color="auto" w:fill="FFFFFF"/>
            <w:lang w:val="en-US" w:eastAsia="en-US" w:bidi="ar-SA"/>
          </w:rPr>
          <w:t>(1983) 2 C.C.E.L. 7</w:t>
        </w:r>
      </w:hyperlink>
      <w:r>
        <w:rPr>
          <w:rFonts w:ascii="arial" w:eastAsia="arial" w:hAnsi="arial" w:cs="arial"/>
          <w:color w:val="000000"/>
          <w:sz w:val="20"/>
          <w:lang w:val="en-US" w:eastAsia="en-US" w:bidi="ar-SA"/>
        </w:rPr>
        <w:t>. The contract of employment was an unwritten one, although its terms can be seen written in the International's Constitution and the defendant's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How does the three part test of the power of selection, control and termination apply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selection process here was similar to that in Hokanson. The plaintiff was elected as President by the entire membership of the Union. The selection process in Hokanson was said to be with the defendant because of the membership's right to vote on the person who would be the business agent. In that respect the selection process here is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While I think, as in Hokanson, this aspect of the test was satisfied, if the other aspects of the test were not satisfied, the plaintiff would only be an elected office holder, not an employee, and would not be able to maintain a wrongful dismissal action as an employee. But I agree with Hokanson that the fact a person is an elected officer does not mean that he is not also an employee who is capable of maintaining a wrongful dismissal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Control is the probably the most important and significant factor. In Hokanson the element of control was satisfied in that the plaintiff was subject to the direction of the business manager. Spencer J. found that there was control over the way that the business representative carried out his functions. He said that the business representative came under the direction of the business manager as provided by the constitution and that he undertook to conform to the constitution which in turn governed the local.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defendant argues that there was no control and suggests that this was recognized by the plaintiff in her discovery evidence when she testified as to the lack of restrictions on her public speaking, her own determination of her working hours and where she worked, and that, although she received direction, it was up to her to decide how to carry out those directions. The previous President understood that as President, she was answerable to Council, who could direct her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Geoff England, in Individual Employment Law, (Toronto: Irwin Law, 2000) at 14, refers to the control aspect of the various tests as being a significant degree of control: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They all require a minimum degree of control over the where and when of employment. This makes sense as the hallmark of the employment relationship is the subordination of the employee to the authority of the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Is there control here and what is the extent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Although there is no written contract, the Constitution of the Union provides the hierarchical framework within which the office of President exists. The Constitution provides that the Council, between Conventions, is the governing body of the Union. While the President presides over the meetings of both of these bodies and interprets Union activities and policies to others, the President performs "such other duties which may, from time to time, be assigned to it by Council". The Council is also required to report on its stewardship at the Convention and the Council appoints the Chief Operating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nature of the Council's control is not specific but the essential point I think is that the Council is the governing body and has the authority to direct the duties of the President, even though the President has some flexibility in how she carries out those duties. Although there are some areas where the President has some autonomy and may determine action on an urgent basis, on an overall basis she reports to Council and accepts direction from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Because of the level of the plaintiff's position there is not the same direct and obvious control as there was of the union agent in Hokanson but by the same token there does not appear to be the same autonomy that you would expect in an elected corporate director, for example. That is probably because of the nature of the defendant Union. The governance of the Union when it is not in Convention is the Council, not the President.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defendant says that the President may be answerable to the Council but that does not mean that she is answerable to the defendant Union. I disagree. The governing body of the Union is the Council when it is not in Convention. Any control exercised by Council is, in essence, delegated by the Union as prescribed by the Constitution.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find that there is a significant degree of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next element relates to the question of termination. The defendant argues that there was no right of termination and that this factor weighs heavily against a finding of an employment relationship. The defendant also submits, parenthetically, that such a finding is often used as a mechanism to provide a measure of protection to "employees" through the doctrines of wrongful and constructive dismissal and reasonable notice. The defendant says that there is no such need to expand the concept of employment to include a Union office holder since there is already ample protection for such individuals. Under the Union Constitution, an office holder can only be removed through the complaint process, and this process incorporates an entitlement to notice and is subject to the rules of natural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only ability to terminate the President during her fixed term is if a complaint results in the termination of her membership in the Union. This is similar to Hokanson where the constitution provided a mechanism for removal for cause. Under Article 24, the discipline could involve removal of the plaintiff's Union card which would have the effect of her being removed as President.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Does the fact that there are there are procedures that require a hearing and proof of offences suggest that the plaintiff may not be an employee? Does this lack of vulnerability suggest that there is not an employment relationship? It might be argued that the mechanism in the Constitution for removal of membership is at least as consistent with the plaintiff simply being an office holder as it is with being an indicator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Upon a consideration of all the evidence, I find this element to be satisfied. I find that the defendant, under the Constitution, had the right to terminate the plaintiff by removing her status as a Union member through the complaint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considering the weight to be given to this factor in determining if there is a employment contract here, it is important to place it in the proper context. The plaintiff does not allege breach of a contract that could be terminated on reasonable notice. The plaintiff held the office of President for a fixed term. She says that it was a term of her employment contract that the defendant would not create an intolerable working situation. That is the term of her employment she alleges was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return to the motion before me. The motion is in essence the defendant's application for a summary trial of the issue of whether the plaintiff has status to maintain the claim for damages that she brings in this action. The plaintiff says that she has the status because she is an employee, but if she is an office holder, she is also party to a contract with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have concluded that the plaintiff was an employee. The defendant had the requisite power of selection, control and termination. Accordingly I find that she is able to maintain an action for breach of contract as alleged and dismiss the defendant's Rule 18A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 agree with Mr. Carter that even though the plaintiff is an office holder, it does not necessarily mean that the law of contract has no role to play in regulating the relations between the parties: Brown v. Waterloo Regional Board of Commissioners of Police </w:t>
      </w:r>
      <w:hyperlink r:id="rId602" w:history="1">
        <w:r>
          <w:rPr>
            <w:rFonts w:ascii="arial" w:eastAsia="arial" w:hAnsi="arial" w:cs="arial"/>
            <w:i/>
            <w:color w:val="0077CC"/>
            <w:sz w:val="20"/>
            <w:u w:val="single"/>
            <w:shd w:val="clear" w:color="auto" w:fill="FFFFFF"/>
            <w:lang w:val="en-US" w:eastAsia="en-US" w:bidi="ar-SA"/>
          </w:rPr>
          <w:t>(1983), 150 D.L.R. (3d) 729</w:t>
        </w:r>
      </w:hyperlink>
      <w:r>
        <w:rPr>
          <w:rFonts w:ascii="arial" w:eastAsia="arial" w:hAnsi="arial" w:cs="arial"/>
          <w:color w:val="000000"/>
          <w:sz w:val="20"/>
          <w:lang w:val="en-US" w:eastAsia="en-US" w:bidi="ar-SA"/>
        </w:rPr>
        <w:t xml:space="preserve"> (Ont. C.A.). Given my conclusion that the plaintiff was subject to a contract of employment, it is not necessary for me to determine whether the plaintiff was otherwise party to a contract with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appropriate order in the circumstances is to dismiss the defendant's Rule 18A application. For the reasons that are set out earlier herein I also dismiss the plaintiff's application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By concluding that the plaintiff has the status to maintain this claim, I have not determined precisely what the terms of the plaintiff's employment contract were or whether the conduct which the parties have referred to on this application was or was not, or could be in breach of that contract. Those are issues that remain for the trial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am unable to determine the issue of whether the plaintiff has suffered any damages. The defendant has argued that the plaintiff has at least largely failed to mitigate her damages because she refused, without good cause, to return to her employment as a nurse. This argument may have considerable force. But it is not appropriate to determine that issue given that I am unable to determine whether the defendant was or was not in breach of contract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merits of the dispute between the parties will have to be resolved after a trial where both sides call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I urge the parties to take steps to fully explore a resolution of their dispute short of a full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My inclination is that costs should be in the cause but counsel may arrange to appear before me if they wish to make submissions in that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For all of these reasons, the defendant's application under Rule 18A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SIGURDSON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6" style="position:absolute;z-index:2518855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03"/>
          <w:headerReference w:type="default" r:id="rId604"/>
          <w:footerReference w:type="even" r:id="rId605"/>
          <w:footerReference w:type="default" r:id="rId606"/>
          <w:headerReference w:type="first" r:id="rId607"/>
          <w:footerReference w:type="first" r:id="rId60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09" w:history="1">
        <w:r>
          <w:rPr>
            <w:rFonts w:ascii="arial" w:eastAsia="arial" w:hAnsi="arial" w:cs="arial"/>
            <w:b/>
            <w:bCs/>
            <w:i/>
            <w:color w:val="0077CC"/>
            <w:kern w:val="32"/>
            <w:sz w:val="28"/>
            <w:szCs w:val="32"/>
            <w:u w:val="single"/>
            <w:shd w:val="clear" w:color="auto" w:fill="FFFFFF"/>
            <w:lang w:val="en-US" w:eastAsia="en-US" w:bidi="ar-SA"/>
          </w:rPr>
          <w:t>Freshway Specialty Foods Inc. v. Map Produce LLC, [2005] B.C.J. No. 2302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Macaulay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8,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20,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S051013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2302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1485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143 A.C.W.S. (3d) 668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Freshway Specialty Foods Inc., plaintiff, and Map Produce LLC, Service Alimentaire Desco Inc., Coosemans Montreal Inc., Delorme International Broker Inc. and Fruit and Vegetable Dispute Resolution Corporation,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7"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1" w:name="Keywords_35"/>
      <w:bookmarkEnd w:id="241"/>
      <w:r>
        <w:rPr>
          <w:rFonts w:ascii="arial" w:eastAsia="arial" w:hAnsi="arial" w:cs="arial"/>
          <w:b/>
          <w:color w:val="000000"/>
          <w:sz w:val="20"/>
          <w:lang w:val="en-US" w:eastAsia="en-US" w:bidi="ar-SA"/>
        </w:rPr>
        <w:t>Civil procedure — Pleadings — Striking out pleadings or allegations — Grounds — False, frivolous, vexatious or abuse of process — Commencing civil action against arbitration ruling an abuse of process and action dismissed.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Defamation — Defamatory statements — Defences — Justification or truth — True statements could not be defamatory.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2" w:name="Case Summary_35"/>
            <w:bookmarkEnd w:id="24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Parties involved in arbitration concerning non-payment for allegedly defective produce supplied by plaintiff to defendant -- Plaintiff never disputed any aspect of arbitration process its outcome or underlying facts -- Nor did it seek to review the award under applicable Ontario laws -- Instead, the plaintiff purported to resign from industry association, which refused to accept resignation until payment ordered by arbitrator paid -- Association also suspended plaintiff due to its failure to pay, for which action the plaintiff was suing the association in defamation -- Lastly, the plaintiff accused third parties of unlawful conversion of produce it supplied to defendant -- Only connection with British Columbia in conversion claim was residence of plaintiff within province -- Application by defendants to dismiss proceedings as abuse of process allowed in part -- The operation of the Arbitration Act could not be avoided simply by commencing an action at common law challenging the outcome or conduct of the arbitration -- The claims asserted by the plaintiff related solely to the issues decided on the arbitration and were therefore res judicata -- The present proceedings were a collateral attack on the arbitration award -- Truthful statements could not be defamatory -- Residence alone was insufficient to establish a real and substantial connection between the cause of action alleged and British Columbia.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3" w:name="Legislation Cited_23"/>
      <w:bookmarkEnd w:id="24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8"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14, Rule 14(6), Rule 14(6)(b), Rule 18, Rule 18(6), Rule 19, Rule 19(24), Rule 19(24)(a), Rule 19(24)(b), Rule 19(24)(c), Rule 19(24)(d), Rule 19(27)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Commercial Arbitration Act, </w:t>
      </w:r>
      <w:hyperlink r:id="rId610" w:history="1">
        <w:r>
          <w:rPr>
            <w:rFonts w:ascii="arial" w:eastAsia="arial" w:hAnsi="arial" w:cs="arial"/>
            <w:i/>
            <w:color w:val="0077CC"/>
            <w:sz w:val="20"/>
            <w:u w:val="single"/>
            <w:shd w:val="clear" w:color="auto" w:fill="FFFFFF"/>
            <w:lang w:val="en-US" w:eastAsia="en-US" w:bidi="ar-SA"/>
          </w:rPr>
          <w:t>R.S.B.C. 1996, c. 55, s. 30</w:t>
        </w:r>
      </w:hyperlink>
      <w:r>
        <w:rPr>
          <w:rFonts w:ascii="arial" w:eastAsia="arial" w:hAnsi="arial" w:cs="arial"/>
          <w:color w:val="000000"/>
          <w:sz w:val="20"/>
          <w:lang w:val="en-US" w:eastAsia="en-US" w:bidi="ar-SA"/>
        </w:rPr>
        <w:t>, s.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Court Order Enforcement Act, </w:t>
      </w:r>
      <w:r>
        <w:rPr>
          <w:rFonts w:ascii="arial" w:eastAsia="arial" w:hAnsi="arial" w:cs="arial"/>
          <w:i/>
          <w:color w:val="000000"/>
          <w:sz w:val="20"/>
          <w:lang w:val="en-US" w:eastAsia="en-US" w:bidi="ar-SA"/>
        </w:rPr>
        <w:t>R.S.B.C. 1996, c. 78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Expedited Mediation and Arbitration Rules of the Fruit and Vegetable Dispute Resolution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Fruit and Vegetable Dispute Resolution Corporation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Mediation and Arbitration Rules of the Fruit and Vegetable Dispute Resolution Corporation, Rule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UK Arbitration Act, 1996, c. 23,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4" w:name="Counsel_36"/>
      <w:bookmarkEnd w:id="24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9" style="position:absolute;z-index:251798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V. Chiang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Fruit and Vegetable Dispute Resolution Corporation: B. Greenberg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Map Produce LLC, Service Alimentaire Desco Inc. and Coosemans Montreal Inc.: A. Dabb</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5" w:name="Judgment_36"/>
      <w:bookmarkEnd w:id="245"/>
      <w:r>
        <w:pict>
          <v:line id="_x0000_s1200" style="position:absolute;z-index:25184870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6" w:name="MACAULAY J."/>
            <w:bookmarkEnd w:id="246"/>
            <w:r>
              <w:rPr>
                <w:rFonts w:ascii="arial" w:eastAsia="arial" w:hAnsi="arial" w:cs="arial"/>
                <w:b/>
                <w:color w:val="000000"/>
                <w:sz w:val="30"/>
                <w:lang w:val="en-US" w:eastAsia="en-US" w:bidi="ar-SA"/>
              </w:rPr>
              <w:t>MACAULAY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with the exception of Delorme International Broker Inc. ("Delorme"), apply for final orders disposing of all the claims of the plaintiff, Freshway Specialty Foods Inc. ("Freshway"). First, the defendant Fruit and Vegetable Dispute Resolution Corporation (the "DRC") applies to dismiss, or alternatively stay, the claims against it pursuant to Supreme Court Rule 19(24)(a) on the ground that the claims disclose no reasonable cause of action and pursuant to Rule 19(24)(b) and (d) on the grounds that the action is vexatious and otherwise an abuse of process. In addition, the DRC contends that the court lacks jurisdiction or, alternatively, should decline jurisdiction; and finally, if necessary to be decided, that the action ought to be stayed because the parties agreed to resolve any differences by arbitration rather than by court action. Second, the defendants, Map Produce LLC ("Map"), Service Alimentaire Desco Inc. ("SA Desco") and Coosemans Montreal Inc. ("Coosemans") seek orders dismissing the proceedings against them pursuant to Rule 18(6) on the ground that there is no merit in the whole or any part of the claims, and otherwise seek a dismissal or stay largely on the same bases as the DRC.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According to counsel, Delorme was served but has not entered an appearance in the proceeding. All references to the defendants in these reasons will apply only to the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applications first came on before Cullen J. on June 17, 2005 who adjourned the hearing, at the request of Freshway, to August 8, 2005 but fixed that date peremptorily against the plaintiff. Cullen J. also stayed the action pending the hearing of the applications and directed that Freshway not file further evidence without leave of the court. In spite of the stay, Freshway filed an amended statement of claim before the hearing and, without seeking leave, also filed further affidavit evidence sworn by a former employee. Because the affidavit was largely a reorganization of evidence presented in two previous affidavits of the same deponent, I permitted Freshway to rely on it, subject only to removing an inadmissible exhibit. I informed the parties that I would address the improper filing of the amended statement of claim when I gave judgment on the applications before me. I reserved judgment and extended the stay pending my decision, subject to the granting of leave, during the intervening period. For the reasons that follow, I dismiss the claims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An application to dismiss or stay a claim must be approached cautiously. I recognize the need to consider whether a particular application to strike out must be based solely on an analysis of the statement of claim, as under Rule 19(24)(a), where the inquiry is limited to whether a reasonable cause of action has been disclosed, or may be based on evidence that is not in dispute, as under Rule 18(6). Except where indicated otherwise, facts set out below are based on evidence that is undisputable.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 to the Disputes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Freshway is a federally incorporated company with its office in Richmond, British Columbia. It carries on business here and elsewhere in the fresh produce trade. Map is also a distributor of fresh produce; it operates out of Arizona on behalf of growers. Map sells produce to purchasers located throughout North America, collects the sale proceeds and remits them to the vendor less an agreed upon commission. Freshway and Map had business dealings that ended in a dispute over payment. Because both companies are members of the DRC, the dispute was resolved under the DRC arbitration rules described below (the "Map dispute" and "Map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Map dispute related to a shipment of mangoes in September 2004. Map claimed payment for the mangoes from Freshway. In this proceeding, Freshway maintains that it did not purchase the mangoes but only assisted with a consignment sale to SA Desco although there is a live issue whether Freshway dealt instead with a related company, 4234545 Canada Inc. doing business as Desco Fruits et Legumes ("Desco FL").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SA Desco and Desco FL were members of the DRC at the material time. Desco FL was involved in the produce trade at the material time. SA Desco denies that it was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Coosemans is a company incorporated in Quebec and carries on business in the produce trade there. It also has an office in the United States. Coosemans is also a member of the DRC. Freshway has a separate dispute with Coosemans arising out of produce trade (the "Coosemans dispute") but never commenced an arbitration proceeding against it under the DRC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Coosemans dispute arises out of the alleged delivery by Freshway of avocados to Coosemans or its agent in September 2004. Freshway claims that Coosemans wrongfully alleged that the avocados were defective and then failed to return them when Freshway demanded that they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DRC is an Ontario based non-profit company that administers an arbitration system for 1,300 members from the three NAFTA countries. All its members are participants in the international produce trade. Arbitrations under the DRC rules are deemed to have taken place in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SA Desco denies that it ever had any dealings with Freshway but concedes that Desco FL did. Desco FL is not a party to the present litigation but it is clear from the materials filed in the Map arbitration that Freshway then considered it a party to the Map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Map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DRC administers trading practices as well as mediation and arbitration procedures for its members. Membership in the DRC also satisfies licensing requirements of the Canadian Food Inspection Agency ("CFIA").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Map dispute arose out of Freshway refusing to pay Map for a shipment of mangoes around late August or early September 2004. In November of the same year, Map instituted arbitration proceedings, under the DRC rules, against Freshway claiming payment of US $11,814 plus the filing fee of $600.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Freshway contested the arbitration. It filed a statement of defence as well as a notice of dispute, apparently intended as the equivalent of a counterclaim, against both Map and Desco FL. In the notice of dispute, Freshway alleged that Desco FL was the actual purchaser of the shipment. The DRC accepted the statement of defence but refused to confirm the dispute note, or counterclaim, because Freshway had not complied with the applicable procedural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During the arbitration, Freshway maintained that it was not the purchaser but only assisted Map with a consignment sale to Desco FL. The arbitrator rejected Freshway's contention that it was not the purchaser and, in January 2005, ruled in favour of Map. The arbitrator ordered Freshway to pay $12,414 US (the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award included the full invoice price for the mangoes, as well as an amount held back by Freshway on another invoice, and costs. The arbitrator directed Freshway to pay the award within 30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Subsequently, Map caused the award to be entered as an order in the Ontario Superior Court of Justice. The award has since been entered as an order in this court pursuant to the Court Order Enforcement Act, </w:t>
      </w:r>
      <w:r>
        <w:rPr>
          <w:rFonts w:ascii="arial" w:eastAsia="arial" w:hAnsi="arial" w:cs="arial"/>
          <w:i/>
          <w:color w:val="000000"/>
          <w:sz w:val="20"/>
          <w:lang w:val="en-US" w:eastAsia="en-US" w:bidi="ar-SA"/>
        </w:rPr>
        <w:t>R.S.B.C. 1996, c. 78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is anomalous that Freshway chose to commence the present proceeding only against SA Desco as Freshway relied on documents in the Map arbitration that appeared to support, at least, a conclusion that it resold the mangoes to Desco FL. The documents from the Map arbitration make no reference to SA Desco and SA Desco maintains that it has never had any dealings with Freshway.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According to Freshway, it joined SA Desco as a defendant because the DRC records list the company as a member since October 2001, but the same record also shows Desco FL as a member at the relevant time. Furthermore, the records show a different address for Desco FL which is consistent with the address of the purchaser shown on the contractual documents filed in the Map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will return later to the implications of the decision to join SA Desco rather than Desco FL as a defendant when I discuss the issues arising on the applications. Leaving aside the attempt to draw Desco FL into the Map arbitration, Freshway never commenced separate arbitration proceedings against either SA Desco, or Desco FL, in relation to the mango shipment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set out earlier, membership in the DRC is voluntary. By joining, Freshway agreed to be bound by the Articles of Incorporation, Bylaws, Trading Standards and Mediation and Arbitration Rules of the DRC. As a result, all disputes between Freshway and other members of the DRC were to be resolved exclusively pursuant to the Mediation and Arbitration Rules of the DRC.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Under the rules, the place of any arbitration is deemed to be Ontario. Rule 7 of the Expedited Mediation and Arbitration Rules includes an exclusion of liability, waiving all claims against the DRC, its employees or agents, and any mediator or arbitrator, except for acts or omissions which comprise a conscious and deliberate wrongdoing. The Bylaws also provide that any dispute between a member and the DRC is to be resolved by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Map arbitration was commenced under the Expedited Mediation and Arbitration Rules, which are designed for claims of less than US $15,000. The ordinary process was followed and resulted in the appointment of a sole arbitrator. Freshway never challenged the appointment although the rules permitted it to do so. As required by the rules, the arbitrator confirmed his independence and impartiality respecting the dispute. He also issued the arbitration award within the 30 day time frame as required by the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Freshway never disputed the decision not to accept the counterclaim nor did it challenge any aspect of the arbitration process, or outcome, in the proceedings before the arbitrator. Nor did Freshway later seek to review the award in Ontario pursuant to that province's arbitration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Suspension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Instead, on February 4, 2005, Freshway purported to resign from the DRC. The DRC responded that the resignation was only effective upon payment of all outstanding arbitration awards and obligations. The DRC further warned Freshway that membership would be suspended if it did not comply with the direction to pay the Map arbitration award within 30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Because Freshway did not pay, the DRC issued and circulated to its members the suspension notice that has now become the subject of the defamation allegation in the pleadings. The suspension notice stated only that Freshway had been suspended: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for failing to comply with an arbitration award in the amount of $12,414.00 USD which is a violation of the DRC by-laws and the Mediation and Arbitration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Freshway conceded in earlier proceedings that the statements in the suspension notice are factually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Freshway commenced these proceedings by writ of summons filed on February 21, 2005. The writ claims "damages and relief for breach of contract, conspiracy to injure, misrepresentation, breach of fiduciary duty,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conversion, and inducement of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Freshway filed a statement of claim on June 1, 2005. The statement of claim is not expertly drawn and is confusing to follow. Freshway claims various heads of damages jointly and severally against all defendants although it is not apparent that there are any proper joint claims. Read as generously as possible, the individual claims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Against DRC:</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Complaints respecting the conduct of the arbitration including an allegation that DRC breached a fiduciary duty to be fair and impartial "by fostering systemic bias against the Plaintiff such that the arbitrator appointed by the DRC rendered an Award which was clearly unfair and wrong";</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Alleged defamatory statements by DRC following the commencement of these proceedings;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Against Map:</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Alleged false or negligent misstatements respecting the condition of a shipment of mangoes ultimately destined for SA Desco and Delorme;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Against SA Desco:</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Alleged conspiracy with Delorme to injure the plaintiff by submitting a false statement respecting the condition of the mangoes;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Against Coosemans: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Alleged conversion, wrongful deprivation or fraud consequent upon the delivery by Freshway of a shipment of avocados.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V. Chiang, counsel for and an officer of Freshway, filed the statement of claim. During submissions on a previous application, she informed the court that the claims against DRC are intended to be a form of review of the Map arbitration process and award. Ms. M. Chiang, a business consultant and former employee of Freshway, deposed by affidavit that Freshway sought unsuccessfully to address the issues respecting SA Desco during the Map arbitration. The reference to SA Desco is an obvious error as the documents Freshway relied on in the arbitration all refer to Desco FL.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amendments filed August 5, 2005 do not significantly add to the above description of the statement of claim except to add further allegations against the DRC. Freshway expanded paragraph 47 to allege that DRC had both a fiduciary and contractual duty to be fair and impartial by "compelling the Plaintiff to submit a matter for arbitration when DRC lacked jurisdiction to do so and by fostering systemic bias against the Plaintiff such that the arbitrator appointed by the DRC rendered an Award which was clearly unfair and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addition, Freshway added further particulars of the alleged defamatory nature of the statements in the Suspension Notice. Those amendments did not change the substance of what was before Smith J. and I need not set them out in detail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To avoid any misunderstanding, I intend my reasons to apply to the statement of claim as amended. This is in spite of Freshway's failure to obtain leave before filing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History of British Columbia Supreme Court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March, 2005, without notice, Freshway applied for interlocutory injunctive, declaratory and other relief. When the applications came on before Madam Justice Gill she declined to hear them without notice. As well, the transcript of the proceedings reveals that she informed Ms. V. Chiang that declaratory relief was not available on an interlocutory application and that only the injunction application could proceed. Gill J. then directed that the injunction application proceed on short leave notice. Freshway complied with the direction to serve notice of short leave but ignored the direction to proceed only with the injunction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When the application came on for hearing before Madam Justice Smith on March 15, 2005, counsel for Freshway failed to inform her that she had only obtained short leave for the injunction application. Counsel for the defendants assumed, like Smith J., that all the issues raised in the original notice of motion were properly before the court. In the result, Smith J. heard all matters raised but ultimately ruled against Freshway on each of them. In the course of her submissions before Smith J., Ms. V. Chiang agreed that the alleged defamatory statements in the Suspension Notice were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Madam Justice Smith dismissed the application for a declaration on the basis that it could not be granted on an interlocutory application. She found that there was no fair issue to be tried in respect of defamation because Freshway acknowledged that the statements made by the DRC were true and also dismissed the application for an interlocutory injunction.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Following later submissions on costs, Smith J. ordered costs payable forthwith to the DRC, in any event of the cause. In the course of her reasons, Smith J. described the plaintiff's application as one that "should not have been brought". She further found that it was not unreasonable for counsel for Map to appear on the application given the allegation of fraud and awarded Map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Freshway has since filed a Notice of Application for Leave to Appeal the costs orders of Smith J. and has since filed an amended Notice of Application for Leave also seeking leave to appeal the order dismissing the interlocutory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Ontario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April 21, 2005, Freshway filed a Notice of Application for Judicial Review of the Map Arbitration award with the Divisional Court of the Ontario Superior Court of Justice. Freshway then sought and obtained an early hearing date before a single judge of that court based on urgency. Freshway made the same allegations of unfairness and bias as in the present proceeding. In addition, Freshway sought to quash the suspension of membership in the DRC as well as a retraction of the Notice of Suspension.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On May 9, 2005, Carnwath J., </w:t>
      </w:r>
      <w:hyperlink r:id="rId611" w:history="1">
        <w:r>
          <w:rPr>
            <w:rFonts w:ascii="arial" w:eastAsia="arial" w:hAnsi="arial" w:cs="arial"/>
            <w:i/>
            <w:color w:val="0077CC"/>
            <w:sz w:val="20"/>
            <w:u w:val="single"/>
            <w:shd w:val="clear" w:color="auto" w:fill="FFFFFF"/>
            <w:lang w:val="en-US" w:eastAsia="en-US" w:bidi="ar-SA"/>
          </w:rPr>
          <w:t>[2005] O.J. No. 1993</w:t>
        </w:r>
      </w:hyperlink>
      <w:r>
        <w:rPr>
          <w:rFonts w:ascii="arial" w:eastAsia="arial" w:hAnsi="arial" w:cs="arial"/>
          <w:color w:val="000000"/>
          <w:sz w:val="20"/>
          <w:lang w:val="en-US" w:eastAsia="en-US" w:bidi="ar-SA"/>
        </w:rPr>
        <w:t>, dismissed Freshway's application on jurisdictional grounds. Of significance here, however, his findings included the following:</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DRC is an association of voluntary members who choose to join in an arbitral scheme;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DRC does not preside over arbitrations;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Freshway agreed that any dispute between members would be resolved by arbitration and that no one could resign while an arbitration award remained unsettled.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Justice Carnwath's other findings concerned Freshway's choosing the wrong forum in Ontario for review and need not be set out here. He ordered costs payable on a partial indemnity basis at $9,000 for fees and $1,000 for disbursements payable within 30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Freshway has since appealed the decision of Carnwath J. and, as a result, the issues remain before the Ontario courts. Under Ontario law, the costs order is stayed pending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foregoing provides the context for the applications before me. I turn next to the applicable law and the submissions of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Supreme Court Rule 19(24) permits the striking out of the whole or part of a statement of claim on a number of grounds, as follows: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or the proceeding, or</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any of those grounds, if established, the court may order the proceeding be dismissed and, as well, order that the costs of the application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applications here are brought under Rule 19(24)(a)(b) and (d). The application under Rule 19(24)(a) is purely a question of law and no evidence is admissible. See Rule 19(27). It must be plain and obvious before the applicant can succeed under any of the subrules set out. The applicant may rely on evidence to establish a claim is vexatious under subrule (b) or otherwise an abuse of process under subrule (d). I turn next to the issues under the subrules. Because all defendants assert the claims are vexatious and an abuse of process, I commence with Rules 19(24)(b) and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 19(24)(b) and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According to the DRC, Freshway has brought multiple proceedings in respect of the same subject matter; failed to pay costs when ordered to do so; brought ill founded applications on short notice and conducted the proceedings in a way that is designed to maximize the costs to defend. The DRC says that Freshway is either vexatiously furthering a vendetta against the DRC, abusing the court's process to delay or avoid paying the arbitration award, or both. All of this, according to the DRC, amounts to a vexatious and abusive use of the court's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Map, SA Desco and Coosemans adopt the DRC submissions and add the following: Map contends that the claims against it in the present proceeding, namely, misrepresentation as to the quality of the mangos; breach of contract for failure to provide mangos of merchantable quality; and finally, breach of settlement agreement; were all determined through the arbitration process in which Freshway participated. Given the outcome of the arbitration and the registration of the award in Ontario and British Columbia, Freshway's claims are now res judicata and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Further, Freshway alleged fraud on the part of Map during the interlocutory injunction application even though it did not seek any relief against it on that application. Map felt compelled to appear on the application and Smith J. ultimately ordered costs in the cause. Freshway has not alleged fraud against Map in the statement of claim. According to Map, this conduct was also vexatious.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For its part, Coosemans points to inappropriate allegations by Freshway that Coosemans made an unrelated 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Freshway did not respond directly or serially to these submissions. The general tenor of its submissions is caught in the following passage of its amended outline dealing with the question of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Freshway seeks relief against the concerted efforts of the Applicants to strangle the livelihood of Freshway through imposition of spurious costs, including the arbitration award. For the Court to be an instrument of the Applicants' conscious and deliberate malice would be contrary to the principles of natural justice and upset the balance of juridical advantage amongst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Elsewhere in her outline and during oral submissions, Ms. V. Chiang made it clear that Freshway considers itself to be a victim of conspiracy, fraud and other deliberate wrong-doings.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Re Lang Michener et v. Fabian et al </w:t>
      </w:r>
      <w:hyperlink r:id="rId612" w:history="1">
        <w:r>
          <w:rPr>
            <w:rFonts w:ascii="arial" w:eastAsia="arial" w:hAnsi="arial" w:cs="arial"/>
            <w:i/>
            <w:color w:val="0077CC"/>
            <w:sz w:val="20"/>
            <w:u w:val="single"/>
            <w:shd w:val="clear" w:color="auto" w:fill="FFFFFF"/>
            <w:lang w:val="en-US" w:eastAsia="en-US" w:bidi="ar-SA"/>
          </w:rPr>
          <w:t>(1987), 59 O.R. (2d) 353</w:t>
        </w:r>
      </w:hyperlink>
      <w:r>
        <w:rPr>
          <w:rFonts w:ascii="arial" w:eastAsia="arial" w:hAnsi="arial" w:cs="arial"/>
          <w:color w:val="000000"/>
          <w:sz w:val="20"/>
          <w:lang w:val="en-US" w:eastAsia="en-US" w:bidi="ar-SA"/>
        </w:rPr>
        <w:t xml:space="preserve"> at 358-359 (H.C.), the court summarized the indicia of vexatious actions as follows:</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bringing of one or more actions to determine an issue which has already been determined by a court of competent jurisdiction constitutes a vexatious proceeding;</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it is obvious that an action cannot succeed, or if the action would lead to no possible good, or if no reasonable person can reasonably expect to obtain relief, the action is vexatious;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vexatious actions include those brought for an improper purpose, including the harassment and oppression of other parties by multifarious proceedings brought for purposes other than the assertion of legitimate rights;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 general characteristic of vexatious proceedings that grounds and issues raised tend to be rolled forward into subsequent actions and repeated and supplemented, often with actions brought against the lawyers who have acted for or against the litigant in earlier proceedings;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proceedings are vexatious, the court must look at the whole history of the matter and not just whether there was originally a good cause of action;</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of the person instituting the proceedings to pay the costs of unsuccessful proceedings is one factor to be considered in determining whether proceedings are vexatious;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respondent's conduct in persistently taking unsuccessful appeals from judicial decisions can be considered vexatious conduct of legal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Our Court of Appeal approved these indicia in Dempsey v. Casey, </w:t>
      </w:r>
      <w:hyperlink r:id="rId613" w:history="1">
        <w:r>
          <w:rPr>
            <w:rFonts w:ascii="arial" w:eastAsia="arial" w:hAnsi="arial" w:cs="arial"/>
            <w:i/>
            <w:color w:val="0077CC"/>
            <w:sz w:val="20"/>
            <w:u w:val="single"/>
            <w:shd w:val="clear" w:color="auto" w:fill="FFFFFF"/>
            <w:lang w:val="en-US" w:eastAsia="en-US" w:bidi="ar-SA"/>
          </w:rPr>
          <w:t>[2004] B.C.J. No. 1467</w:t>
        </w:r>
      </w:hyperlink>
      <w:r>
        <w:rPr>
          <w:rFonts w:ascii="arial" w:eastAsia="arial" w:hAnsi="arial" w:cs="arial"/>
          <w:color w:val="000000"/>
          <w:sz w:val="20"/>
          <w:lang w:val="en-US" w:eastAsia="en-US" w:bidi="ar-SA"/>
        </w:rPr>
        <w:t xml:space="preserve"> (C.A.). The defendants submit that practically all are present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bringing of multiple proceedings respecting the same subject matter is often a hallmark of vexatious proceedings. In Tompkins Contracting Ltd. v. Northern Clearing Enterprises Ltd. (1965), 50 W.W.R. 246 (C.A.), Davey J.A. confirmed that the court has jurisdiction to stay proceedings as vexatious and oppressive when the plaintiff has commenced litigation over the same subject matter in another jurisdiction but indicated that the court should not direct a stay if there is real reason to anticipate prejudice to a party arising out of differences in rights, remedies and procedures. Freshway did not argue such prejudice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underlying policy concerns militating against permitting parallel proceedings are well identified. In Westec Aerospace Inc. v. Raytheon Aircraft Co. </w:t>
      </w:r>
      <w:hyperlink r:id="rId614" w:history="1">
        <w:r>
          <w:rPr>
            <w:rFonts w:ascii="arial" w:eastAsia="arial" w:hAnsi="arial" w:cs="arial"/>
            <w:i/>
            <w:color w:val="0077CC"/>
            <w:sz w:val="20"/>
            <w:u w:val="single"/>
            <w:shd w:val="clear" w:color="auto" w:fill="FFFFFF"/>
            <w:lang w:val="en-US" w:eastAsia="en-US" w:bidi="ar-SA"/>
          </w:rPr>
          <w:t>(1999), 67 B.C.L.R. (3d) 278</w:t>
        </w:r>
      </w:hyperlink>
      <w:r>
        <w:rPr>
          <w:rFonts w:ascii="arial" w:eastAsia="arial" w:hAnsi="arial" w:cs="arial"/>
          <w:color w:val="000000"/>
          <w:sz w:val="20"/>
          <w:lang w:val="en-US" w:eastAsia="en-US" w:bidi="ar-SA"/>
        </w:rPr>
        <w:t>, at paras. 28 and 29, Rowles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Taking a narrow, particular, and formalistic approach to determining whether proceedings are parallel is also not consonant with the policy rationale for avoiding parallel proceedings. There are two policy concerns with parallel proceedings. Litigating the same dispute twice, in two sets of proceedings in different jurisdictions creates obvious inefficiencies and waste. More importantly, parallel proceedings raise the possibility of inconsistent or conflicting judgments being given.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additional costs and inconvenience and the possibility of conflicting decisions are to be avoided, the focus of the inquiry as to whether there are parallel proceedings should remain on the substance of the dispute and not on how it is framed in any given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Quite apart from the risk of inconsistent findings in the case at bar, the policy considerations respecting the avoidance of inefficiencies and waste take on even greater significance here because of the relatively nominal amount at issue in the Map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There is no bright line dividing a vexatious proceeding from one that is an abuse of the court's process. In my view, the factors that signal a vexatious proceeding also signal an abusive process. Abuse of process is a wider concept however and may extend beyond vexatious proceedings to capture any circumstance in which the court's process is used for an improper purpose. As pointed out by Baker J., in Babavic v. Babowech, </w:t>
      </w:r>
      <w:hyperlink r:id="rId615" w:history="1">
        <w:r>
          <w:rPr>
            <w:rFonts w:ascii="arial" w:eastAsia="arial" w:hAnsi="arial" w:cs="arial"/>
            <w:i/>
            <w:color w:val="0077CC"/>
            <w:sz w:val="20"/>
            <w:u w:val="single"/>
            <w:shd w:val="clear" w:color="auto" w:fill="FFFFFF"/>
            <w:lang w:val="en-US" w:eastAsia="en-US" w:bidi="ar-SA"/>
          </w:rPr>
          <w:t>[1993] B.C.J. No. 1802</w:t>
        </w:r>
      </w:hyperlink>
      <w:r>
        <w:rPr>
          <w:rFonts w:ascii="arial" w:eastAsia="arial" w:hAnsi="arial" w:cs="arial"/>
          <w:color w:val="000000"/>
          <w:sz w:val="20"/>
          <w:lang w:val="en-US" w:eastAsia="en-US" w:bidi="ar-SA"/>
        </w:rPr>
        <w:t xml:space="preserve"> (S.C.), a decision not referred to by counsel, the categories of abuse of process remain open and include, for example, "proceedings which are without foundation or serve no useful purpose and multiple or successive proceedings which cause or are likely to cause vexation or oppression"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Just as an earlier parallel proceeding giving rise to res judicata may be an indicator that a later proceeding is vexatious, it is also a commonly accepted basis for a finding of abuse of process. In Wayneroy Holdings Ltd. v. Sideen, </w:t>
      </w:r>
      <w:hyperlink r:id="rId616" w:history="1">
        <w:r>
          <w:rPr>
            <w:rFonts w:ascii="arial" w:eastAsia="arial" w:hAnsi="arial" w:cs="arial"/>
            <w:i/>
            <w:color w:val="0077CC"/>
            <w:sz w:val="20"/>
            <w:u w:val="single"/>
            <w:shd w:val="clear" w:color="auto" w:fill="FFFFFF"/>
            <w:lang w:val="en-US" w:eastAsia="en-US" w:bidi="ar-SA"/>
          </w:rPr>
          <w:t>[2002] B.C.J. No. 2472</w:t>
        </w:r>
      </w:hyperlink>
      <w:r>
        <w:rPr>
          <w:rFonts w:ascii="arial" w:eastAsia="arial" w:hAnsi="arial" w:cs="arial"/>
          <w:color w:val="000000"/>
          <w:sz w:val="20"/>
          <w:lang w:val="en-US" w:eastAsia="en-US" w:bidi="ar-SA"/>
        </w:rPr>
        <w:t xml:space="preserve"> (S.C.), also not referred to by counsel, Romilly J. relied on the principles of res judicata and collateral attack to stay proceedings as an abuse of process. As to the former, he refers, at para. 20, to the following extract from Henderson v. Henderson (1843), 3 Hare 100, approved by the Court of Appeal in Lehndorff Management v. L.R.S. Development Enterprises Ltd. </w:t>
      </w:r>
      <w:hyperlink r:id="rId617" w:history="1">
        <w:r>
          <w:rPr>
            <w:rFonts w:ascii="arial" w:eastAsia="arial" w:hAnsi="arial" w:cs="arial"/>
            <w:i/>
            <w:color w:val="0077CC"/>
            <w:sz w:val="20"/>
            <w:u w:val="single"/>
            <w:shd w:val="clear" w:color="auto" w:fill="FFFFFF"/>
            <w:lang w:val="en-US" w:eastAsia="en-US" w:bidi="ar-SA"/>
          </w:rPr>
          <w:t>(1980), 19 B.C.L.R. 59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believe I state the rule of Court correctly when I say that, where a given matter becomes the subject of litigation in, and of adjudication by, a Court of competent jurisdiction, the Court requires the parties to that litigation to bring forward their whole case, and will not (under special circumstances) permit the same parties to open the same subject of litigation in respect of matter which might have been brought forward as part of the subject in contest, but which was not brought forward, only because they have,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inadvertence, or even accident, omitted part of their case. The plea of res judicata applies, except in special cases, not only to points upon which the court was actually required by the parties to form an opinion and pronounce a judgment, but to every point which properly belonged to the subject of the litigation, and which the parties, exercising reasonable diligence, might have brought forward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Collateral attack is a corollary to the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Wayneroy, Romilly J. adopted the following extract from R. v. Wilson, </w:t>
      </w:r>
      <w:hyperlink r:id="rId618" w:history="1">
        <w:r>
          <w:rPr>
            <w:rFonts w:ascii="arial" w:eastAsia="arial" w:hAnsi="arial" w:cs="arial"/>
            <w:i/>
            <w:color w:val="0077CC"/>
            <w:sz w:val="20"/>
            <w:u w:val="single"/>
            <w:shd w:val="clear" w:color="auto" w:fill="FFFFFF"/>
            <w:lang w:val="en-US" w:eastAsia="en-US" w:bidi="ar-SA"/>
          </w:rPr>
          <w:t>[1983] 2 S.C.R. 594</w:t>
        </w:r>
      </w:hyperlink>
      <w:r>
        <w:rPr>
          <w:rFonts w:ascii="arial" w:eastAsia="arial" w:hAnsi="arial" w:cs="arial"/>
          <w:color w:val="000000"/>
          <w:sz w:val="20"/>
          <w:lang w:val="en-US" w:eastAsia="en-US" w:bidi="ar-SA"/>
        </w:rPr>
        <w:t xml:space="preserve"> at 596: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has long been a fundamental rule that a court order made by a court having jurisdiction to make it, stands and is binding and conclusive unless it is set aside on appeal or lawfully quashed. It is also well settled in the authorities that such an order may not be attacked collaterally - and a collateral attack may be described as an attack made in proceedings other than those whose specific objective is the reversal, variation, or nullification of the order or judgment. Where appeals have been exhausted and other means of direct attack upon a judgment or order, such as proceedings by prerogative writs or proceedings for judicial review, have been unavailing, the only recourse open to one who seeks to set aside a court order is an action for review in the High Court where grounds would include fraud or discovery of new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These principles are of particular significance for my consideration whether the present proceeding includes claims that are res judicata or are otherwise a collateral attack on the arbitration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 number of questions arise from this review of the legal principles. What issues were decided in the Map arbitration? What other issues could Freshway have brought forward, provided it acted with reasonable diligence then, that were properly the subject of the same proceeding? The award in the Map arbitration is now registered as a judgment both in Ontario and here. Are the present proceedings a collateral attack on either the arbitration process or those judgments? While the DRC was not a party to the arbitration proceeding, Freshway complains about its conduct in arranging the process. Is there a direct parallel on those issues relating to the Map arbitration and the issues raised in the Ontario proceeding before Mr. Justice Carnwath? As the matter is under appeal in Ontario, the issues raised there are still before the court. I will return to these questions momentarily.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addition to the foregoing, the defendants submit that I should take other factors relating to the conduct of the proceedings into account. With the exception of the failure to pay costs discussed first, I am not persuaded.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DRC submits that failure to pay costs of unsuccessful proceedings is another factor that signals a vexatious proceeding. Madam Justice Smith assessed costs against Freshway at $2,169.08 payable forthwith. After filing the Application for Leave to Appeal the order for costs, Freshway set the application down for hearing on June 17, 2005. Ms. V. Chiang has since adjourned the application generally without consulting with opposing counsel so, at the time of the hearing before me, the Court of Appeal had not ruled on the leave application. While the failure to pay costs is a recognized factor in determining whether proceedings are vexatious, it would be unsafe to place any significant weight on it here because of the outstanding leave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defendants further assert that other conduct of counsel for Freshway raises concerns about whether Freshway asserts legitimate rights. They say that Ms. V. Chiang has brought ill-founded applications without notice or on short notice and taken steps in the proceedings that were contrary to the directions of the court. In the first proceeding before Gill J., Ms. Chiang did not inform the court that she was appearing as counsel. In the proceeding before Smith J., Ms. Chiang did not disclose the limited basis on which Madam Justice Gill granted short leave and proceeded on all interlocutory applications contrary to the direction. Contrary to the directions of Cullen J., Ms. Chiang filed further affidavit material without first seeking leave. Contrary to the stay, she filed amended pleadings. Ms. Chiang offered no explanation for any of this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V. Chiang also refused to sign an order, forcing an unnecessary appearance before the Registrar to settle the form. Finally, according to counsel for the defendants, she improperly attempted to communicate directly with the court, including by letter to the Registrar requesting a payment schedule for the outstanding cost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do not, in any way, minimize these criticisms of the conduct of counsel for Freshway. Some of her conduct appears deliberate. Ms. V. Chiang is also an officer of Freshway and should not be appearing as counsel. One effect of her unnecessary and inappropriate conduct is to put the defendants to significant additional expense within the proceeding. Another is to create a risk that the court may make orders that later have to be set aside potentially bringing the administration of justice into disrepute. I am not persuaded however that the conduct of counsel is a significant factor in deciding whether the proceedings are vexatious or an abuse of process. Such behaviours are better considered, in my view, on the question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 turn back to the questions surrounding the Map arbitration and subsequent proceedings. First, I am satisfied that the claims against Map relate solely to the issues decided on the arbitration and that those matters are now res judicata. See Corrado Development Corp. v. Adisco Ltd., </w:t>
      </w:r>
      <w:hyperlink r:id="rId619" w:history="1">
        <w:r>
          <w:rPr>
            <w:rFonts w:ascii="arial" w:eastAsia="arial" w:hAnsi="arial" w:cs="arial"/>
            <w:i/>
            <w:color w:val="0077CC"/>
            <w:sz w:val="20"/>
            <w:u w:val="single"/>
            <w:shd w:val="clear" w:color="auto" w:fill="FFFFFF"/>
            <w:lang w:val="en-US" w:eastAsia="en-US" w:bidi="ar-SA"/>
          </w:rPr>
          <w:t>[1992] O.J. No. 841</w:t>
        </w:r>
      </w:hyperlink>
      <w:r>
        <w:rPr>
          <w:rFonts w:ascii="arial" w:eastAsia="arial" w:hAnsi="arial" w:cs="arial"/>
          <w:color w:val="000000"/>
          <w:sz w:val="20"/>
          <w:lang w:val="en-US" w:eastAsia="en-US" w:bidi="ar-SA"/>
        </w:rPr>
        <w:t xml:space="preserve"> and Re Scotia Realty Ltd. and Olympia &amp; York SP Corporation v. Campeau Corporation </w:t>
      </w:r>
      <w:hyperlink r:id="rId620" w:history="1">
        <w:r>
          <w:rPr>
            <w:rFonts w:ascii="arial" w:eastAsia="arial" w:hAnsi="arial" w:cs="arial"/>
            <w:i/>
            <w:color w:val="0077CC"/>
            <w:sz w:val="20"/>
            <w:u w:val="single"/>
            <w:shd w:val="clear" w:color="auto" w:fill="FFFFFF"/>
            <w:lang w:val="en-US" w:eastAsia="en-US" w:bidi="ar-SA"/>
          </w:rPr>
          <w:t>(1992), 9 O.R. (3d) 414</w:t>
        </w:r>
      </w:hyperlink>
      <w:r>
        <w:rPr>
          <w:rFonts w:ascii="arial" w:eastAsia="arial" w:hAnsi="arial" w:cs="arial"/>
          <w:color w:val="000000"/>
          <w:sz w:val="20"/>
          <w:lang w:val="en-US" w:eastAsia="en-US" w:bidi="ar-SA"/>
        </w:rPr>
        <w:t xml:space="preserve"> (Ont. General Division). The present proceedings are a collateral attack on the arbitration award that also now constitutes an order of the court. I strike the claims against Map as vexatious and an abuse of process on this basis. I add that if Freshway had joined Desco FL as a party, the claims would likely have been struck on the basis that Freshway could have addressed those issues on the arbitration if it had acted with reasonable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While it is a near thing, I am not satisfied that the proceedings against the DRC in British Columbia relating to the conduct of the Map arbitration proceedings are vexatious or an abuse of process. The DRC was not a party to any of the disputes adjudicated on in the arbitration. The arbitrator did not decide anything as between Freshway and the DRC. Freshway raised and continues to litigate similar issues against the DRC in the Ontario proceedings but appears to have chosen the wrong forum in which to seek procedural review. I conclude that the issues Freshway seeks to raise here have not yet been judicially determined so as to be res judicata. I will deal with the attack on the cause of action pled separately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Finally, neither SA Desco nor Coosemans was involved in the Map arbitration or its aftermath. I do not accede to the arguments that the claims against them are vexatious or an abuse of process. The dismissal of the claims against them must also rest on a different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claim against the DRC respecting the appointment of the arbitrator and the conduct of the Map arbitration is bound to fail because it does not disclose any reasonable claims. Earlier, I set out the amended claim against the DRC respecting the Map arbitration. For convenience, I repeat para. 47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DRC breached its fiduciary and contractual duty to be fair and impartial by compelling the Plaintiff to submit a matter for arbitration when DRC lacked jurisdiction to do so and by fostering systemic bias against the Plaintiff such that the arbitrator appointed by the DRC rendered an Award which was clearly unfair and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When viewed in the context of the immediately preceding paragraphs, the paragraph essentially alleges bias and unfairness on the part of the DRC in arranging the conduct of the Map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While assertions of bias and unfairness in the arbitration process might lead to a successful review under the applicable arbitration legislative regime, it is plain and obvious that an aggrieved arbitration participant does not have a reasonable cause of action entitling it to damages. In my view, such a claim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 see no possibility of a successful claim for damages arising out of the conduct of arbitration proceedings. It is plain and obvious that the claim, if permitted to proceed, is bound to fail and, as a result, there is no fit question to be tried. See Hunt v. Carey Canada Inc.,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and Midwest Management (1987) Ltd. (Midwest/Monad) v. British Columbia Gas Utility Ltd. </w:t>
      </w:r>
      <w:hyperlink r:id="rId621" w:history="1">
        <w:r>
          <w:rPr>
            <w:rFonts w:ascii="arial" w:eastAsia="arial" w:hAnsi="arial" w:cs="arial"/>
            <w:i/>
            <w:color w:val="0077CC"/>
            <w:sz w:val="20"/>
            <w:u w:val="single"/>
            <w:shd w:val="clear" w:color="auto" w:fill="FFFFFF"/>
            <w:lang w:val="en-US" w:eastAsia="en-US" w:bidi="ar-SA"/>
          </w:rPr>
          <w:t>(1997), 34 C.L.R. (2d) 186</w:t>
        </w:r>
      </w:hyperlink>
      <w:r>
        <w:rPr>
          <w:rFonts w:ascii="arial" w:eastAsia="arial" w:hAnsi="arial" w:cs="arial"/>
          <w:color w:val="000000"/>
          <w:sz w:val="20"/>
          <w:lang w:val="en-US" w:eastAsia="en-US" w:bidi="ar-SA"/>
        </w:rPr>
        <w:t xml:space="preserve"> (S.C.) for guidelines to the plain and obvious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agree with counsel for the DRC that the proper forum in respect of any dispute over the correctness of the arbitration award, or as to the arbitration process, is by means of review proceedings in Ontario as that is the jurisdiction where the arbitration is deemed to have taken place. I also agree that permitting such a review by action rather than statutory review would defeat the legislative regimes governing arbitration awards throughout Canada. To preserve the finality of arbitration rewards, most review statutes set strict time limits and narrow review powers.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For example, the Commercial Arbitration Act, </w:t>
      </w:r>
      <w:r>
        <w:rPr>
          <w:rFonts w:ascii="arial" w:eastAsia="arial" w:hAnsi="arial" w:cs="arial"/>
          <w:i/>
          <w:color w:val="000000"/>
          <w:sz w:val="20"/>
          <w:lang w:val="en-US" w:eastAsia="en-US" w:bidi="ar-SA"/>
        </w:rPr>
        <w:t>RSBC 1996, c. 55</w:t>
      </w:r>
      <w:r>
        <w:rPr>
          <w:rFonts w:ascii="arial" w:eastAsia="arial" w:hAnsi="arial" w:cs="arial"/>
          <w:color w:val="000000"/>
          <w:sz w:val="20"/>
          <w:lang w:val="en-US" w:eastAsia="en-US" w:bidi="ar-SA"/>
        </w:rPr>
        <w:t xml:space="preserve"> (Arbitration Act) governs the review of private commercial arbitration awards in this province. Section 30 of the Arbitration Act permits the Supreme Court to set aside an award or remit the award to the arbitrator for reconsideration in very limited circumstances where the award was improperly procured or the arbitrator committed an arbitral error as narrowly defined in the legislation. Section 32 of the Arbitration Act operates like a privative clause to prevent review on any basis other than as set out in 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applicable legislation should not be avoided by simply commencing an action at common law challenging the outcome or conduct of the arbitration. The English Departmental Advisory Committee set out the applicable policy considerations in its report accompanying the draft Arbitration Act 1996, Chapter 23, in support of the position that bodies which administer arbitral schemes should be provided immunity from claims: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reason for this proposal is that without such an immunity, there is in our view a real risk that attempts will be made to hold institutions or individuals responsible for the consequences of their exercise of the power they may be given to appoint or nominate arbitrators, or for what their appointed or nominate arbitrators then do or fail to do. This would provide a means of reopening matters that were referred to arbitration, something that might be encouraged if arbitrators were given immunity (as we have also proposed in Clause 29) but nothing was said about such institutions or individuals.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an additional point of great importance. Many organisations that provide arbitration services, including Trade Associations as well as bodies whose sole function it is to provide arbitration services, do not in the nature of things have deep pockets. Indeed much of the work is done by volunteers simply in order to promote and help this form of dispute resolution. Such organisations could find it difficult if not impossible to finance the cost of defending legal proceedings or even the cost of insurance against such cost. In our view the benefits which these organisations (and indeed individuals) have on arbitration generally fully justify giving them a measure of protection so that their good work can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These observations are apposite. I strike out the claims against the DRC respecting the Map arbitration under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This leaves only the claim in defamation against the DRC. The analysis of this claim does not fit neatly within Rule 19(24)(a) as I must not resort to evidence. Freshway alleges that the statements in the suspension notice are defamatory and that must be taken as true in determining whether it is plain and obvious that the claim, if permitted to proceed,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Yet Ms. V. Chiang conceded during earlier court proceedings that the underlying statements were true. In these peculiar circumstances, my conclusion rests on the need to avoid an abuse of the court's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It is trite law that truthful statements cannot be defamatory. In R.E. Brown, The Law of Defamation in Canada, Second Edition, Volume 2 (Carswell), the author notes at pp. 10-2 to 10-4: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Justification or the truth of the matter asserted is a complete defence to an action for defamation. The published material must be false. "What is true cannot be defamatory." No one can be heard to complain if only the truth is published about him. A plaintiff has no right to have his or her character or reputation free of an imputation that is true.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Freshway goes further however and alleges various innuendos arise from the statements in the suspension notice, including an implication that Freshway did not have the necessary licensing authority to trade in fresh produce. However, Smith J. also addressed those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finding that Freshway had not raised a fair question to be tried so as to justify injunctive relief, Madam Justice Smith held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Freshway did not dispute that the two propositions stated in the Notice of Suspension are both true: Freshway was suspended effective March 2, 2005 and the reason was its failure to comply with an arbitration award. However, Ms. Chiang argued that the defamatory implication arising from the Notice is that Freshway lacks a licence and that that is untrue because in fact it obtained a licence from the CFIA in February 2005. No evidence was adduced to support the proposition that such an implication would be understood by the persons receiving the Notice. I do not find that the plaintiff has raised a fair question to be tried that the Notice of Suspension was defamatory.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clear from these reasons that the implications which Freshway says necessarily arise from the statements of the DRC do not and are not defamatory in any event. Accordingly, the claim in defamation against the DRC is bound to fail having regard to the concession already made. It would be an abuse of process to permit the court's process to be used when the plaintiff has expressly conceded that there is no underlying foundation for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 18(6)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Map, SA Desco and Coosemans each present their application to dismiss pursuant to Rule 18(6) rather than Rule 19(24)(a). Rule 18(6)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18(6) In an action in which an appearance has been entered, the defendant may, on the ground there is no merit in the whole or part of the claim, apply to the court for judgment on an affidavit setting out the facts verifying the defendant's contention that there is no merit in the whole or part of the claim and stating that the deponent knows of no facts which would substantiate the whole or part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issue analysis required under the rule applies to matters of both law and fact. Unlike Rule 19(24) (a), the court may accept un-contradicted evidence for the purpose of the determination. See Carnahan v. Coates </w:t>
      </w:r>
      <w:hyperlink r:id="rId622" w:history="1">
        <w:r>
          <w:rPr>
            <w:rFonts w:ascii="arial" w:eastAsia="arial" w:hAnsi="arial" w:cs="arial"/>
            <w:i/>
            <w:color w:val="0077CC"/>
            <w:sz w:val="20"/>
            <w:u w:val="single"/>
            <w:shd w:val="clear" w:color="auto" w:fill="FFFFFF"/>
            <w:lang w:val="en-US" w:eastAsia="en-US" w:bidi="ar-SA"/>
          </w:rPr>
          <w:t>(1990), 47 B.C.L.R. (2d) 127</w:t>
        </w:r>
      </w:hyperlink>
      <w:r>
        <w:rPr>
          <w:rFonts w:ascii="arial" w:eastAsia="arial" w:hAnsi="arial" w:cs="arial"/>
          <w:color w:val="000000"/>
          <w:sz w:val="20"/>
          <w:lang w:val="en-US" w:eastAsia="en-US" w:bidi="ar-SA"/>
        </w:rPr>
        <w:t>, at pp. 129-130.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three defendants contend that the claims against them should be dismissed on the basis that there is no merit in the whole or any part of the claim. In case I err in my earlier conclusion that the proceedings against Map are vexatious and an abuse of process, I will set out my conclusions under Rule 18 for Map as well as the other two. The question is whether Freshway has raised a bona fide triable issue, or in other words, based on un-contradicted evidence, is the particular claim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claims against Map mirror those already decided against Freshway during the arbitration process. In my view, Freshway's claims against Map in the present proceeding are bound to fail. Accordingly, Map is entitled to an order pursuant to Rule 18(6) dismissing all claims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Freshway alleges that SA Desco conspired with Delorme to injure the plaintiff by submitting a false statement respecting the condition of the mangos. No other claim is advanced against SA Desco. The un-contradicted evidence is that SA Desco did not have dealings with Freshway respecting the mangos. During the arbitration, Freshway produced documents demonstrating that it had dealings concerning the mango shipment with the related company, Desco FL. It is clear from the first affidavit of Ms. M. Chiang that Freshway knew that the companies were separate entities at the material time but chose to join SA Desco as a defendant because Desco FL did not join the DRC until August 2004. According to the DRC membership record, the effective coverage date for Desco FL was August 9,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M. Chiang deposed: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late August and early September, Delorme International Broker Inc. ("Delorme") told me that its principal, Service Alimentaire Desco Inc. ("Desco"), was interested in purchasing mangos.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Ms. Chiang goes on to say that, because she had never dealt with Desco, she consulted a produce reporter: the Blue Book Registry, in which she identified Desco as a producer near Montreal. She then identified Desco as a listed member in the DRC directory.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DRC directory is an exhibit. It shows Service Alimentaire Desco Inc. of Boisbriand, Quebec, as a member but, as I have already set out, also lists 4234545 Canada Inc. d/b/a Desco Fruits &amp; Legumes, of Anjou, Quebec. The documents in evidence respecting the mango shipment refer only to Desco FL. For example, the only correspondence is a letter from Delorme to Freshway dated September 9, 2004 identifying the alleged defects in the shipment. It references the receiver of the mangoes as "Desco F &amp; L, Anjou, Quebec".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inclusion of SA Desco in the membership records of the DRC does not establish that Freshway dealt with it respecting the mango delivery. As well, the course of the Map arbitration and the un-contradicted evidence demonstrates that Freshway dealt with Desco FL.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During the Map arbitration, Freshway identified "Desco Fruits &amp; Legumes, Ville d'Anjou, Quebec" as a proposed respondent in the arbitration and, in support, attached a copy of a Freshway invoice dated September 2, 2004 for the mango shipment directed to that entity. Freshway also included a Customs invoice showing "Desco F &amp; L" as the purchaser. Finally, there is correspondence between "Desco F &amp; L" and Freshway dated October 9, 2004, respecting the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my view, the evidence is indisputable that Freshway dealt with Desco FL respecting the shipment of mangos. I caution that I am not expressing an opinion on the legal nature of the relationship only that the dealings were with Desco FL rather than SA Desco. For that reason, the claim against SA Desco is bound to fail and it is entitled to summary dismissal under Rule 18(6).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last claim to address is against Coosemans. Freshway claims for the unlawful conversion of a shipment of avocados. Coosemans contends that it is trite law that there cannot be a conversion unless Freshway retained ownership of the avocados. This is because the essence of a conversion is the wrongful interference with the owner's right of possession. See Robertson v. Stang, </w:t>
      </w:r>
      <w:hyperlink r:id="rId623" w:history="1">
        <w:r>
          <w:rPr>
            <w:rFonts w:ascii="arial" w:eastAsia="arial" w:hAnsi="arial" w:cs="arial"/>
            <w:i/>
            <w:color w:val="0077CC"/>
            <w:sz w:val="20"/>
            <w:u w:val="single"/>
            <w:shd w:val="clear" w:color="auto" w:fill="FFFFFF"/>
            <w:lang w:val="en-US" w:eastAsia="en-US" w:bidi="ar-SA"/>
          </w:rPr>
          <w:t>[1997] B.C.J. No. 2022</w:t>
        </w:r>
      </w:hyperlink>
      <w:r>
        <w:rPr>
          <w:rFonts w:ascii="arial" w:eastAsia="arial" w:hAnsi="arial" w:cs="arial"/>
          <w:color w:val="000000"/>
          <w:sz w:val="20"/>
          <w:lang w:val="en-US" w:eastAsia="en-US" w:bidi="ar-SA"/>
        </w:rPr>
        <w:t xml:space="preserve"> (S.C.) at paras. 36-39. Conversion is not ordinarily pleaded when a claim arises out of non-payment for goods delivered in a commercial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have already stated that the pleadings are inexpertly drafted. One would expect, in the circumstances, at least an alternative pleading of breach of contract, arising out of the alleged failure to pay for the avocados upon delivery but there is no such claim in the pleadings. Instead, paragraphs 32 to 38 set out the following claim against Coosemans under the heading: Losses from Avocados: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II. Losses from Avocados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and is at all materials [sic] times the owner of and entitled to immediate possession of 4,536 cases of fresh avocados ("Avocados") valued at US$19,731.60.</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September 20, 2004, Coosemans and its agent Delorme sought to purchase the Avocados from the Plaintiff pursuant to a Memorandum of Sale prepared by Delorme on September 15, 2004.</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Upon arrival of the Avocados at Coosemans' warehouse on or about September 21, 2004, Coosemans and Delorme alleged that the Avocados were defective according to an inspection again performed by F&amp;G.</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fax and by phone calls on September 22, 2004, the Plaintiff demanded the return of the Avocados from Coosemans and Delorme but both Coosemans and Delorme refused to deliver the goods to the Plaintiff and alleged that almost all the Avocados had been sold.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September 24, 2004, the CFIA attended Coosemans' warehouse and discovered over 2,700 cases of the Avocados. The CFIA performed an inspection and found the Avocados to be in good condition contrary to the F&amp;G inspection obtained by Coosemans and Delorme.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Coosemans and Delorme have converted the Avocados to their own use and have wrongfully deprived and attempted to defraud the Plaintiff of them.</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Coosemans and Delorme's wrongful conversion of the Avocados, the Plaintiff has suffered loss and damage, particulars of which are as follows:</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US$19,731.60,</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conversion and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Reading the pleading as generously as possible, I am unable to identify any claim other than for conversion. The references to "defraud" and "fraud" are not pled in a way that gives rise to a separate claim for deceit but appear merely as descriptors of the manner in which the conversion is alleged to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her affidavit, Ms. M. Chiang sets out the circumstances of the sale and delivery of avocados to Coosemans in Montreal. She deposed that Coosemans maintained that the avocados were discoloured and called for an inspection. According to Ms. Chiang, Freshway demanded payment, or the return of the avocados which Coosemans refused to do. Coosemans has never paid the invoice for the shipment which was due September 16,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While Freshway's claim against Coosemans may be weak, I do not agree that there is no triable issue as to conversion. Accordingly, I do not accede to the argument that Coosemans is entitled to summary dismissal under Rule 18(6). This necessarily leaves for consideration the question of whether the claim for conversion has a real and substantial connection with British Columbia. As the arguments respecting jurisdiction were directed to the claims against all the defendants, I will address the issue as it relates to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Jurisdiction Simpliciter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test for jurisdiction simpliciter is whether there is a real and substantial connection between British Columbia and the defendant or the particular subject matter of the claim. The Court of Appeal reiterated this test in Cook v. Parcel, Mauro, Hultin &amp; Spaanstra, P.C. </w:t>
      </w:r>
      <w:hyperlink r:id="rId624" w:history="1">
        <w:r>
          <w:rPr>
            <w:rFonts w:ascii="arial" w:eastAsia="arial" w:hAnsi="arial" w:cs="arial"/>
            <w:i/>
            <w:color w:val="0077CC"/>
            <w:sz w:val="20"/>
            <w:u w:val="single"/>
            <w:shd w:val="clear" w:color="auto" w:fill="FFFFFF"/>
            <w:lang w:val="en-US" w:eastAsia="en-US" w:bidi="ar-SA"/>
          </w:rPr>
          <w:t>(1997), 31 B.C.L.R. (3d) 24</w:t>
        </w:r>
      </w:hyperlink>
      <w:r>
        <w:rPr>
          <w:rFonts w:ascii="arial" w:eastAsia="arial" w:hAnsi="arial" w:cs="arial"/>
          <w:color w:val="000000"/>
          <w:sz w:val="20"/>
          <w:lang w:val="en-US" w:eastAsia="en-US" w:bidi="ar-SA"/>
        </w:rPr>
        <w:t>, at para. 20. In the present case, Freshway served its pleadings on all the defendants outside of the province without leave. The defendants all rely on Rule 14(6)(b) which entitles a party who has been served to apply to dismiss or stay the proceeding on the ground that "the court does not have jurisdiction over that party in respect of the claim made against that party in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Court of Appeal has re-affirmed the correct approach to the question of jurisdiction simpliciter in Roth v. Interlock Services, Inc., </w:t>
      </w:r>
      <w:hyperlink r:id="rId625" w:history="1">
        <w:r>
          <w:rPr>
            <w:rFonts w:ascii="arial" w:eastAsia="arial" w:hAnsi="arial" w:cs="arial"/>
            <w:i/>
            <w:color w:val="0077CC"/>
            <w:sz w:val="20"/>
            <w:u w:val="single"/>
            <w:shd w:val="clear" w:color="auto" w:fill="FFFFFF"/>
            <w:lang w:val="en-US" w:eastAsia="en-US" w:bidi="ar-SA"/>
          </w:rPr>
          <w:t>[2004] B.C.J. No. 1514</w:t>
        </w:r>
      </w:hyperlink>
      <w:r>
        <w:rPr>
          <w:rFonts w:ascii="arial" w:eastAsia="arial" w:hAnsi="arial" w:cs="arial"/>
          <w:color w:val="000000"/>
          <w:sz w:val="20"/>
          <w:lang w:val="en-US" w:eastAsia="en-US" w:bidi="ar-SA"/>
        </w:rPr>
        <w:t xml:space="preserve"> (C.A.), a decision not referred to by counsel. There, Smith J.A., for the court, at para 15,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correct approach to the question of jurisdiction simpliciter is outlined in two decisions of this Court which were pronounced the same day: Furlan v. Shell Oil Co., </w:t>
      </w:r>
      <w:hyperlink r:id="rId626" w:history="1">
        <w:r>
          <w:rPr>
            <w:rFonts w:ascii="arial" w:eastAsia="arial" w:hAnsi="arial" w:cs="arial"/>
            <w:i/>
            <w:color w:val="0077CC"/>
            <w:sz w:val="20"/>
            <w:u w:val="single"/>
            <w:shd w:val="clear" w:color="auto" w:fill="FFFFFF"/>
            <w:lang w:val="en-US" w:eastAsia="en-US" w:bidi="ar-SA"/>
          </w:rPr>
          <w:t>[2000] B.C.J. No. 1334</w:t>
        </w:r>
      </w:hyperlink>
      <w:r>
        <w:rPr>
          <w:rFonts w:ascii="arial" w:eastAsia="arial" w:hAnsi="arial" w:cs="arial"/>
          <w:color w:val="000000"/>
          <w:sz w:val="20"/>
          <w:lang w:val="en-US" w:eastAsia="en-US" w:bidi="ar-SA"/>
        </w:rPr>
        <w:t xml:space="preserve">, and AG Armeno Mines and Minerals Inc. v. PT Pukuafu Indah, </w:t>
      </w:r>
      <w:hyperlink r:id="rId627" w:history="1">
        <w:r>
          <w:rPr>
            <w:rFonts w:ascii="arial" w:eastAsia="arial" w:hAnsi="arial" w:cs="arial"/>
            <w:i/>
            <w:color w:val="0077CC"/>
            <w:sz w:val="20"/>
            <w:u w:val="single"/>
            <w:shd w:val="clear" w:color="auto" w:fill="FFFFFF"/>
            <w:lang w:val="en-US" w:eastAsia="en-US" w:bidi="ar-SA"/>
          </w:rPr>
          <w:t>[2000] B.C.J. No. 1335</w:t>
        </w:r>
      </w:hyperlink>
      <w:r>
        <w:rPr>
          <w:rFonts w:ascii="arial" w:eastAsia="arial" w:hAnsi="arial" w:cs="arial"/>
          <w:color w:val="000000"/>
          <w:sz w:val="20"/>
          <w:lang w:val="en-US" w:eastAsia="en-US" w:bidi="ar-SA"/>
        </w:rPr>
        <w:t>. The first step is to examine the plaintiff's pleading to determine whether it alleges "jurisdictional" facts sufficient to establish a real and substantial connection to the defendant or to the cause of action. Affidavit evidence of facts relevant to jurisdiction simpliciter is admissible when the facts are not alleged in the plaintiff's pleading because they are not material facts, or when they are, are not particularized in the pleading in sufficient detail to enable determination of the issue. If those unpleaded jurisdictional facts are contentious, the plaintiff bears the burden of showing a good arguable case that can be established. Affidavit evidence is also admissible for the purpose of demonstrating that the plaintiff's claim is tenuous and without merit. In that situation, the plaintiff must show a good arguable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Based on the foregoing, I turn next to the pleadings to determine whether sufficient jurisdictional facts are pled respecting each defendant or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Freshway has not alleged that any of the defendants have a real and substantial connection to British Columbia. The evidence is clear that none do. Accordingly, the examination must focus on the connection between the causes of action pled and this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For convenience, I start with the pleadings against Coosemans already set out in detail above. The amended statement of claim sets out the following relevant to jurisdiction simpliciter. Coosemans has its administration and business offices in Quebec. Delorme, an Ontario company, as agent for Coosemans prepared the Memorandum of Sale for the avocados. The avocados were delivered to the Coosemans' warehouse. Coosemans failed to pay for or return the avocados.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foregoing demonstrates no connection with this jurisdiction other than as the place of business for Freshway, a factor akin to residency. As a result, I have reviewed the affidavit material filed on behalf of Freshway for further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affidavit of Connie Gallucci filed on behalf of Coosemans provides additional relevant evidence and exhibits, including a copy of the Memorandum of Sale referred to in the statement of claim and a Confirmation of Sale. Each of those documents identifies Delorme as the purchaser and Coosemans as the consignee. The produce was to be shipped from Laredo, Texas to Montreal. According to the affidavit, and consistent with the exhibits, Coosemans negotiated with Delorme rather than Freshway to purchase the avocados.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According to the evidence, Freshway invoiced Delorme about $24,000 for the avocados. Coosemans ultimately received the avocados, which were in poor condition, and sold them for about $13,300 US which it then remitted to Delorme in full satisfaction of its obligation to Delorme.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If the foregoing demonstrates an unlawful conversion of the avocados, it must have occurred in Quebec where Coosemans received and later sold the avocados. The only connection to British Columbia is the fact that the plaintiff carries on business from an office here. Residency is the sole jurisdictional factor disclosed by the pleadings or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Residence alone is insufficient to establish a real and substantial connection between the cause of action alleged and this province. In Canadian International Marketing Distributing Ltd. v. Nitsuko Ltd., </w:t>
      </w:r>
      <w:hyperlink r:id="rId628" w:history="1">
        <w:r>
          <w:rPr>
            <w:rFonts w:ascii="arial" w:eastAsia="arial" w:hAnsi="arial" w:cs="arial"/>
            <w:i/>
            <w:color w:val="0077CC"/>
            <w:sz w:val="20"/>
            <w:u w:val="single"/>
            <w:shd w:val="clear" w:color="auto" w:fill="FFFFFF"/>
            <w:lang w:val="en-US" w:eastAsia="en-US" w:bidi="ar-SA"/>
          </w:rPr>
          <w:t>[1990] B.C.J. No. 569</w:t>
        </w:r>
      </w:hyperlink>
      <w:r>
        <w:rPr>
          <w:rFonts w:ascii="arial" w:eastAsia="arial" w:hAnsi="arial" w:cs="arial"/>
          <w:color w:val="000000"/>
          <w:sz w:val="20"/>
          <w:lang w:val="en-US" w:eastAsia="en-US" w:bidi="ar-SA"/>
        </w:rPr>
        <w:t xml:space="preserve"> (C.A.), the court found that a resident plaintiff suing a non-resident defendant for an alleged breach of contract that arose outside of Canada failed to establish jurisdiction simpliciter. The contract in question appeared to have incorporated the law of another country. While the court did not discuss the question of damages, one would expect the plaintiff to have been in the same position as Freshway is here. Similarly, in Ell v. Con-Pro Industries Ltd., </w:t>
      </w:r>
      <w:hyperlink r:id="rId629" w:history="1">
        <w:r>
          <w:rPr>
            <w:rFonts w:ascii="arial" w:eastAsia="arial" w:hAnsi="arial" w:cs="arial"/>
            <w:i/>
            <w:color w:val="0077CC"/>
            <w:sz w:val="20"/>
            <w:u w:val="single"/>
            <w:shd w:val="clear" w:color="auto" w:fill="FFFFFF"/>
            <w:lang w:val="en-US" w:eastAsia="en-US" w:bidi="ar-SA"/>
          </w:rPr>
          <w:t>[1992] B.C.J. No. 513</w:t>
        </w:r>
      </w:hyperlink>
      <w:r>
        <w:rPr>
          <w:rFonts w:ascii="arial" w:eastAsia="arial" w:hAnsi="arial" w:cs="arial"/>
          <w:color w:val="000000"/>
          <w:sz w:val="20"/>
          <w:lang w:val="en-US" w:eastAsia="en-US" w:bidi="ar-SA"/>
        </w:rPr>
        <w:t xml:space="preserve"> (C.A.), the British Columbia court had no jurisdiction where the only connection was the residence of the plaintiff tort claimant.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In Pacific International Securities Inc. v. Drake Capital Securities Inc. </w:t>
      </w:r>
      <w:hyperlink r:id="rId630" w:history="1">
        <w:r>
          <w:rPr>
            <w:rFonts w:ascii="arial" w:eastAsia="arial" w:hAnsi="arial" w:cs="arial"/>
            <w:i/>
            <w:color w:val="0077CC"/>
            <w:sz w:val="20"/>
            <w:u w:val="single"/>
            <w:shd w:val="clear" w:color="auto" w:fill="FFFFFF"/>
            <w:lang w:val="en-US" w:eastAsia="en-US" w:bidi="ar-SA"/>
          </w:rPr>
          <w:t>(2000), 82 B.C.L.R. (3d) 329</w:t>
        </w:r>
      </w:hyperlink>
      <w:r>
        <w:rPr>
          <w:rFonts w:ascii="arial" w:eastAsia="arial" w:hAnsi="arial" w:cs="arial"/>
          <w:color w:val="000000"/>
          <w:sz w:val="20"/>
          <w:lang w:val="en-US" w:eastAsia="en-US" w:bidi="ar-SA"/>
        </w:rPr>
        <w:t>, at para. 18, the Court of Appeal held that neither Nitsuko nor Ell preclude a finding of jurisdiction simpliciter where the damages, in either contract or tort, are sustained in British Columbia. In Pacific, however, the question of damages and mitigation fell to be determined, in part, based on the plaintiff's obligations under British Columbia securities regulations. See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 have no reason to believe that there are any unusual factors respecting the proof of loss in the present case that would require the consideration of law unique to this province. Master Baker distinguished Pacific on this basis when considering a claim by a British Columbia plaintiff alleging negligent or fraudulent misrepresentation relating to an out of province contract to purchase heavy equipment: see Hauer Bros. Lumber Ltd. v. Wested Equipment Ltd., </w:t>
      </w:r>
      <w:hyperlink r:id="rId631" w:history="1">
        <w:r>
          <w:rPr>
            <w:rFonts w:ascii="arial" w:eastAsia="arial" w:hAnsi="arial" w:cs="arial"/>
            <w:i/>
            <w:color w:val="0077CC"/>
            <w:sz w:val="20"/>
            <w:u w:val="single"/>
            <w:shd w:val="clear" w:color="auto" w:fill="FFFFFF"/>
            <w:lang w:val="en-US" w:eastAsia="en-US" w:bidi="ar-SA"/>
          </w:rPr>
          <w:t>[2005] B.C.J. No. 707</w:t>
        </w:r>
      </w:hyperlink>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2005 BCSC 471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find that Freshway has not established jurisdiction simpliciter, on the pleadings or the evidence as it relates to jurisdictional facts. I dismiss the action against Coosemans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As to the claims against the other defendant applicants, I reach the same conclusions on the jurisdiction issue as I did with respect to Coosemans. The first claim against the DRC is essentially a judicial review of an arbitration deemed to have been conducted in the province of Ontario. No aspect of the arbitration process occurred in British Columbia. The contractual relationship between the DRC and its members and the arbitration process are all governed by Ontario law. The second claim for alleged defamation relates to the DRC publishing the suspension notice in Ottawa. Assuming the tort of defamation occurred, it was complete upon publication. Similarly, the claims against Map and SA Desco are all inextricably tied up with the Map arbitration process and have no connection at all to this province apart from the residency of the plaintiff. If necessary to do so, I would dismiss all the claims pursuant to Rule 14(6) as having no real and substantial connection to this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light of my conclusion that Freshway's claims against each of the defendant applicants must be dismissed, it is unnecessary to address any of the alternative applications. The claims against the defendants, the DRC, Map, SA Desco and Coosemans are struck or dismissed for the reasons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Each defendant is entitled to costs on Scale 3, subject to Map, SA Desco and Coosemans not duplicating the actual hearing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MACAULAY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1" style="position:absolute;z-index:251886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32"/>
          <w:headerReference w:type="default" r:id="rId633"/>
          <w:footerReference w:type="even" r:id="rId634"/>
          <w:footerReference w:type="default" r:id="rId635"/>
          <w:headerReference w:type="first" r:id="rId636"/>
          <w:footerReference w:type="first" r:id="rId63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38" w:history="1">
        <w:r>
          <w:rPr>
            <w:rFonts w:ascii="arial" w:eastAsia="arial" w:hAnsi="arial" w:cs="arial"/>
            <w:b/>
            <w:bCs/>
            <w:i/>
            <w:color w:val="0077CC"/>
            <w:kern w:val="32"/>
            <w:sz w:val="28"/>
            <w:szCs w:val="32"/>
            <w:u w:val="single"/>
            <w:shd w:val="clear" w:color="auto" w:fill="FFFFFF"/>
            <w:lang w:val="en-US" w:eastAsia="en-US" w:bidi="ar-SA"/>
          </w:rPr>
          <w:t>Gibson v. Insurance Corp. of British Columbia, [2016] B.C.J. No. 943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P.J. Pearlman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13,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6,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S032715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943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2016 BCSC 814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[2016] I.L.R. I-5880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Peter Robert Gibson, Plaintiff, and Insurance Corporation of British Columbia, Heather Bradshaw also known as Heather Sawicki and Darryl Sawicki, Defendants, and Insurance Corporation of British Columbia, Plaintiff by Counterclaim, and Zoltan Sandli, Defendant by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2"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7" w:name="Keywords_36"/>
      <w:bookmarkEnd w:id="247"/>
      <w:r>
        <w:rPr>
          <w:rFonts w:ascii="arial" w:eastAsia="arial" w:hAnsi="arial" w:cs="arial"/>
          <w:b/>
          <w:color w:val="000000"/>
          <w:sz w:val="20"/>
          <w:lang w:val="en-US" w:eastAsia="en-US" w:bidi="ar-SA"/>
        </w:rPr>
        <w:t>Civil litigation — Civil procedure — Judgments and orders — Summary judgments — Availability — Application by Sandli, defendant by counterclaim, for an order dismissing the claims against him dismissed — In the action, the plaintiff Gibson claimed damages for personal injuries he allegedly sustained when his motorcycle was hit by an unidentified driver — Bradshaw had admitted that she struck Gibson and asserted that he told her to leave the scene — By its counterclaim, ICBC alleged that Gibson and Sandli conspired to defraud ICBC — There were significant inconsistencies between the evidence of Sandli and Gibson — The matter was not suitable for summary determination.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Actions — Practice and procedure — Application by Sandli, defendant by counterclaim, for an order dismissing the claims against him dismissed — In the action, the plaintiff Gibson claimed damages for personal injuries he allegedly sustained when his motorcycle was hit by an unidentified driver — Bradshaw had admitted that she struck Gibson and asserted that he told her to leave the scene — By its counterclaim, ICBC alleged that Gibson and Sandli conspired to defraud ICBC — There were significant inconsistencies between the evidence of Sandli and Gibson — The matter was not suitable for summary determination.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8" w:name="Case Summary_36"/>
            <w:bookmarkEnd w:id="24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Sandli, defendant by counterclaim, for an order dismissing the claims against him. In the action, the plaintiff Gibson claimed damages for personal injuries he allegedly sustained when his motorcycle was hit by an unidentified driver. Bradshaw had admitted that she drove the vehicle that struck Gibson and asserted that Gibson told her and her passenger to leave the scene of the accident. By its counterclaim, ICBC alleged that Gibson and Sandli conspired to defraud ICBC in order to obtain benefits that were not owed to Gibson. Sandli submitted that because he did not witness the accident, he had no knowledge of the identity of the driver who struck Gibson and had not withheld any material information in his statements to ICBC. ICBC took the position that the matter was unsuitable for determination by summary trial.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9" w:name="Holdings of Court_33"/>
            <w:bookmarkEnd w:id="249"/>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were significant inconsistencies between the evidence of Sandli and Gibson. Those contradictions went to the core of the issue of whether Sandli knew that Bradshaw was the driver of the vehicle that struck Gibson. Credibility would be a critical factor on the trial of both the main action and ICBC's counterclaim. Resolution of the inconsistencies would require cross-examination and a viva voce trial. The matter was not suitable for summary determination.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0" w:name="Legislation Cited_24"/>
      <w:bookmarkEnd w:id="25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3"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Act, </w:t>
      </w:r>
      <w:hyperlink r:id="rId640" w:history="1">
        <w:r>
          <w:rPr>
            <w:rFonts w:ascii="arial" w:eastAsia="arial" w:hAnsi="arial" w:cs="arial"/>
            <w:i/>
            <w:color w:val="0077CC"/>
            <w:sz w:val="20"/>
            <w:u w:val="single"/>
            <w:shd w:val="clear" w:color="auto" w:fill="FFFFFF"/>
            <w:lang w:val="en-US" w:eastAsia="en-US" w:bidi="ar-SA"/>
          </w:rPr>
          <w:t>R.S.B.C. 1996, c. 231, s. 24</w:t>
        </w:r>
      </w:hyperlink>
      <w:r>
        <w:rPr>
          <w:rFonts w:ascii="arial" w:eastAsia="arial" w:hAnsi="arial" w:cs="arial"/>
          <w:color w:val="000000"/>
          <w:sz w:val="20"/>
          <w:lang w:val="en-US" w:eastAsia="en-US" w:bidi="ar-SA"/>
        </w:rPr>
        <w:t>, s. 42.1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1-3(1), Rule 1-3(2), Rule 9-7(2), Rule 9-7(2)(d), Rule 9-7(15)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1" w:name="Counsel_37"/>
      <w:bookmarkEnd w:id="25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4" style="position:absolute;z-index:251799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E. James McNeney, Q.C. and Robert B. McNeney.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Insurance Corporation of British Columbia: Timothy Goepel.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Bradshaw and Sawicki: Clive Boulton.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by Counterclaim, Sandli: Howard Rubin,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2" w:name="Judgment_37"/>
      <w:bookmarkEnd w:id="252"/>
      <w:r>
        <w:pict>
          <v:line id="_x0000_s1205" style="position:absolute;z-index:2518497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3" w:name="P.J. PEARLMAN J."/>
            <w:bookmarkEnd w:id="253"/>
            <w:r>
              <w:rPr>
                <w:rFonts w:ascii="arial" w:eastAsia="arial" w:hAnsi="arial" w:cs="arial"/>
                <w:b/>
                <w:color w:val="000000"/>
                <w:sz w:val="30"/>
                <w:lang w:val="en-US" w:eastAsia="en-US" w:bidi="ar-SA"/>
              </w:rPr>
              <w:t>P.J. PEARLMAN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Mr. Zoltan Sandli, as defendant by counterclaim, applies pursuant to Rule 9-7(2)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for an order dismissing all claims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this action, the plaintiff claim damages for personal injuries sustained on May 24, 2002 at 104th Avenue and 168th Street in Surrey, British Columbia. He claims that while riding his motorcycle he was the victim of a hit and run by an unidentified driver. After the defendant, the Insurance Corporation of British Columbia ("ICBC") admitted liability for the accident, Heather Bradshaw, also known as Heather Sawicki, admitted that she drove the vehicle that struck the plaintiff. Ms. Bradshaw also asserted that the plaintiff told her and her passenger and friend, Denise Izatt, to leave the scene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By its counterclaim, ICBC claims that the plaintiff and Mr. Sandli conspired to defraud ICBC in order to obtain benefits that were not owed by ICBC to Mr. Gibson. ICBC alleges that Mr. Sandli made misrepresentations or withheld material information in order to induce it to pay insurance monies and benefits to Mr. Gibson.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issues arising on this application are:</w:t>
      </w:r>
      <w:r>
        <w:rPr>
          <w:rFonts w:ascii="arial" w:eastAsia="arial" w:hAnsi="arial" w:cs="arial"/>
          <w:sz w:val="20"/>
          <w:lang w:val="en-US" w:eastAsia="en-US" w:bidi="ar-SA"/>
        </w:rPr>
        <w:cr/>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ICBC's counterclaim against Mr. Sandli is suitable for determination by summary trial;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Mr. Sandli knew Ms. Bradshaw was the driver, failed to disclose that information to ICBC and fraudulently conspired with Mr. Gibson to misrepresent the collision as a hit and run.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Litigation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Tracing the history of this litigation takes one down a long and convoluted path.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Mr. Gibson commenced his action against ICBC as a nominal defendant pursuant to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on May 21,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December 13, 2003, ICBC filed a statement of defence denying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On January 18, 2007, shortly before the commencement of trial, ICBC admitted liability under s. 24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leaving only damages to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March 8, 2007, the trial judge gave oral reasons awarding the plaintiff damages for non-pecuniary loss, past wage loss and special damages totaling $105,259.49. Mr. Gibson appealed the damages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May 10, 2007, before entry of the trial judgment, ICBC received an anonymous tip concerning the identity of the driver and owner of the vehicle that struck the plaintiff's motorcycle. In an interview on May 29, 2007, Heather Bradshaw informed an agent of ICBC that she was the driver and was operating a vehicle owned by her husband, Darryl Sawicki.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On November 27, 2007, Mr. Gibson and Mr. Sandli were charged under s. 42.1 of the </w:t>
      </w:r>
      <w:r>
        <w:rPr>
          <w:rFonts w:ascii="arial" w:eastAsia="arial" w:hAnsi="arial" w:cs="arial"/>
          <w:i/>
          <w:color w:val="000000"/>
          <w:sz w:val="20"/>
          <w:lang w:val="en-US" w:eastAsia="en-US" w:bidi="ar-SA"/>
        </w:rPr>
        <w:t>Insurance Motor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On December 13, 2007, ICBC applied to the trial judge to withdraw its admission of liability. By Reasons for Judgment issued on December 20, 2007 and indexed as </w:t>
      </w:r>
      <w:r>
        <w:rPr>
          <w:rFonts w:ascii="arial" w:eastAsia="arial" w:hAnsi="arial" w:cs="arial"/>
          <w:i/>
          <w:color w:val="000000"/>
          <w:sz w:val="20"/>
          <w:lang w:val="en-US" w:eastAsia="en-US" w:bidi="ar-SA"/>
        </w:rPr>
        <w:t>Gibson v. ICBC</w:t>
      </w:r>
      <w:r>
        <w:rPr>
          <w:rFonts w:ascii="arial" w:eastAsia="arial" w:hAnsi="arial" w:cs="arial"/>
          <w:color w:val="000000"/>
          <w:sz w:val="20"/>
          <w:lang w:val="en-US" w:eastAsia="en-US" w:bidi="ar-SA"/>
        </w:rPr>
        <w:t xml:space="preserve">, </w:t>
      </w:r>
      <w:hyperlink r:id="rId641" w:history="1">
        <w:r>
          <w:rPr>
            <w:rFonts w:ascii="arial" w:eastAsia="arial" w:hAnsi="arial" w:cs="arial"/>
            <w:i/>
            <w:color w:val="0077CC"/>
            <w:sz w:val="20"/>
            <w:u w:val="single"/>
            <w:shd w:val="clear" w:color="auto" w:fill="FFFFFF"/>
            <w:lang w:val="en-US" w:eastAsia="en-US" w:bidi="ar-SA"/>
          </w:rPr>
          <w:t>2007 BCSC 1843</w:t>
        </w:r>
      </w:hyperlink>
      <w:r>
        <w:rPr>
          <w:rFonts w:ascii="arial" w:eastAsia="arial" w:hAnsi="arial" w:cs="arial"/>
          <w:color w:val="000000"/>
          <w:sz w:val="20"/>
          <w:lang w:val="en-US" w:eastAsia="en-US" w:bidi="ar-SA"/>
        </w:rPr>
        <w:t>, the trial judge dismissed that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On April 24, 2008, when Mr. Gibson's appeal came on for hearing, ICBC applied for leave to appeal the trial judge's dismissal of its application to withdraw its admission of liability. By Reasons for Judgment indexed as </w:t>
      </w:r>
      <w:r>
        <w:rPr>
          <w:rFonts w:ascii="arial" w:eastAsia="arial" w:hAnsi="arial" w:cs="arial"/>
          <w:i/>
          <w:color w:val="000000"/>
          <w:sz w:val="20"/>
          <w:lang w:val="en-US" w:eastAsia="en-US" w:bidi="ar-SA"/>
        </w:rPr>
        <w:t>Gibson v. ICBC</w:t>
      </w:r>
      <w:r>
        <w:rPr>
          <w:rFonts w:ascii="arial" w:eastAsia="arial" w:hAnsi="arial" w:cs="arial"/>
          <w:color w:val="000000"/>
          <w:sz w:val="20"/>
          <w:lang w:val="en-US" w:eastAsia="en-US" w:bidi="ar-SA"/>
        </w:rPr>
        <w:t xml:space="preserve">, </w:t>
      </w:r>
      <w:hyperlink r:id="rId642" w:history="1">
        <w:r>
          <w:rPr>
            <w:rFonts w:ascii="arial" w:eastAsia="arial" w:hAnsi="arial" w:cs="arial"/>
            <w:i/>
            <w:color w:val="0077CC"/>
            <w:sz w:val="20"/>
            <w:u w:val="single"/>
            <w:shd w:val="clear" w:color="auto" w:fill="FFFFFF"/>
            <w:lang w:val="en-US" w:eastAsia="en-US" w:bidi="ar-SA"/>
          </w:rPr>
          <w:t>2008 BCCA 217</w:t>
        </w:r>
      </w:hyperlink>
      <w:r>
        <w:rPr>
          <w:rFonts w:ascii="arial" w:eastAsia="arial" w:hAnsi="arial" w:cs="arial"/>
          <w:color w:val="000000"/>
          <w:sz w:val="20"/>
          <w:lang w:val="en-US" w:eastAsia="en-US" w:bidi="ar-SA"/>
        </w:rPr>
        <w:t>, the Court of Appeal allowed Mr. Gibson's appeal and ordered a new trial on the ground that the damages award was not supported by reasons sufficient for appellate review. The Court stated that the intended appeal by ICBC of the order refusing withdrawal of the admission of liability was moot.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December 8, 2008, Crown Counsel stayed the charges against Mr. Gibson and Mr. Sandli.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August 4, 2010, Master Donaldson determined that it was no longer necessary for ICBC to withdraw its admission of liability. The Corporation had made that admission only for the purpose of trial. The Court of Appeal's order for a new trial reinstated the pleading denying liability. Master Donaldson also granted ICBC leave to amend its statement of defence, to bring a counterclaim against the plaintiff, and to add Zoltan Sandli as a defendant to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a Case Management Conference held on August 10, 2010, Madam Justice Adair ordered the severance of the issues of liability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November 18, 2010, the plaintiff filed a malicious prosecution action against ICBC, Mr. Douglas Smith, an employee of ICBC's special investigation unit, and the Attorney General of British Columbia. Later, by consent, Her Majesty the Queen in Right of the Province of British Columbia as represented by the Minister of Public Safety and the Solicitor General were added as defendants in the malicious prosecution action. There is an outstanding notice of application to join the malicious prosecution action with this proceeding. The malicious prosecution action has not yet been set for trial, although examinations for discovery have been conducted in that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this action, Mr. Gibson applied to add Heather Bradshaw and Darryl Sawicki as defendants "in view of the position taken by [ICBC] in this litigation that Heather [Bradshaw] was the driver of the vehicle that struck the plaintiff" and that "Darryl Sawicki was the owner of the alleged vehicle". Mr. Gibson continued to claim against ICBC, in the event that his claims against the defendants Bradshaw and Sawicki were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has consistently maintained that Ms. Bradshaw was not the driver of the vehicle that struck him and says that he has been unable to determine the identity of the driver or owner of that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ICBC also applied under Rule 9-7 for an order removing it as a defendant and dismissing the plaintiff's action as against ICBC by summary trial of the issue of the identity of the driver and owner of the vehicle that had injured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November 21, 2011, a judge of this court granted ICBC's summary trial application and dismissed the action as against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Mr. Gibson appealed the dismissal of his action against ICBC to the Court of Appeal. On December 23, 2013, the Court allowed Mr. Gibson's appeal. By Reasons for judgment indexed as </w:t>
      </w:r>
      <w:r>
        <w:rPr>
          <w:rFonts w:ascii="arial" w:eastAsia="arial" w:hAnsi="arial" w:cs="arial"/>
          <w:i/>
          <w:color w:val="000000"/>
          <w:sz w:val="20"/>
          <w:lang w:val="en-US" w:eastAsia="en-US" w:bidi="ar-SA"/>
        </w:rPr>
        <w:t>Gibson v. ICBC</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2013 BCCA 557</w:t>
        </w:r>
      </w:hyperlink>
      <w:r>
        <w:rPr>
          <w:rFonts w:ascii="arial" w:eastAsia="arial" w:hAnsi="arial" w:cs="arial"/>
          <w:color w:val="000000"/>
          <w:sz w:val="20"/>
          <w:lang w:val="en-US" w:eastAsia="en-US" w:bidi="ar-SA"/>
        </w:rPr>
        <w:t>, the Court held, at paras. 40 - 42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My analysis of the evidence set out above makes it clear that the testimonial conflict as to the identity of Ms. Bradshaw as the responsible driver should be resolved by a trier of fact receiving the evidence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There was a material conflict in the evidence that cannot be justly resolved by affidavit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In addition, there is a valid concern that the finding by the summary trial judge on the identity issue might compromise resolution of the other issues in the case. I am unable to see how the appellant is to present his case against Bradshaw/Sawicki when he does not accept that Heather Bradshaw was the driver of the vehicle that struck his motorcycle. It seems to me that the logical way to proceed is for the appellant to present his case as involving a hit-and-run collision and leave it to ICBC to attempt to establish that the driver has been ascertained as Ms. Bradshaw.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Perhaps of greater importance is the effect the identity finding would have on the counterclaim. To establish the conspiracy it alleges, ICBC must prove that Ms. Bradshaw was the driver, that both the appellant and Mr. Sandli knew that to be so and that they conspired to defraud ICBC by alleging that the collision was a hit-and-run when it was not. There has to be a serious question as to whether Mr. Sandli would be bound on the counterclaim by the identity finding made in the action by the order under appeal. Mr. Sandli is a party only in the counterclaim. This means the potential for inconsistent findings with respect to a material fact looms large. Determination of the identity issue at a summary trial does not assist in the resolution of all issues in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course of setting aside the dismissal of the action as against ICBC, the Court noted at para. 27 that the evidence of Ms. Bradshaw in many respects was inconsistent with a statement given by Mr. Gibson to ICBC shortly after the collision. Ms. Bradshaw said the motorcyclist did not fall off his motorcycle and that there was no damage to her car. She testified that if the motorcycle was a write-off because of damage to its frame, that damage could not have been caused by her. She denied the motorcyclist was thrown 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For his part, Mr. Gibson told ICBC that the impact threw him into the air and that he landed on the pavement. After Mr. Sandli returned and called for help, a fire truck, ambulance and police attended. The plaintiff was taken by ambulance to Surrey Hospital. The Court commented at paragraph 29 that the minimal impact with no damage described by Ms. Bradshaw appeared to be inconsistent with the evidence concerning the damage to the motorcycle, the injuries to Mr. Gibson and the damages assessed at the first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2015, the parties hoped to resolve these proceedings by a judicial settlement conference. However, that conference was delayed when defence counsel sought additional independent medical examinations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Sandli then brought his application for dismissal of ICBC's counterclaim against him. The plaintiff consents to the relief sought by Mr. Sandli. ICBC opposes Mr. Sandli's application on the ground the matter is not suitable for disposition by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conventional trial of this action and the counterclaim is set for 20 days, commencing on January 16, 2017. However, counsel for ICBC estimates the liability trial will take no more than 5 to 7 days. I understood from Mr. Rubin's submissions on behalf of Mr. Sandli that he did not disagree with that estimate.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APPLICABLE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Rule 9-7(2)(d) provides: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may apply to the court for judgment under this rule, either on an issue more generally, in any of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by way of counterclaim in which a response to counterclaim has been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Under Rule 9-7(15) on the hearing of a summary trial application, the court may:</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Court of Appeal summarized the law concerning the suitability of a case for determination by summary trial in </w:t>
      </w:r>
      <w:r>
        <w:rPr>
          <w:rFonts w:ascii="arial" w:eastAsia="arial" w:hAnsi="arial" w:cs="arial"/>
          <w:i/>
          <w:color w:val="000000"/>
          <w:sz w:val="20"/>
          <w:lang w:val="en-US" w:eastAsia="en-US" w:bidi="ar-SA"/>
        </w:rPr>
        <w:t>Gichuru v. Pallai</w:t>
      </w:r>
      <w:r>
        <w:rPr>
          <w:rFonts w:ascii="arial" w:eastAsia="arial" w:hAnsi="arial" w:cs="arial"/>
          <w:color w:val="000000"/>
          <w:sz w:val="20"/>
          <w:lang w:val="en-US" w:eastAsia="en-US" w:bidi="ar-SA"/>
        </w:rPr>
        <w:t xml:space="preserve">, </w:t>
      </w:r>
      <w:hyperlink r:id="rId644" w:history="1">
        <w:r>
          <w:rPr>
            <w:rFonts w:ascii="arial" w:eastAsia="arial" w:hAnsi="arial" w:cs="arial"/>
            <w:i/>
            <w:color w:val="0077CC"/>
            <w:sz w:val="20"/>
            <w:u w:val="single"/>
            <w:shd w:val="clear" w:color="auto" w:fill="FFFFFF"/>
            <w:lang w:val="en-US" w:eastAsia="en-US" w:bidi="ar-SA"/>
          </w:rPr>
          <w:t>2013 BCCA 60</w:t>
        </w:r>
      </w:hyperlink>
      <w:r>
        <w:rPr>
          <w:rFonts w:ascii="arial" w:eastAsia="arial" w:hAnsi="arial" w:cs="arial"/>
          <w:color w:val="000000"/>
          <w:sz w:val="20"/>
          <w:lang w:val="en-US" w:eastAsia="en-US" w:bidi="ar-SA"/>
        </w:rPr>
        <w:t xml:space="preserve"> at paras. 30-31: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In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the court confirmed that the court under this rule "tries the issues raised by the pleadings on affidavits", that "a triable issue or arguable defence will not always defeat a summary trial application", and that "cases will be decided summarily if the court is able to find the facts necessary for that purpose, even though there may be disputed issues of fact and law" provided that the judge does not find "it is unjust to do so" (p. 211). In determining the latter issue (whether it would be unjust to proceed summarily), the Chief Justice identified a number of relevant factors to consider (at p. 215):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deciding whether it will be unjust to give judgment the chambers judge is entitled to consider, inter alia, the amount involved, the complexity of the matter, its urgency, any prejudice likely to arise by reason of delay, the cost of taking the case forward to a conventional trial in relation to the amount involved, the course of the proceedings and any other matters which arise for consideration on this important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To this list has been added other factors including the cost of the litigation and the time of the summary trial, whether credibility is a critical factor in the determination of the dispute, whether the summary trial may create an unnecessary complexity in the resolution of the dispute, and whether the application would result in litigating in slices: </w:t>
      </w:r>
      <w:r>
        <w:rPr>
          <w:rFonts w:ascii="arial" w:eastAsia="arial" w:hAnsi="arial" w:cs="arial"/>
          <w:i/>
          <w:color w:val="000000"/>
          <w:sz w:val="20"/>
          <w:lang w:val="en-US" w:eastAsia="en-US" w:bidi="ar-SA"/>
        </w:rPr>
        <w:t>Dahl v. Royal Bank of Canada et al.</w:t>
      </w:r>
      <w:r>
        <w:rPr>
          <w:rFonts w:ascii="arial" w:eastAsia="arial" w:hAnsi="arial" w:cs="arial"/>
          <w:color w:val="000000"/>
          <w:sz w:val="20"/>
          <w:lang w:val="en-US" w:eastAsia="en-US" w:bidi="ar-SA"/>
        </w:rPr>
        <w:t xml:space="preserve">, </w:t>
      </w:r>
      <w:hyperlink r:id="rId645" w:history="1">
        <w:r>
          <w:rPr>
            <w:rFonts w:ascii="arial" w:eastAsia="arial" w:hAnsi="arial" w:cs="arial"/>
            <w:i/>
            <w:color w:val="0077CC"/>
            <w:sz w:val="20"/>
            <w:u w:val="single"/>
            <w:shd w:val="clear" w:color="auto" w:fill="FFFFFF"/>
            <w:lang w:val="en-US" w:eastAsia="en-US" w:bidi="ar-SA"/>
          </w:rPr>
          <w:t>2005 BCSC 1263</w:t>
        </w:r>
      </w:hyperlink>
      <w:r>
        <w:rPr>
          <w:rFonts w:ascii="arial" w:eastAsia="arial" w:hAnsi="arial" w:cs="arial"/>
          <w:color w:val="000000"/>
          <w:sz w:val="20"/>
          <w:lang w:val="en-US" w:eastAsia="en-US" w:bidi="ar-SA"/>
        </w:rPr>
        <w:t xml:space="preserve"> at para. 12, upheld on appeal at </w:t>
      </w:r>
      <w:hyperlink r:id="rId646" w:history="1">
        <w:r>
          <w:rPr>
            <w:rFonts w:ascii="arial" w:eastAsia="arial" w:hAnsi="arial" w:cs="arial"/>
            <w:i/>
            <w:color w:val="0077CC"/>
            <w:sz w:val="20"/>
            <w:u w:val="single"/>
            <w:shd w:val="clear" w:color="auto" w:fill="FFFFFF"/>
            <w:lang w:val="en-US" w:eastAsia="en-US" w:bidi="ar-SA"/>
          </w:rPr>
          <w:t>2006 BCCA 369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Kemp v. Vancouver Coastal Health Authority</w:t>
      </w:r>
      <w:r>
        <w:rPr>
          <w:rFonts w:ascii="arial" w:eastAsia="arial" w:hAnsi="arial" w:cs="arial"/>
          <w:color w:val="000000"/>
          <w:sz w:val="20"/>
          <w:lang w:val="en-US" w:eastAsia="en-US" w:bidi="ar-SA"/>
        </w:rPr>
        <w:t xml:space="preserve">, </w:t>
      </w:r>
      <w:hyperlink r:id="rId647" w:history="1">
        <w:r>
          <w:rPr>
            <w:rFonts w:ascii="arial" w:eastAsia="arial" w:hAnsi="arial" w:cs="arial"/>
            <w:i/>
            <w:color w:val="0077CC"/>
            <w:sz w:val="20"/>
            <w:u w:val="single"/>
            <w:shd w:val="clear" w:color="auto" w:fill="FFFFFF"/>
            <w:lang w:val="en-US" w:eastAsia="en-US" w:bidi="ar-SA"/>
          </w:rPr>
          <w:t>2015 BCSC 1319</w:t>
        </w:r>
      </w:hyperlink>
      <w:r>
        <w:rPr>
          <w:rFonts w:ascii="arial" w:eastAsia="arial" w:hAnsi="arial" w:cs="arial"/>
          <w:color w:val="000000"/>
          <w:sz w:val="20"/>
          <w:lang w:val="en-US" w:eastAsia="en-US" w:bidi="ar-SA"/>
        </w:rPr>
        <w:t xml:space="preserve"> at para. 77, Madam Justice Arnold-Bailey discussed the obligation of an opposing party responding to a summary trial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adequate notice is given to an opposing party that a summary trial application is going to be brought, an obligation then falls on that party to take every reasonable step to complete as much of the pre-trial procedure as necessary to achieve the best mastery of the facts as is reasonably possible before the summary trial proceeding: </w:t>
      </w:r>
      <w:r>
        <w:rPr>
          <w:rFonts w:ascii="arial" w:eastAsia="arial" w:hAnsi="arial" w:cs="arial"/>
          <w:i/>
          <w:color w:val="000000"/>
          <w:sz w:val="20"/>
          <w:lang w:val="en-US" w:eastAsia="en-US" w:bidi="ar-SA"/>
        </w:rPr>
        <w:t>Anglo Canadian Shipping Co. v. Pulp, Paper and Woodworkers of Canada, Local 8</w:t>
      </w:r>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(1988), 27 B.C.L.R. (2d) 378</w:t>
        </w:r>
      </w:hyperlink>
      <w:r>
        <w:rPr>
          <w:rFonts w:ascii="arial" w:eastAsia="arial" w:hAnsi="arial" w:cs="arial"/>
          <w:color w:val="000000"/>
          <w:sz w:val="20"/>
          <w:lang w:val="en-US" w:eastAsia="en-US" w:bidi="ar-SA"/>
        </w:rPr>
        <w:t xml:space="preserve"> (C.A.). Failure to take such steps cannot serve to frustrate the summary trial process. The respondent to such an application cannot insist on a full trial in the hope that with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something additional and favourable might turn up: </w:t>
      </w:r>
      <w:r>
        <w:rPr>
          <w:rFonts w:ascii="arial" w:eastAsia="arial" w:hAnsi="arial" w:cs="arial"/>
          <w:i/>
          <w:color w:val="000000"/>
          <w:sz w:val="20"/>
          <w:lang w:val="en-US" w:eastAsia="en-US" w:bidi="ar-SA"/>
        </w:rPr>
        <w:t>Everest Canadian Properties Ltd. v. Mallmann</w:t>
      </w:r>
      <w:r>
        <w:rPr>
          <w:rFonts w:ascii="arial" w:eastAsia="arial" w:hAnsi="arial" w:cs="arial"/>
          <w:color w:val="000000"/>
          <w:sz w:val="20"/>
          <w:lang w:val="en-US" w:eastAsia="en-US" w:bidi="ar-SA"/>
        </w:rPr>
        <w:t xml:space="preserve">, </w:t>
      </w:r>
      <w:hyperlink r:id="rId649" w:history="1">
        <w:r>
          <w:rPr>
            <w:rFonts w:ascii="arial" w:eastAsia="arial" w:hAnsi="arial" w:cs="arial"/>
            <w:i/>
            <w:color w:val="0077CC"/>
            <w:sz w:val="20"/>
            <w:u w:val="single"/>
            <w:shd w:val="clear" w:color="auto" w:fill="FFFFFF"/>
            <w:lang w:val="en-US" w:eastAsia="en-US" w:bidi="ar-SA"/>
          </w:rPr>
          <w:t>2008 BCCA 275</w:t>
        </w:r>
      </w:hyperlink>
      <w:r>
        <w:rPr>
          <w:rFonts w:ascii="arial" w:eastAsia="arial" w:hAnsi="arial" w:cs="arial"/>
          <w:color w:val="000000"/>
          <w:sz w:val="20"/>
          <w:lang w:val="en-US" w:eastAsia="en-US" w:bidi="ar-SA"/>
        </w:rPr>
        <w:t xml:space="preserve">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Even on a summary trial application brought by a defendant, the plaintiff retains the onus of establishing his or her claim; the defendant retains the burden of establishing any defence to the claim: </w:t>
      </w:r>
      <w:r>
        <w:rPr>
          <w:rFonts w:ascii="arial" w:eastAsia="arial" w:hAnsi="arial" w:cs="arial"/>
          <w:i/>
          <w:color w:val="000000"/>
          <w:sz w:val="20"/>
          <w:lang w:val="en-US" w:eastAsia="en-US" w:bidi="ar-SA"/>
        </w:rPr>
        <w:t>Gichuru</w:t>
      </w:r>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object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as stated in Rule 1-3(1) is "to secure the just, speedy and inexpensive determination of every proceeding on its merits" in order to secure that object, Rule 1-3(2) provides that proceedings must be conducted in ways "so far as is practicable ... that are proportionate to (a) the amount involved in the proceeding, (b) the importance of the issues in dispute, and (c) the complexity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appropriate cases, summary trial will serve the object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by providing a just and efficient process by which the court may grant judgment in favour of a party "on an issue or generally". However, particularly where the issues in an action are interrelated or overlapping, the court will avoid "litigating in slices": </w:t>
      </w:r>
      <w:r>
        <w:rPr>
          <w:rFonts w:ascii="arial" w:eastAsia="arial" w:hAnsi="arial" w:cs="arial"/>
          <w:i/>
          <w:color w:val="000000"/>
          <w:sz w:val="20"/>
          <w:lang w:val="en-US" w:eastAsia="en-US" w:bidi="ar-SA"/>
        </w:rPr>
        <w:t>Bacchus Agents (1981) Ltd. v. Philippe Dandurand Wines Ltd.</w:t>
      </w:r>
      <w:r>
        <w:rPr>
          <w:rFonts w:ascii="arial" w:eastAsia="arial" w:hAnsi="arial" w:cs="arial"/>
          <w:color w:val="000000"/>
          <w:sz w:val="20"/>
          <w:lang w:val="en-US" w:eastAsia="en-US" w:bidi="ar-SA"/>
        </w:rPr>
        <w:t xml:space="preserve">, </w:t>
      </w:r>
      <w:hyperlink r:id="rId650" w:history="1">
        <w:r>
          <w:rPr>
            <w:rFonts w:ascii="arial" w:eastAsia="arial" w:hAnsi="arial" w:cs="arial"/>
            <w:i/>
            <w:color w:val="0077CC"/>
            <w:sz w:val="20"/>
            <w:u w:val="single"/>
            <w:shd w:val="clear" w:color="auto" w:fill="FFFFFF"/>
            <w:lang w:val="en-US" w:eastAsia="en-US" w:bidi="ar-SA"/>
          </w:rPr>
          <w:t>2002 BCCA 138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Coast Foundation v. Currie</w:t>
      </w:r>
      <w:r>
        <w:rPr>
          <w:rFonts w:ascii="arial" w:eastAsia="arial" w:hAnsi="arial" w:cs="arial"/>
          <w:color w:val="000000"/>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2003 BCSC 1781</w:t>
        </w:r>
      </w:hyperlink>
      <w:r>
        <w:rPr>
          <w:rFonts w:ascii="arial" w:eastAsia="arial" w:hAnsi="arial" w:cs="arial"/>
          <w:color w:val="000000"/>
          <w:sz w:val="20"/>
          <w:lang w:val="en-US" w:eastAsia="en-US" w:bidi="ar-SA"/>
        </w:rPr>
        <w:t xml:space="preserve"> at paras. 12, 13 and 15-18.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As Masuhara J. explained in </w:t>
      </w:r>
      <w:r>
        <w:rPr>
          <w:rFonts w:ascii="arial" w:eastAsia="arial" w:hAnsi="arial" w:cs="arial"/>
          <w:i/>
          <w:color w:val="000000"/>
          <w:sz w:val="20"/>
          <w:lang w:val="en-US" w:eastAsia="en-US" w:bidi="ar-SA"/>
        </w:rPr>
        <w:t>R.C. Hotel Ventures Ltd. v. Meristar Sub 2C, LLC</w:t>
      </w:r>
      <w:r>
        <w:rPr>
          <w:rFonts w:ascii="arial" w:eastAsia="arial" w:hAnsi="arial" w:cs="arial"/>
          <w:color w:val="000000"/>
          <w:sz w:val="20"/>
          <w:lang w:val="en-US" w:eastAsia="en-US" w:bidi="ar-SA"/>
        </w:rPr>
        <w:t xml:space="preserve">, </w:t>
      </w:r>
      <w:hyperlink r:id="rId652" w:history="1">
        <w:r>
          <w:rPr>
            <w:rFonts w:ascii="arial" w:eastAsia="arial" w:hAnsi="arial" w:cs="arial"/>
            <w:i/>
            <w:color w:val="0077CC"/>
            <w:sz w:val="20"/>
            <w:u w:val="single"/>
            <w:shd w:val="clear" w:color="auto" w:fill="FFFFFF"/>
            <w:lang w:val="en-US" w:eastAsia="en-US" w:bidi="ar-SA"/>
          </w:rPr>
          <w:t>2008 BCSC 918</w:t>
        </w:r>
      </w:hyperlink>
      <w:r>
        <w:rPr>
          <w:rFonts w:ascii="arial" w:eastAsia="arial" w:hAnsi="arial" w:cs="arial"/>
          <w:color w:val="000000"/>
          <w:sz w:val="20"/>
          <w:lang w:val="en-US" w:eastAsia="en-US" w:bidi="ar-SA"/>
        </w:rPr>
        <w:t xml:space="preserve"> at para. 13, a court should be reluctant to "slice off" and decide isolated issues where resolution of those issues will not resolve the litigation or will only resolve the litigation if answered in a particular way. The Rule 9-7 applicant will be required to demonstrate and the court will be expected to decide that the administration of justice, including the orderly and effective use of court time would be enhanced by dealing with the separate issue advanced by the applicant.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Prevost v. Vetter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2002 BCCA 202</w:t>
      </w:r>
      <w:r>
        <w:rPr>
          <w:rFonts w:ascii="arial" w:eastAsia="arial" w:hAnsi="arial" w:cs="arial"/>
          <w:color w:val="000000"/>
          <w:sz w:val="20"/>
          <w:lang w:val="en-US" w:eastAsia="en-US" w:bidi="ar-SA"/>
        </w:rPr>
        <w:t xml:space="preserve">, the plaintiff claimed damages for injuries he suffered when he was thrown from an automobile driven by the defendant Desiree Vetter. The trial judge found she had consumed alcoholic beverages on the property of the appellants, her uncle and aunt, and that she was intoxicated when she and the plaintiff entered her automobile. On the summary trial application, the trial judge found the appellants were social hosts and owed the plaintiff a duty of care, which they had breached. The defendant driver, who denied she was impaired, took no part in the summary trial application. Causation, assessment of damages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all to be decided in a subsequent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Prevost</w:t>
      </w:r>
      <w:r>
        <w:rPr>
          <w:rFonts w:ascii="arial" w:eastAsia="arial" w:hAnsi="arial" w:cs="arial"/>
          <w:color w:val="000000"/>
          <w:sz w:val="20"/>
          <w:lang w:val="en-US" w:eastAsia="en-US" w:bidi="ar-SA"/>
        </w:rPr>
        <w:t xml:space="preserve"> at para. 8, the Court of Appeal set aside the order of the summary trial judge and directed a new trial. The Court held that it was not possible for the summary trial judge to determine the existence or breach of the standard of care without also determining facts the plaintiff had to establish in order to succeed on the issue of causation. The trial judge's findings would be embarrassing to the subsequent trial judge, who would be asked by the appellants to make contrary findings on the basis of full evidence. The potential for prejudice to the appellants and to defendant driver was obvious. The trial judge might make different findings of fact concerning whether Desiree Vetter was intoxicated when she left the appellants' property and might have to reconsider the summary trial judge's findings of duty, standard of care and breach. Again, in </w:t>
      </w:r>
      <w:r>
        <w:rPr>
          <w:rFonts w:ascii="arial" w:eastAsia="arial" w:hAnsi="arial" w:cs="arial"/>
          <w:i/>
          <w:color w:val="000000"/>
          <w:sz w:val="20"/>
          <w:lang w:val="en-US" w:eastAsia="en-US" w:bidi="ar-SA"/>
        </w:rPr>
        <w:t>Prevost</w:t>
      </w:r>
      <w:r>
        <w:rPr>
          <w:rFonts w:ascii="arial" w:eastAsia="arial" w:hAnsi="arial" w:cs="arial"/>
          <w:color w:val="000000"/>
          <w:sz w:val="20"/>
          <w:lang w:val="en-US" w:eastAsia="en-US" w:bidi="ar-SA"/>
        </w:rPr>
        <w:t xml:space="preserve"> slicing off and deciding isolated issues would not resolve the litigation and raised the potential for inconsistent findings by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Not every conflict in the evidence will render a matter unsuitable for summary judgment. As D. Smith J.A. stated in </w:t>
      </w:r>
      <w:r>
        <w:rPr>
          <w:rFonts w:ascii="arial" w:eastAsia="arial" w:hAnsi="arial" w:cs="arial"/>
          <w:i/>
          <w:color w:val="000000"/>
          <w:sz w:val="20"/>
          <w:lang w:val="en-US" w:eastAsia="en-US" w:bidi="ar-SA"/>
        </w:rPr>
        <w:t>Bell v. Levy</w:t>
      </w:r>
      <w:r>
        <w:rPr>
          <w:rFonts w:ascii="arial" w:eastAsia="arial" w:hAnsi="arial" w:cs="arial"/>
          <w:color w:val="000000"/>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2011 BCCA 417</w:t>
        </w:r>
      </w:hyperlink>
      <w:r>
        <w:rPr>
          <w:rFonts w:ascii="arial" w:eastAsia="arial" w:hAnsi="arial" w:cs="arial"/>
          <w:color w:val="000000"/>
          <w:sz w:val="20"/>
          <w:lang w:val="en-US" w:eastAsia="en-US" w:bidi="ar-SA"/>
        </w:rPr>
        <w:t xml:space="preserve"> at para. 64: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"Head on" conflicts in the evidence that go to the core issue in the action will generally provide an impediment to disposition of an action by way of summary trial, especially where findings of credibility are a central issue in the dispute. [Case references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However, as the court stated in </w:t>
      </w:r>
      <w:r>
        <w:rPr>
          <w:rFonts w:ascii="arial" w:eastAsia="arial" w:hAnsi="arial" w:cs="arial"/>
          <w:i/>
          <w:color w:val="000000"/>
          <w:sz w:val="20"/>
          <w:lang w:val="en-US" w:eastAsia="en-US" w:bidi="ar-SA"/>
        </w:rPr>
        <w:t>Kemp</w:t>
      </w:r>
      <w:r>
        <w:rPr>
          <w:rFonts w:ascii="arial" w:eastAsia="arial" w:hAnsi="arial" w:cs="arial"/>
          <w:color w:val="000000"/>
          <w:sz w:val="20"/>
          <w:lang w:val="en-US" w:eastAsia="en-US" w:bidi="ar-SA"/>
        </w:rPr>
        <w:t xml:space="preserve"> at para. 86: "... where one party asserts an absence of evidence on a key ingredient of the claim and the judge on summary trial agrees, the issue may well be amenable to adjudication in this manner, despite the opposing party voicing its disagreement as to the meaning or significance of the presence or absence of such evidence. In such instances, it may not properly be said that there is a clear conflict in the evidence going to a core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Hearsay evidence is admissible on a Rule 9-7 application for the limited purpose of determining whether the matter is suitable for disposition by summary trial: </w:t>
      </w:r>
      <w:r>
        <w:rPr>
          <w:rFonts w:ascii="arial" w:eastAsia="arial" w:hAnsi="arial" w:cs="arial"/>
          <w:i/>
          <w:color w:val="000000"/>
          <w:sz w:val="20"/>
          <w:lang w:val="en-US" w:eastAsia="en-US" w:bidi="ar-SA"/>
        </w:rPr>
        <w:t>Calder v. King</w:t>
      </w:r>
      <w:r>
        <w:rPr>
          <w:rFonts w:ascii="arial" w:eastAsia="arial" w:hAnsi="arial" w:cs="arial"/>
          <w:color w:val="000000"/>
          <w:sz w:val="20"/>
          <w:lang w:val="en-US" w:eastAsia="en-US" w:bidi="ar-SA"/>
        </w:rPr>
        <w:t xml:space="preserve">, </w:t>
      </w:r>
      <w:hyperlink r:id="rId654" w:history="1">
        <w:r>
          <w:rPr>
            <w:rFonts w:ascii="arial" w:eastAsia="arial" w:hAnsi="arial" w:cs="arial"/>
            <w:i/>
            <w:color w:val="0077CC"/>
            <w:sz w:val="20"/>
            <w:u w:val="single"/>
            <w:shd w:val="clear" w:color="auto" w:fill="FFFFFF"/>
            <w:lang w:val="en-US" w:eastAsia="en-US" w:bidi="ar-SA"/>
          </w:rPr>
          <w:t>1994 CarswellBC 214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POSITIONS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 of Mr. Sandli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Sandli says the issues in the action and the counterclaim are discrete, and do not overlap. The issue in the main action, which requires a conventional trial is whether Ms. Bradshaw was the driver of the vehicle that struck Mr. Gibson, as alleged by ICBC. The issue in ICBC's counterclaim against Mr. Sandli is whether he knew that Ms. Bradshaw was the driver and failed to disclose that information to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Sandli says that before the collision he had turned right from 104 Avenue into a lane that provides access to his house. He says he did not witness the accident and has never said that it was a hit-and-run.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his affidavit sworn June 25, 2015 in support of this application, Mr. Sandli deposed he did not see nor was involved in the accident; that he had been riding ahead of Mr. Gibson, got about a block ahead, by which time when he looked back, he could no longer see the plaintiff. When he went back to the scene of the accident, he observed the plaintiff off his motorcycle lying at the side of the road. Mr. Sandli denied any knowledge of the identity of the driver or owner of the motor vehicle that collided with Mr. Gibson and swore that he has not met with Mr. Gibson to discuss the case since the plaintiff issued his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Ms. Bradshaw does not say in her affidavit Mr. Sandli was present when the accident happened. On her examination for discovery, Ms. Bradshaw did not remember the name of the motorcyclist she says she rear-ended until the name was provided to her by a representative of ICBC. She initially named Ms. Coleman as her passenger but later accepted that Ms. Izatt was her passenger. As the Court of Appeal observed in </w:t>
      </w:r>
      <w:r>
        <w:rPr>
          <w:rFonts w:ascii="arial" w:eastAsia="arial" w:hAnsi="arial" w:cs="arial"/>
          <w:i/>
          <w:color w:val="000000"/>
          <w:sz w:val="20"/>
          <w:lang w:val="en-US" w:eastAsia="en-US" w:bidi="ar-SA"/>
        </w:rPr>
        <w:t>Gibson v. ICBC</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2013 BCCA 557</w:t>
        </w:r>
      </w:hyperlink>
      <w:r>
        <w:rPr>
          <w:rFonts w:ascii="arial" w:eastAsia="arial" w:hAnsi="arial" w:cs="arial"/>
          <w:color w:val="000000"/>
          <w:sz w:val="20"/>
          <w:lang w:val="en-US" w:eastAsia="en-US" w:bidi="ar-SA"/>
        </w:rPr>
        <w:t xml:space="preserve"> at para.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Contrary to what she swore in her affidavit, Ms. Bradshaw agreed in cross-examination that the motorcyclist could have been somebody other than the person identified to her as Pete (of which name she apparently has no independent recollection). She even agreed that the incident she described could have been completely separate from the one that, as the questioner put it 'brings us to court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ICBC has not obtained an affidavit from Ms. Izatt and was unable to locate her before the hearing of the summary trial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Sandli submits that while there is a head-on conflict between the affidavits of Ms. Bradshaw and Mr. Gibson concerning the identity of the driver who struck the plaintiff, there are no conflicts in the affidavit evidence relating to Mr. Sandli's knowledge, or lack of knowledge, of the accident or his alleged misrepresentation. Mr. Sandli says his evidence that he knew nothing of the hit-and-run is not contradicted by any affidavit. He says that in the absence of any admissible contrary evidence, his undisputed evidence is sufficient to enable the Court to find the facts necessary to decide the issues of fact and law raised in ICBC's counterclaim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Sandli says that he is impecunious, that he will not have counsel if this case proceeds to a conventional trial, and that most of the time required for the conventional trial will be devoted to the trial of Mr. Gibson's claim and the identity of the driver. He submits that in these circumstances, summary trial provides a just and fair means of adjudicating ICBC's counterclaim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On the merits, Mr. Sandli submits that in order for ICBC to establish fraudulent misrepresentation by omission or half-truth, ICBC must adduce evidence that he, with the intention to deceive the Corporation, suppressed material facts and restricted his statements to the Corporation to information calculated to assist Mr. Gibson in obtaining insurance benefits to which he was not entitled: see </w:t>
      </w:r>
      <w:r>
        <w:rPr>
          <w:rFonts w:ascii="arial" w:eastAsia="arial" w:hAnsi="arial" w:cs="arial"/>
          <w:i/>
          <w:color w:val="000000"/>
          <w:sz w:val="20"/>
          <w:lang w:val="en-US" w:eastAsia="en-US" w:bidi="ar-SA"/>
        </w:rPr>
        <w:t>Freeman v. Perlman</w:t>
      </w:r>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1999 BCCA 40</w:t>
        </w:r>
      </w:hyperlink>
      <w:r>
        <w:rPr>
          <w:rFonts w:ascii="arial" w:eastAsia="arial" w:hAnsi="arial" w:cs="arial"/>
          <w:color w:val="000000"/>
          <w:sz w:val="20"/>
          <w:lang w:val="en-US" w:eastAsia="en-US" w:bidi="ar-SA"/>
        </w:rPr>
        <w:t xml:space="preserve"> at paras. 10-13 where the Court applied the </w:t>
      </w:r>
      <w:r>
        <w:rPr>
          <w:rFonts w:ascii="arial" w:eastAsia="arial" w:hAnsi="arial" w:cs="arial"/>
          <w:i/>
          <w:color w:val="000000"/>
          <w:sz w:val="20"/>
          <w:lang w:val="en-US" w:eastAsia="en-US" w:bidi="ar-SA"/>
        </w:rPr>
        <w:t>dictum</w:t>
      </w:r>
      <w:r>
        <w:rPr>
          <w:rFonts w:ascii="arial" w:eastAsia="arial" w:hAnsi="arial" w:cs="arial"/>
          <w:color w:val="000000"/>
          <w:sz w:val="20"/>
          <w:lang w:val="en-US" w:eastAsia="en-US" w:bidi="ar-SA"/>
        </w:rPr>
        <w:t xml:space="preserve"> of Chambre J. in </w:t>
      </w:r>
      <w:r>
        <w:rPr>
          <w:rFonts w:ascii="arial" w:eastAsia="arial" w:hAnsi="arial" w:cs="arial"/>
          <w:i/>
          <w:color w:val="000000"/>
          <w:sz w:val="20"/>
          <w:lang w:val="en-US" w:eastAsia="en-US" w:bidi="ar-SA"/>
        </w:rPr>
        <w:t>Tapp v. Lee</w:t>
      </w:r>
      <w:r>
        <w:rPr>
          <w:rFonts w:ascii="arial" w:eastAsia="arial" w:hAnsi="arial" w:cs="arial"/>
          <w:color w:val="000000"/>
          <w:sz w:val="20"/>
          <w:lang w:val="en-US" w:eastAsia="en-US" w:bidi="ar-SA"/>
        </w:rPr>
        <w:t xml:space="preserve"> (1803), 3 Bos. &amp; P. 367, 127 E.R. 200 at 203: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Fraud may consist as well in the suppression of what is true, as in the representation of what is false. If a man, professing to answer a question, select those facts only which are likely to give a credit to the person of whom he speaks, and keep back the rest, he is a more artful naive than he tells a direct falsehood.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Sandli says that because he did not witness the accident, he has no knowledge of the identity of the driver who struck Mr. Gibson, and has not withheld any material information within his knowledge in his statements to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Mr. Sandli submits that ICBC has failed to adduce any affidavit evidence establishing that he did any act in furtherance of the alleged conspiracy to defraud the Corporation. The defendant by counterclaim says that ICBC was obliged to marshal its evidence in response to Mr. Sandli's summary trial application and that ICBC is "not entitled to sit back and rely on the possibility that more favourable facts may develop at trial": </w:t>
      </w:r>
      <w:r>
        <w:rPr>
          <w:rFonts w:ascii="arial" w:eastAsia="arial" w:hAnsi="arial" w:cs="arial"/>
          <w:i/>
          <w:color w:val="000000"/>
          <w:sz w:val="20"/>
          <w:lang w:val="en-US" w:eastAsia="en-US" w:bidi="ar-SA"/>
        </w:rPr>
        <w:t>Combined Air Mechanical Services Inc. v. Flesch</w:t>
      </w:r>
      <w:r>
        <w:rPr>
          <w:rFonts w:ascii="arial" w:eastAsia="arial" w:hAnsi="arial" w:cs="arial"/>
          <w:color w:val="000000"/>
          <w:sz w:val="20"/>
          <w:lang w:val="en-US" w:eastAsia="en-US" w:bidi="ar-SA"/>
        </w:rPr>
        <w:t xml:space="preserve">, </w:t>
      </w:r>
      <w:hyperlink r:id="rId656" w:history="1">
        <w:r>
          <w:rPr>
            <w:rFonts w:ascii="arial" w:eastAsia="arial" w:hAnsi="arial" w:cs="arial"/>
            <w:i/>
            <w:color w:val="0077CC"/>
            <w:sz w:val="20"/>
            <w:u w:val="single"/>
            <w:shd w:val="clear" w:color="auto" w:fill="FFFFFF"/>
            <w:lang w:val="en-US" w:eastAsia="en-US" w:bidi="ar-SA"/>
          </w:rPr>
          <w:t>2011 ONCA 764</w:t>
        </w:r>
      </w:hyperlink>
      <w:r>
        <w:rPr>
          <w:rFonts w:ascii="arial" w:eastAsia="arial" w:hAnsi="arial" w:cs="arial"/>
          <w:color w:val="000000"/>
          <w:sz w:val="20"/>
          <w:lang w:val="en-US" w:eastAsia="en-US" w:bidi="ar-SA"/>
        </w:rPr>
        <w:t xml:space="preserve"> at para.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her statement, Ms. Izatt confirms that Mr. Sandli had turned off 104 Street before Ms. Bradshaw's vehicle struck the rear of Mr. Gibson's motorcycle. While Ms. Izatt states that after the collision she and Ms. Bradshaw went to Mr. Sandli's home, she does not say that she told Mr. Sandli about Ms. Bradshaw rear-ending the plaintiff. Mr. Sandli submits that although Ms. Izatt spent the night at his residence and he drove her to work the following morning, there is no evidence Ms. Izatt told him how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Sandli says eight years have now passed since Ms. Izatt gave her statement to ICBC and that there is no reasonable expectation that she will be available to testify at the conventional trial of this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 of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ICBC says Ms. Izatt's statement renders this matter unsuitable for determination by summary trial and contends Mr. Sandli's knowledge and involvement will be a live issue to be tested in cross-examination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By its counterclaim, ICBC pleads:</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ICBC says that as from the time of the Accident up to and including the present, Mr. Gibson and Mr. Sandli, and each of them, wrongfully and maliciously conspired together to defraud and injure ICBC by combining at different times for the purpose of assisting and encouraging Mr. Gibson in making fraudulent insurance claims as against ICBC in respect of claims for damage to or loss of property and in respect of claims for benefits pursuant to a contract of insurance with ICBC and/or pursuant to the </w:t>
      </w:r>
      <w:r>
        <w:rPr>
          <w:rFonts w:ascii="arial" w:eastAsia="arial" w:hAnsi="arial" w:cs="arial"/>
          <w:i/>
          <w:color w:val="000000"/>
          <w:sz w:val="20"/>
          <w:lang w:val="en-US" w:eastAsia="en-US" w:bidi="ar-SA"/>
        </w:rPr>
        <w:t>IMVA</w:t>
      </w:r>
      <w:r>
        <w:rPr>
          <w:rFonts w:ascii="arial" w:eastAsia="arial" w:hAnsi="arial" w:cs="arial"/>
          <w:color w:val="000000"/>
          <w:sz w:val="20"/>
          <w:lang w:val="en-US" w:eastAsia="en-US" w:bidi="ar-SA"/>
        </w:rPr>
        <w:t xml:space="preserve"> and the Regulations thereto.</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ICBC says that Mr. Gibson and Mr. Sandli, and each of them, fraudulently and deceitfully conspired and agreed together to cheat and defraud ICBC and to hoodwink and deceive ICBC, and ICBC's employees and agents, to obtain payments and benefits from ICBC, which were not properly owing by ICBC to Mr. Gibson.</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ICBC says that following the Accident, Mr. Gibson and Mr. Sandli made various representations to ICBC, which were made either expressly and/or by way of material omissions, as follows:</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May 24, 2002, Mr. Gibson represented orally to ICBC that: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 was a hit and run accident;</w:t>
      </w:r>
    </w:p>
    <w:p>
      <w:pPr>
        <w:numPr>
          <w:numId w:val="1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unable to obtain the licence plate number of the other vehicle;</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other motorist in the accident fled the scene.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June 13, 2002, Mr. Sandli represented orally to ICBC that:</w:t>
      </w:r>
    </w:p>
    <w:p>
      <w:pPr>
        <w:numPr>
          <w:numId w:val="1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out with Mr. Gibson on the night in question and did not have any information about the vehicle that hit Mr. Gibson.</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3, 2003, Mr. Sandli represented orally to ICBC that:</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23, 2004, he had been out riding motorcycles with Mr. Gibson and Kerry Singh, and there was no mention made of any other parties.</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June 21, 2007, Mr. Sandli represented to ICBC that:</w:t>
      </w:r>
    </w:p>
    <w:p>
      <w:pPr>
        <w:numPr>
          <w:numId w:val="2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out with Mr. Gibson on the night in question and did not have any information about the vehicle that hit Mr. Gibson.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At paragraph 19 of the counterclaim, ICBC pleads that Mr. Gibson and Mr. Sandli knew the other driver involved was Ms. Bradshaw and that after the accident, Mr. Gibson told Ms. Bradshaw to leave the scene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ICBC maintains that Mr. Sandli gave false statements when he denied there were any witnesses to the accident. The Corporation says Mr. Bradshaw and Ms. Izatt were following him to his house. At trial, ICBC will invite the court to draw an inference that Mr. Sandli knew how the accident occurred. If Ms. Bradshaw and Ms. Izatt followed Mr. Sandli to his home, they must have seen the accident. ICBC says the Court ought not to make any findings on the summary trial on issues that will be contested at trial. Counsel for ICBC says he hopes to have Ms. Izatt under subpoena to testify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Izatt's statement to Constable Smith in July 2007 is admissible on the issue of suitability. She described spending time in the bar with "Zoltan", "Pete" and others, and says that she was a passenger in Ms. Bradshaw's vehicle following Pete and Zoltan to Zoltan's house. She spent the night there and Zoltan drove her to work the next morning. ICBC will ask the Court to draw an inference that Mr. Sandli must have known how the accident occurred, but says that is a matter to be determined by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his statement to Constable Smith at tab 17, Mr. Sandli was asked if there were any witnesses and answered in the negative. At page 9, he was asked again and responded "No, there was nobody there." ICBC says that Ms. Bradshaw and Ms. Izatt who were following the motorcyclists, must have witnessed the accident, and went to Mr. Sandli's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Sandli professed to have no knowledge about anyone following him on his way to his home, other than Mr. Gibson. He denied picking up any girls at the Sandpiper Pub and denied that he was hiding anything or protecting anybody.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0895625 B.C. Ltd. v. Ascent Developments Corp.</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2014 BCSC 1722</w:t>
        </w:r>
      </w:hyperlink>
      <w:r>
        <w:rPr>
          <w:rFonts w:ascii="arial" w:eastAsia="arial" w:hAnsi="arial" w:cs="arial"/>
          <w:color w:val="000000"/>
          <w:sz w:val="20"/>
          <w:lang w:val="en-US" w:eastAsia="en-US" w:bidi="ar-SA"/>
        </w:rPr>
        <w:t>, the court defined the elements of civil conspiracy at para.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elements of civil conspiracy are:</w:t>
      </w:r>
    </w:p>
    <w:p>
      <w:pPr>
        <w:numPr>
          <w:numId w:val="2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agreement between two or more persons;</w:t>
      </w:r>
    </w:p>
    <w:p>
      <w:pPr>
        <w:numPr>
          <w:numId w:val="2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Concerted action taken pursuant to the agreement;</w:t>
      </w:r>
    </w:p>
    <w:p>
      <w:pPr>
        <w:numPr>
          <w:numId w:val="2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conspirators:</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intended to cause damage to the plaintiff, if the action is lawful, or</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knew or ought to have known that their action would injure the plaintiff, if the action is unlawful; and</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Actual damage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term "agreement" is not used in the sense of a binding contract but rather in the sense of a joint plan or common design: </w:t>
      </w:r>
      <w:r>
        <w:rPr>
          <w:rFonts w:ascii="arial" w:eastAsia="arial" w:hAnsi="arial" w:cs="arial"/>
          <w:i/>
          <w:color w:val="000000"/>
          <w:sz w:val="20"/>
          <w:lang w:val="en-US" w:eastAsia="en-US" w:bidi="ar-SA"/>
        </w:rPr>
        <w:t>Ascent Developments Corp.</w:t>
      </w:r>
      <w:r>
        <w:rPr>
          <w:rFonts w:ascii="arial" w:eastAsia="arial" w:hAnsi="arial" w:cs="arial"/>
          <w:color w:val="000000"/>
          <w:sz w:val="20"/>
          <w:lang w:val="en-US" w:eastAsia="en-US" w:bidi="ar-SA"/>
        </w:rPr>
        <w:t xml:space="preserve"> at para. 24; </w:t>
      </w:r>
      <w:r>
        <w:rPr>
          <w:rFonts w:ascii="arial" w:eastAsia="arial" w:hAnsi="arial" w:cs="arial"/>
          <w:i/>
          <w:color w:val="000000"/>
          <w:sz w:val="20"/>
          <w:lang w:val="en-US" w:eastAsia="en-US" w:bidi="ar-SA"/>
        </w:rPr>
        <w:t>Nicholls v. Richmond (Municipal Corporation)</w:t>
      </w:r>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[1984] 3 W.W.R. 719</w:t>
        </w:r>
      </w:hyperlink>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52 B.C.L.R. 302</w:t>
        </w:r>
      </w:hyperlink>
      <w:r>
        <w:rPr>
          <w:rFonts w:ascii="arial" w:eastAsia="arial" w:hAnsi="arial" w:cs="arial"/>
          <w:color w:val="000000"/>
          <w:sz w:val="20"/>
          <w:lang w:val="en-US" w:eastAsia="en-US" w:bidi="ar-SA"/>
        </w:rPr>
        <w:t xml:space="preserve"> (S.C.), at 312.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ICBC says Mr. Gibson and Mr. Sandli agreed and acted in concert to provide a false story, or agreed to withhold material facts in order to obtain insurance coverage for the plaintiff. The Corporation maintains that by providing false statements Mr. Gibson and Mr. Sandli acted unlawfully, and knew or ought to have known they would cause damage to ICBC including, but not limited to the payment of Part 7 benefits, legal fees and an inability to attempt to recover any recoverable costs from the party actually responsible for the accident. The Corporation claims that it suffered damages as a result of the conspiracy in the amount of $194,326.80 for legal fees and disbursements it has incurred, and for benefits paid to Mr. Gibson.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ICBC submits that a conspiracy to defraud is usually to be inferred from behaviour: see </w:t>
      </w:r>
      <w:r>
        <w:rPr>
          <w:rFonts w:ascii="arial" w:eastAsia="arial" w:hAnsi="arial" w:cs="arial"/>
          <w:i/>
          <w:color w:val="000000"/>
          <w:sz w:val="20"/>
          <w:lang w:val="en-US" w:eastAsia="en-US" w:bidi="ar-SA"/>
        </w:rPr>
        <w:t>Encorp Pacific (Canada) v. Rocky Mountain Return Centre Ltd.</w:t>
      </w:r>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2005 BCSC 1700</w:t>
        </w:r>
      </w:hyperlink>
      <w:r>
        <w:rPr>
          <w:rFonts w:ascii="arial" w:eastAsia="arial" w:hAnsi="arial" w:cs="arial"/>
          <w:color w:val="000000"/>
          <w:sz w:val="20"/>
          <w:lang w:val="en-US" w:eastAsia="en-US" w:bidi="ar-SA"/>
        </w:rPr>
        <w:t xml:space="preserve"> at para. 36. The Corporation says that cross-examination and a conventional trial are necessary to fully canvass and test the evidence from which the court will be invited to draw inferences concerning Mr. Sandli's participation in the alleged conspiracy to defraud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Suitability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There are significant inconsistencies between the evidence of Mr. Sandli and Mr. Gibson concerning their activities at the Sandpiper Pub and whether Mr. Sandli invited girls back to his house. Those contradictions go to the core of the issue of whether Mr. Sandli knew Ms. Bradshaw and Ms. Izatt were following him and Mr. Gibson; that Ms. Bradshaw was the driver of the vehicle that struck Mr. Gibson; and that Ms. Izatt was a witness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On his examination for discovery, Mr. Gibson gave evidence that he, Mr. Sandli and another friend, Mr. Kerry Singh were out riding motorcycles on May 24, 2012. Mr. Gibson testified that they stopped at the Sandpiper Pub in White Rock, where Mr. Singh's girlfriend, Leanne Coleman was the karaoke singer. Mr. Gibson also testified that Denise Izatt, who he knew to be a friend of Ms. Coleman's, was also present. He recalled there was "a whole bunch" of people at the table and remembered that some people were going to go back to Mr. Sandli's house to play pool.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At questions 205 to 209 of his examination for discovery, Mr. Gibson gave the following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205</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 How did you get the drift that they were going to Zoltan's place to play pool? What do you remember? What brought that to your attention?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some people, I think Zolly said let's go to my place and play pool or something. And I just said, I think I'm going to go home. Kerry said I'm going home too.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627"/>
        <w:gridCol w:w="773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206</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57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 Some of the girls said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 imagine. I mean I don't know. Never said yes to me. It was not my place. I never invited anybody.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627"/>
        <w:gridCol w:w="773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207</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57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 But you got the drift that people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had the drift there was going to be some people. There was like guys, girls at the table. I don't know if he invited all of them or some of them or any of them, like, you know, he must have invited somebody.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627"/>
        <w:gridCol w:w="773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208</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57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 And Zoltan, he is a single guy at this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believe so.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209 Q So he is a guy that was interested in meeting females as far as you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would hope so.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On his examination for discovery, Mr. Sandli gave evidence that although he had known Kerry Singh for 20 years, he was unaware Leanne Coleman was his girlfriend and had not heard her name before the day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Sandli testified that he had no recollection of hanging out with a group of girls at the Sandpiper Pub. At questions 60 to 64, he gave the following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627"/>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 You don't recall a group of girls being there?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Actually, no. I don't.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 So you have no recollection of hanging out with a group of girls at the Sandpiper?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was quite a few people there so I don't recall who I hung -- personally hung out with, 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627"/>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62</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 Do you recall a Denise being there?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don't.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627"/>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63</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 Do you recall a Heather being there?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627"/>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64</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 And do you recall Leanne being there?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don't. I don't know these people.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Sandli also denied inviting any girls back to his house, did not recall any girls following him, and did not remember either Mr. Gibson or Mr. Singh inviting any girls to his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When asked about Ms. Izatt's statement that she went to his house and spent the night and that he drove her work in the morning, Mr. Sandli testified that some people he did not know showed up at his house but he did not know them. He acknowledged that Denise Izatt might have been there and that he gave a girl a ride to work in the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Ms. Bradshaw was examined for discovery by counsel for the plaintiff. Ms. Bradshaw gave evidence that she, Leanne Coleman, Denise Izatt, Mr. Sandli, Mr. Singh, all shared a table at the Sandpiper Pub and that afterward, accompanied by Denise Izatt, she followed two motorcycles from White Rock to Surrey. She recalled bumping a motorcycle and the motorcyclist waving her on and telling her to "go, go, go". Ms. Bradshaw recalled going to a house with Ms. Izatt but claimed she did not know who owned the house. When asked if there was a party at the house, she responded "Not for very long. I don't remember how long we were there. We weren't there for very 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each of his three voluntary statements to ICBC, Mr. Sandli said that he had turned off 104 Street before the collision, and that when Mr. Gibson did not follow him to his home, he went back to the intersection at 104 Street where he found Mr. Gibson lying on the road, injured, at some distance from his motorcycle.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the statement Mr. Sandli gave to Mr. Doug Smith, a special constable with ICBC's special investigations unit, on March 3, 2003, Mr. Sandli was asked twice whether there were any witnesses to the collision. Both times he answered in the negative. Mr. Sandli was also asked if he remembered Mr. Gibson describing the type of vehicle that struck his motorcycle. At page 15 of his March 3, 2003 statement, he answered, "I just remember him saying that they hit him with the car was a flash as they bolted through, a Mustang or something like that, I think that's what he said I am not even 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Sandli was also asked and answered the following questions at line 20, page 24 to line 5, page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DS:</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 glass on the road you have no doubt that this is a hit and run where a vehicle had hit him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046"/>
        <w:gridCol w:w="773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ZS:</w:t>
            </w:r>
          </w:p>
        </w:tc>
        <w:tc>
          <w:tcPr>
            <w:tcW w:w="757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DS:</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Knocked him to the ground and left the scene of the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ZS:</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Without a doubt at all, without a doubt because I know that when a bike goes down in any which form or matter like it does not do that kind of a damage can't occur, it had to be a vehicle.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DS:</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Everything you are telling me here today is the truth.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046"/>
        <w:gridCol w:w="773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ZS:</w:t>
            </w:r>
          </w:p>
        </w:tc>
        <w:tc>
          <w:tcPr>
            <w:tcW w:w="757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it 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Sandli gave a second statement to Cst. Smith on June 21, 2007. When Cst. Smith told Mr. Sandli that ICBC had information he and Mr. Gibson had spent time at the Sandpiper Pub on the evening of the accident and met some people there, Mr. Sandli acknowledged that he might have been there. Later in his statement, he said he did not remember being at the Sandpiper Pub, explaining that after so many years it was hard to remember exactly where he was. He denied picking up any girls at the Sandpiper to bring black to his place and denied that he was hiding or protecting anybody.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Cst. Smith interviewed Denise Izatt on July 11, 2007. She said that she, her girlfriend Leanne, Heather, Pete, Zoltan and Kerry had been at the Sandpiper Pub earlier in the evening of the accident. She said that she, Heather, Zoltan and Pete and a few other people decided they all wanted to hang out together after the bar and so she and Heather followed Zoltan and Pete out to Zoltan's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At page 3 of her statement, Denise Izatt said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and um, Zoltan was in the lead and then Pete and then us behind Pete, and um as we were driving down the road an alley came up on the right hand side and Zoltan had turned and as Pete was turning Heather didn't see ... she was playing with her radio and she cl ... clipped the back of his vehicle or his motorcycle and he flew (laugh) and ah yeah and um he told us then just to leave cause he just wanted to save our asses, so we left and went to Zoltan's, which is only a few doors down, and parked the car on the side of the road um and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046"/>
        <w:gridCol w:w="773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DS:</w:t>
            </w:r>
          </w:p>
        </w:tc>
        <w:tc>
          <w:tcPr>
            <w:tcW w:w="757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front of the house.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in front of the house, yeah. An um we stayed there most of the night, and I guess Pete had taken off to the hospital or her ... someone had called for him to go to the hospital, so and that that was pretty much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DS:</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guys went to Zoltan's after to party for the rest of the evening.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046"/>
        <w:gridCol w:w="773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w:t>
            </w:r>
          </w:p>
        </w:tc>
        <w:tc>
          <w:tcPr>
            <w:tcW w:w="757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Izatt did not have an entirely clear recollection of the accident. She said she and Ms. Bradshaw did not know Mr. Gibson was turning off 104 Street and that they just kept going straight, without slowing down. She estimated the speed of Ms. Bradshaw's vehicle about 60 to 65 kilometers per hour. She recalled the front end of the car striking the back of the bike. Ms. Izatt did not remember how the car ended up in front of Mr. Sandli's house. She recalled that after the accident Mr. Gibson told them to "get out of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Izatt said Mr. Gibson told them to "get out of here" and that he was "saving our asses" because Heather had been drinking. She said she had been drinking too but thought she could still remember pretty clearly what had happened five years before. She thought Zoltan had come back to the scene of the accident, and that he was the one who had called the ambulance. Ms. Izatt also said she and Ms. Bradshaw went to Zoltan's house after the accident and that Ms. Bradshaw was "freaked out" and did not want to drive anywhere because she had just had an accident. At page 15 of her statement, Ms. Izatt said that "... either Heather took off or whatever or I don't know, and um yeah, and I called Leanne to come get me, she wouldn't cause she was I guess drinking or whatever, so I stayed at Zoltan's and he drove me to work in the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On September 21, 2010, Mr. Doug Thomson, an adjuster for ICBC attempted to take another statement from Ms. Izatt. She refused to provide a written statement, said she had consumed a lot of alcohol the night of the accident, had no idea what happened and could not recall what she had told the ICBC investigator earlier. Ms. Izatt also stated that she had a crystal meth addiction and could not distinguish reality from truth. When Mr. Thomson attempted to follow up with her a few days later, she indicated, in no uncertain terms, that she was not prepared to cooperate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After Mr. Sandli filed his summary trial application in June 2015, counsel for ICBC attempted to locate Ms. Izatt and obtain her sworn evidence. ICBC was unable to do so before the hearing of this application. Counsel has advised that ICBC is attempting to locate Ms. Izatt and to secure her attendance at the conventional trial by subpoena. In my view, this is not a case where a party opposing a Rule 9-7 application has failed to take reasonable steps to marshal its evidence as best it can in answer to summary trial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Credibility will be a critical factor on the trial of both the main action and ICBC's counterclaim. With respect to ICBC's counterclaim against Mr. Sandli, resolution of inconsistencies between the evidence of Mr. Sandli, Ms. Bradshaw and Mr. Gibson, and between the evidence of Mr. Sandli and Ms. Izatt, if she is located, will require cross-examination and a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trial. Without cross-examination, I am not in a position to satisfactorily resolve all of the conflicts in the evidence or to find the facts necessary to decide all of the issues of fact and law raised in ICBC's counterclaim against Mr. Sandli.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ICBC's claim against Mr. Sandli, insofar it is based upon the commission of fraud by "incomplete disclosure" (see: </w:t>
      </w:r>
      <w:r>
        <w:rPr>
          <w:rFonts w:ascii="arial" w:eastAsia="arial" w:hAnsi="arial" w:cs="arial"/>
          <w:i/>
          <w:color w:val="000000"/>
          <w:sz w:val="20"/>
          <w:lang w:val="en-US" w:eastAsia="en-US" w:bidi="ar-SA"/>
        </w:rPr>
        <w:t>ICBC v. Phung</w:t>
      </w:r>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2003 BCSC 1281</w:t>
        </w:r>
      </w:hyperlink>
      <w:r>
        <w:rPr>
          <w:rFonts w:ascii="arial" w:eastAsia="arial" w:hAnsi="arial" w:cs="arial"/>
          <w:color w:val="000000"/>
          <w:sz w:val="20"/>
          <w:lang w:val="en-US" w:eastAsia="en-US" w:bidi="ar-SA"/>
        </w:rPr>
        <w:t>), involves some complexity.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Curving out and deciding the fraud and conspiracy claim against Mr. Sandli would involve litigating in slices, and raises the spectre of inconsistent findings of fact by the summary trial judge and the judge hearing the conventional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If Mr. Sandli succeeded on a summary trial, he would be spared the cost and time of attending the liability trial as a party. However, a summary trial is unlikely to significantly reduce the length of the conventional trial and will not result in a final resolution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recognize there may be some prejudice to Mr. Sandli by further delay until the conventional trial of this proceeding in January, 2017. Memories may continue to fade with the passage of time. However, that is a factor affecting all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amount involved in the counterclaim -- approximately $194,000 -- is significant for all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Taking all of these factors into account, I do not consider this matter to be suitable for determination under Rule 9-7. Proceeding by summary trial is unlikely to assist the efficient resolution of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Accordingly, Mr. Sandli's summary trial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P.J. PEARLMAN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6" style="position:absolute;z-index:2518876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61"/>
          <w:headerReference w:type="default" r:id="rId662"/>
          <w:footerReference w:type="even" r:id="rId663"/>
          <w:footerReference w:type="default" r:id="rId664"/>
          <w:headerReference w:type="first" r:id="rId665"/>
          <w:footerReference w:type="first" r:id="rId66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67" w:history="1">
        <w:r>
          <w:rPr>
            <w:rFonts w:ascii="arial" w:eastAsia="arial" w:hAnsi="arial" w:cs="arial"/>
            <w:b/>
            <w:bCs/>
            <w:i/>
            <w:color w:val="0077CC"/>
            <w:kern w:val="32"/>
            <w:sz w:val="28"/>
            <w:szCs w:val="32"/>
            <w:u w:val="single"/>
            <w:shd w:val="clear" w:color="auto" w:fill="FFFFFF"/>
            <w:lang w:val="en-US" w:eastAsia="en-US" w:bidi="ar-SA"/>
          </w:rPr>
          <w:t>Henry v. British Columbia, [2014] B.C.J. No. 1132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C.E. Hinkson C.J.S.C.</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7,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6,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S114405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1132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1018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241 A.C.W.S. (3d) 291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60 C.P.C. (7th) 202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66 B.C.L.R. (5th) 201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CarswellBC 1601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Ivan William Mervin Henry, Plaintiff, and Her Majesty the Queen in Right of the Province of British Columbia, as represented by the Attorney General of British Columbia, City of Vancouver, William Harkema, Marilyn Sims, Bruce Campbell and the Attorney General of Canada,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7"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4" w:name="Keywords_37"/>
      <w:bookmarkEnd w:id="254"/>
      <w:r>
        <w:rPr>
          <w:rFonts w:ascii="arial" w:eastAsia="arial" w:hAnsi="arial" w:cs="arial"/>
          <w:b/>
          <w:color w:val="000000"/>
          <w:sz w:val="20"/>
          <w:lang w:val="en-US" w:eastAsia="en-US" w:bidi="ar-SA"/>
        </w:rPr>
        <w:t>Municipal law — Powers of municipality — Services and utilities — Types — Police — Application by plaintiff for amended list of documents from City of Vancouver listing documents in possession or control of Vancouver Police Department dismissed — Plaintiff was convicted of sexual offences and spent 27 years in prison before convictions were quashed — He claimed against City based on activities of VPD — Legislature's insulation of VPD from City's influence resulted in City lacking possession, control or power over VPD records.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Municipal law — Actions by and against — Actions against municipality — Discovery — Documents — Application by plaintiff for amended list of documents from City of Vancouver listing documents in possession or control of Vancouver Police Department dismissed — Plaintiff was convicted of sexual offences and spent 27 years in prison before convictions were quashed — He claimed against City based on activities of VPD — Legislature's insulation of VPD from City's influence resulted in City lacking possession, control or power over VPD records.</w:t>
      </w:r>
    </w:p>
    <w:p>
      <w:pPr>
        <w:jc w:val="both"/>
        <w:rPr>
          <w:rFonts w:ascii="arial" w:eastAsia="arial" w:hAnsi="arial" w:cs="arial"/>
          <w:sz w:val="20"/>
          <w:lang w:val="en-US" w:eastAsia="en-US" w:bidi="ar-SA"/>
        </w:rPr>
      </w:pPr>
      <w:bookmarkStart w:id="255" w:name="Legislation Cited_25"/>
      <w:bookmarkEnd w:id="25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8"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R.S.C. 1985, App. II, No. 44, Schedule B, s. 7, s. 10, s. 11(d)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Freedom of Information and Protection of Privacy Act, </w:t>
      </w:r>
      <w:r>
        <w:rPr>
          <w:rFonts w:ascii="arial" w:eastAsia="arial" w:hAnsi="arial" w:cs="arial"/>
          <w:i/>
          <w:color w:val="000000"/>
          <w:sz w:val="20"/>
          <w:lang w:val="en-US" w:eastAsia="en-US" w:bidi="ar-SA"/>
        </w:rPr>
        <w:t>RSBC 1996, CHAPTER 165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Police Act, </w:t>
      </w:r>
      <w:hyperlink r:id="rId668" w:history="1">
        <w:r>
          <w:rPr>
            <w:rFonts w:ascii="arial" w:eastAsia="arial" w:hAnsi="arial" w:cs="arial"/>
            <w:i/>
            <w:color w:val="0077CC"/>
            <w:sz w:val="20"/>
            <w:u w:val="single"/>
            <w:shd w:val="clear" w:color="auto" w:fill="FFFFFF"/>
            <w:lang w:val="en-US" w:eastAsia="en-US" w:bidi="ar-SA"/>
          </w:rPr>
          <w:t>R.S.A. 2000, c. P-17, s. 39</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Police Act, </w:t>
      </w:r>
      <w:hyperlink r:id="rId669" w:history="1">
        <w:r>
          <w:rPr>
            <w:rFonts w:ascii="arial" w:eastAsia="arial" w:hAnsi="arial" w:cs="arial"/>
            <w:i/>
            <w:color w:val="0077CC"/>
            <w:sz w:val="20"/>
            <w:u w:val="single"/>
            <w:shd w:val="clear" w:color="auto" w:fill="FFFFFF"/>
            <w:lang w:val="en-US" w:eastAsia="en-US" w:bidi="ar-SA"/>
          </w:rPr>
          <w:t>RSBC 1996, CHAPTER 367, s. 15</w:t>
        </w:r>
      </w:hyperlink>
      <w:r>
        <w:rPr>
          <w:rFonts w:ascii="arial" w:eastAsia="arial" w:hAnsi="arial" w:cs="arial"/>
          <w:color w:val="000000"/>
          <w:sz w:val="20"/>
          <w:lang w:val="en-US" w:eastAsia="en-US" w:bidi="ar-SA"/>
        </w:rPr>
        <w:t>, s. 20, s.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7-1</w:t>
      </w:r>
      <w:r>
        <w:rPr>
          <w:rFonts w:ascii="arial" w:eastAsia="arial" w:hAnsi="arial" w:cs="arial"/>
          <w:color w:val="000000"/>
          <w:sz w:val="20"/>
          <w:lang w:val="en-US" w:eastAsia="en-US" w:bidi="ar-SA"/>
        </w:rPr>
        <w:t>(1), Rule 7-1(8), Rule 7-1(10), Rule 7-1(11), Rule 7-1(13)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Vancouver Charter, </w:t>
      </w:r>
      <w:r>
        <w:rPr>
          <w:rFonts w:ascii="arial" w:eastAsia="arial" w:hAnsi="arial" w:cs="arial"/>
          <w:i/>
          <w:color w:val="000000"/>
          <w:sz w:val="20"/>
          <w:lang w:val="en-US" w:eastAsia="en-US" w:bidi="ar-SA"/>
        </w:rPr>
        <w:t>S.B.C. 1953, c. 55</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6" w:name="Counsel_38"/>
      <w:bookmarkEnd w:id="25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9" style="position:absolute;z-index:251800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A.C. Ward, M.E. Sandford.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City of Vancouver Sims, and Harkema: K.F.W. Liang, B. Quayle.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British Columbia (A.G.): E.W. (Heidi) Hughes.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Canada (A.G.): S.G. Pereira.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interested party, Vancouver Police Department and Chief Constable: D.Z. Hurwitz.</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7" w:name="Judgment_38"/>
      <w:bookmarkEnd w:id="257"/>
      <w:r>
        <w:pict>
          <v:line id="_x0000_s1210" style="position:absolute;z-index:2518507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8" w:name="C.E. HINKSON C.J.S.C."/>
            <w:bookmarkEnd w:id="258"/>
            <w:r>
              <w:rPr>
                <w:rFonts w:ascii="arial" w:eastAsia="arial" w:hAnsi="arial" w:cs="arial"/>
                <w:b/>
                <w:color w:val="000000"/>
                <w:sz w:val="30"/>
                <w:lang w:val="en-US" w:eastAsia="en-US" w:bidi="ar-SA"/>
              </w:rPr>
              <w:t>C.E. HINKSON C.J.S.C.</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1983 the plaintiff was convicted of ten counts of sexual offences and sentenced to an indefinite period of incarceration. On October 27, 2010, the Court of Appeal quashed the convictions and entered acquittals on all counts: </w:t>
      </w:r>
      <w:hyperlink r:id="rId670" w:history="1">
        <w:r>
          <w:rPr>
            <w:rFonts w:ascii="arial" w:eastAsia="arial" w:hAnsi="arial" w:cs="arial"/>
            <w:i/>
            <w:color w:val="0077CC"/>
            <w:sz w:val="20"/>
            <w:u w:val="single"/>
            <w:shd w:val="clear" w:color="auto" w:fill="FFFFFF"/>
            <w:lang w:val="en-US" w:eastAsia="en-US" w:bidi="ar-SA"/>
          </w:rPr>
          <w:t>2010 BCCA 462</w:t>
        </w:r>
      </w:hyperlink>
      <w:r>
        <w:rPr>
          <w:rFonts w:ascii="arial" w:eastAsia="arial" w:hAnsi="arial" w:cs="arial"/>
          <w:color w:val="000000"/>
          <w:sz w:val="20"/>
          <w:lang w:val="en-US" w:eastAsia="en-US" w:bidi="ar-SA"/>
        </w:rPr>
        <w:t>. In these proceedings he seeks damages for injuries allegedly suffered as a consequence of his conviction and subsequent imprisonment for some 27 years. He alleges that it was due to the wrongful acts and omissions of the defendants that he was charged, detained in custody, wrongfully convicted and imprisoned. The plaintiff claims damages for loss of liberty, pain and suffering, loss of enjoyment of life, subjugation to prison life and lost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claims can be summarized as claims against three separate sets of defendants. His claim against the City of Vancouver, William Harkema, and Marilyn Sims (collectively "the City") is centred on the activities of the Vancouver Police Department (the "VPD") and its investigation of a series of sexual assaults that took place in Vancouver between November 25, 1980 and June 8, 1982, which the plaintiff alleges was negligently performed. At those times, the individual defendants Harkema and Sims were members of the VPD.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further alleges that the City was negligent in failing to disclose to Crown counsel certain sexual assaults that took place subsequent to the plaintiff's arrest, as these assaults may have had some similarities in nature to those for which the plaintiff was charged. In addition, the plaintiff alleges that the City breached his rights under ss. 7, 10 and 11(d) of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Part I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xml:space="preserve">, being Schedule B to the </w:t>
      </w:r>
      <w:r>
        <w:rPr>
          <w:rFonts w:ascii="arial" w:eastAsia="arial" w:hAnsi="arial" w:cs="arial"/>
          <w:i/>
          <w:color w:val="000000"/>
          <w:sz w:val="20"/>
          <w:lang w:val="en-US" w:eastAsia="en-US" w:bidi="ar-SA"/>
        </w:rPr>
        <w:t>Canada Act 1982</w:t>
      </w:r>
      <w:r>
        <w:rPr>
          <w:rFonts w:ascii="arial" w:eastAsia="arial" w:hAnsi="arial" w:cs="arial"/>
          <w:color w:val="000000"/>
          <w:sz w:val="20"/>
          <w:lang w:val="en-US" w:eastAsia="en-US" w:bidi="ar-SA"/>
        </w:rPr>
        <w:t xml:space="preserve"> (U.K.), 1982, c. 11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claim against the Attorney General of Canada concerns that defendant's consideration of the plaintiff's applications for review of his convictions.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plaintiff's claims against Her Majesty the Queen in Right of the Province of British Columbia (the "Province") relate to the actions of Crown counsel through the course of trial and subsequent appeal processes which are alleged to have been negligent, undertaken maliciously and/or constitute a breach of the plaintiff's rights under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present application before me is for an order that, within a specified time period:</w:t>
      </w:r>
      <w:r>
        <w:rPr>
          <w:rFonts w:ascii="arial" w:eastAsia="arial" w:hAnsi="arial" w:cs="arial"/>
          <w:sz w:val="20"/>
          <w:lang w:val="en-US" w:eastAsia="en-US" w:bidi="ar-SA"/>
        </w:rPr>
        <w:cr/>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prepare and deliver to the plaintiff an amended list of documents listing all documents that are or have been in the possession or control of the VPD and that could, if available, be used by any party of record at trial to prove or disprove a material fact (the "VPD Records"); or, in the alternative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City produce an affidavit confirming that all of the VPD Records have been disclosed in accordance with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principle order sought tracks the wording of the requirements of Rule 7-1(1), which provides: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all parties of record consent or the court otherwise orders, each party of record to an action must, within 35 days after the end of the pleading period,</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prepare a list of documents in Form 22 that lists</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documents that are or have been in the party's possession or control and that could, if available, be used by any party of record at trial to prove or disprove a material fact, and</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other documents to which the party intends to refer at trial, and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serve the list on all parties of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City provided a single list of documents to the plaintiff, which included those documents in the possession or control of the two named former police officers. The plaintiff contends that the list should have included the VPD Records, and has demanded the inclusion of those records in the City's list of documents under subrules 7-1(10) or (11). The City contends that such records need not be listed, and has refused to do so. In the result, the plaintiff seeks an order pursuant to Rule 7-1(13) requiring the City to list the VPD Records. That Rule provides: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party who receives a demand under subrule (10) or (11) does not, within 35 days after receipt, comply with the demand in relation to the demanded documents, the demanding party may apply for an order requiring the listing party to comply with the demand.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alternative order sought can be made, if appropriate, pursuant to Rule 7-1(8).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contends that in other litigation where the conduct of VPD officers was in issue, the City has obtained and listed the records of the VPD in its list of documents. I was not advised how the City obtained those records in other cases, nor advised of any case involving the City where the issue raised on this application was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While I accept counsel for the plaintiff's characterization of the issue raised on this application as novel, I do not consider that the failure of the City to raise this issue in other, unrelated, litigation in any way estops the City from raising it before me now. As this novel point was not considered in the cases relied upon by the plaintiff, such as </w:t>
      </w:r>
      <w:r>
        <w:rPr>
          <w:rFonts w:ascii="arial" w:eastAsia="arial" w:hAnsi="arial" w:cs="arial"/>
          <w:i/>
          <w:color w:val="000000"/>
          <w:sz w:val="20"/>
          <w:lang w:val="en-US" w:eastAsia="en-US" w:bidi="ar-SA"/>
        </w:rPr>
        <w:t>Biehl v. Strang,</w:t>
      </w:r>
      <w:r>
        <w:rPr>
          <w:rFonts w:ascii="arial" w:eastAsia="arial" w:hAnsi="arial" w:cs="arial"/>
          <w:color w:val="000000"/>
          <w:sz w:val="20"/>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2010 BCSC 1391</w:t>
        </w:r>
      </w:hyperlink>
      <w:r>
        <w:rPr>
          <w:rFonts w:ascii="arial" w:eastAsia="arial" w:hAnsi="arial" w:cs="arial"/>
          <w:color w:val="000000"/>
          <w:sz w:val="20"/>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96 C.P.C. (6th) 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Baiden v. Argent</w:t>
      </w:r>
      <w:r>
        <w:rPr>
          <w:rFonts w:ascii="arial" w:eastAsia="arial" w:hAnsi="arial" w:cs="arial"/>
          <w:color w:val="000000"/>
          <w:sz w:val="20"/>
          <w:lang w:val="en-US" w:eastAsia="en-US" w:bidi="ar-SA"/>
        </w:rPr>
        <w:t xml:space="preserve">, </w:t>
      </w:r>
      <w:hyperlink r:id="rId672" w:history="1">
        <w:r>
          <w:rPr>
            <w:rFonts w:ascii="arial" w:eastAsia="arial" w:hAnsi="arial" w:cs="arial"/>
            <w:i/>
            <w:color w:val="0077CC"/>
            <w:sz w:val="20"/>
            <w:u w:val="single"/>
            <w:shd w:val="clear" w:color="auto" w:fill="FFFFFF"/>
            <w:lang w:val="en-US" w:eastAsia="en-US" w:bidi="ar-SA"/>
          </w:rPr>
          <w:t>2003 BCSC 1341</w:t>
        </w:r>
      </w:hyperlink>
      <w:r>
        <w:rPr>
          <w:rFonts w:ascii="arial" w:eastAsia="arial" w:hAnsi="arial" w:cs="arial"/>
          <w:color w:val="000000"/>
          <w:sz w:val="20"/>
          <w:lang w:val="en-US" w:eastAsia="en-US" w:bidi="ar-SA"/>
        </w:rPr>
        <w:t xml:space="preserve">, </w:t>
      </w:r>
      <w:hyperlink r:id="rId672" w:history="1">
        <w:r>
          <w:rPr>
            <w:rFonts w:ascii="arial" w:eastAsia="arial" w:hAnsi="arial" w:cs="arial"/>
            <w:i/>
            <w:color w:val="0077CC"/>
            <w:sz w:val="20"/>
            <w:u w:val="single"/>
            <w:shd w:val="clear" w:color="auto" w:fill="FFFFFF"/>
            <w:lang w:val="en-US" w:eastAsia="en-US" w:bidi="ar-SA"/>
          </w:rPr>
          <w:t>18 B.C.L.R. (4th) 161</w:t>
        </w:r>
      </w:hyperlink>
      <w:r>
        <w:rPr>
          <w:rFonts w:ascii="arial" w:eastAsia="arial" w:hAnsi="arial" w:cs="arial"/>
          <w:color w:val="000000"/>
          <w:sz w:val="20"/>
          <w:lang w:val="en-US" w:eastAsia="en-US" w:bidi="ar-SA"/>
        </w:rPr>
        <w:t>, they are of little assistance in resolving the plaintiff's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 is no question about the creation and maintenance of relevant records by the VPD. The VPD Records exist, and in fact have been provided to counsel for the Province by the VPD. Counsel for the Province has listed the records in her client's list of documents and provided copies of those documents to counsel for the plaintiff. For reasons relating to the proof of his case, the plaintiff wants the City to list the VPD Records on its list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make no comment on the propriety of the listing of the VPD Records by the Province in its list of documents. The question before me is whether the records should be listed by the City in its list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At common law, police officers are not servants or agents of a municipality: </w:t>
      </w:r>
      <w:r>
        <w:rPr>
          <w:rFonts w:ascii="arial" w:eastAsia="arial" w:hAnsi="arial" w:cs="arial"/>
          <w:i/>
          <w:color w:val="000000"/>
          <w:sz w:val="20"/>
          <w:lang w:val="en-US" w:eastAsia="en-US" w:bidi="ar-SA"/>
        </w:rPr>
        <w:t>McCleave v. City of Moncton</w:t>
      </w:r>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(1902), 32 S.C.R. 106</w:t>
        </w:r>
      </w:hyperlink>
      <w:r>
        <w:rPr>
          <w:rFonts w:ascii="arial" w:eastAsia="arial" w:hAnsi="arial" w:cs="arial"/>
          <w:color w:val="000000"/>
          <w:sz w:val="20"/>
          <w:lang w:val="en-US" w:eastAsia="en-US" w:bidi="ar-SA"/>
        </w:rPr>
        <w:t xml:space="preserve"> at 108-109, </w:t>
      </w:r>
      <w:hyperlink r:id="rId674" w:history="1">
        <w:r>
          <w:rPr>
            <w:rFonts w:ascii="arial" w:eastAsia="arial" w:hAnsi="arial" w:cs="arial"/>
            <w:i/>
            <w:color w:val="0077CC"/>
            <w:sz w:val="20"/>
            <w:u w:val="single"/>
            <w:shd w:val="clear" w:color="auto" w:fill="FFFFFF"/>
            <w:lang w:val="en-US" w:eastAsia="en-US" w:bidi="ar-SA"/>
          </w:rPr>
          <w:t>6 C.C.C. 219</w:t>
        </w:r>
      </w:hyperlink>
      <w:r>
        <w:rPr>
          <w:rFonts w:ascii="arial" w:eastAsia="arial" w:hAnsi="arial" w:cs="arial"/>
          <w:color w:val="000000"/>
          <w:sz w:val="20"/>
          <w:lang w:val="en-US" w:eastAsia="en-US" w:bidi="ar-SA"/>
        </w:rPr>
        <w:t xml:space="preserve">. Since 1974,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has provided the legal framework for the establishment, governance and operation of all municipal police departments in British Columbia.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sets out the relationship between the municipality, the municipal police board and the police department by providing statutorily prescribed roles for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essence, s. 15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requires a municipality with a population of more than 5,000 persons to:</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bear the expenses necessary to generally maintain law and order in the municipality and;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policing and law enforcement with a police force of sufficient size and adequately equipped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 municipality with a population of more than 5,000 persons must provide policing and law enforcement by means of one of the following:</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establishing a police board;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contracting with the provincial police force; or</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entering into agreements with other municipalities for joint provision of policing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City of Vancouver is a municipality incorporated pursuant to the provisions of the </w:t>
      </w:r>
      <w:r>
        <w:rPr>
          <w:rFonts w:ascii="arial" w:eastAsia="arial" w:hAnsi="arial" w:cs="arial"/>
          <w:i/>
          <w:color w:val="000000"/>
          <w:sz w:val="20"/>
          <w:lang w:val="en-US" w:eastAsia="en-US" w:bidi="ar-SA"/>
        </w:rPr>
        <w:t>Vancouver Charter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1953, c. 55</w:t>
      </w:r>
      <w:r>
        <w:rPr>
          <w:rFonts w:ascii="arial" w:eastAsia="arial" w:hAnsi="arial" w:cs="arial"/>
          <w:color w:val="000000"/>
          <w:sz w:val="20"/>
          <w:lang w:val="en-US" w:eastAsia="en-US" w:bidi="ar-SA"/>
        </w:rPr>
        <w:t>, with a population in excess of 5,000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Pursuant to ss. 20 and 21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the City of Vancouver is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officers of the VPD. The liability of the City of Vancouver for the torts of its police officers is thus statutory and not vicarious, as asserted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V.H. v. Attorney General of British Columbia et al.,</w:t>
      </w:r>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2005 BCSC 139</w:t>
        </w:r>
      </w:hyperlink>
      <w:r>
        <w:rPr>
          <w:rFonts w:ascii="arial" w:eastAsia="arial" w:hAnsi="arial" w:cs="arial"/>
          <w:color w:val="000000"/>
          <w:sz w:val="20"/>
          <w:lang w:val="en-US" w:eastAsia="en-US" w:bidi="ar-SA"/>
        </w:rPr>
        <w:t xml:space="preserve"> at para. 140, </w:t>
      </w:r>
      <w:hyperlink r:id="rId675" w:history="1">
        <w:r>
          <w:rPr>
            <w:rFonts w:ascii="arial" w:eastAsia="arial" w:hAnsi="arial" w:cs="arial"/>
            <w:i/>
            <w:color w:val="0077CC"/>
            <w:sz w:val="20"/>
            <w:u w:val="single"/>
            <w:shd w:val="clear" w:color="auto" w:fill="FFFFFF"/>
            <w:lang w:val="en-US" w:eastAsia="en-US" w:bidi="ar-SA"/>
          </w:rPr>
          <w:t>[2005] B.C.J. No. 198</w:t>
        </w:r>
      </w:hyperlink>
      <w:r>
        <w:rPr>
          <w:rFonts w:ascii="arial" w:eastAsia="arial" w:hAnsi="arial" w:cs="arial"/>
          <w:color w:val="000000"/>
          <w:sz w:val="20"/>
          <w:lang w:val="en-US" w:eastAsia="en-US" w:bidi="ar-SA"/>
        </w:rPr>
        <w:t xml:space="preserve">, Mr. Justice Davies held, in part, that "police forces are not legal entities that can sue or be sued", relying on </w:t>
      </w:r>
      <w:r>
        <w:rPr>
          <w:rFonts w:ascii="arial" w:eastAsia="arial" w:hAnsi="arial" w:cs="arial"/>
          <w:i/>
          <w:color w:val="000000"/>
          <w:sz w:val="20"/>
          <w:lang w:val="en-US" w:eastAsia="en-US" w:bidi="ar-SA"/>
        </w:rPr>
        <w:t>Doern v. Phillips Estate</w:t>
      </w:r>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(1994), 2 B.C.L.R. (3d) 349</w:t>
        </w:r>
      </w:hyperlink>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[1995] 4 W.W.R. 1</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Grassi v. WIC Radio</w:t>
      </w:r>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2000 BCSC 185</w:t>
        </w:r>
      </w:hyperlink>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[2000] B.C.J. No. 170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Dixon v. Deacon Morgan</w:t>
      </w:r>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(1989), 38 B.C.L.R. (2d) 318</w:t>
        </w:r>
      </w:hyperlink>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62 D.L.R. (4th) 175</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Goodhead v. Law Society of British Columbia</w:t>
      </w:r>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[1997] B.C.J. No. 1779</w:t>
        </w:r>
      </w:hyperlink>
      <w:r>
        <w:rPr>
          <w:rFonts w:ascii="arial" w:eastAsia="arial" w:hAnsi="arial" w:cs="arial"/>
          <w:color w:val="000000"/>
          <w:sz w:val="20"/>
          <w:lang w:val="en-US" w:eastAsia="en-US" w:bidi="ar-SA"/>
        </w:rPr>
        <w:t>, 1999 CarswellBC 1524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Under s. 21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no action lies against individual police officers unless they are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and wilful misconduct. While there is thus no absolute prohibition against naming individual police officers in civil proceedings, unless it is reasonably necessary to join such officers as defendants, a plaintiff may be penalized in costs should they do so for only tactical reasons (such as to obtain useful information from their examinations for discovery) where other means of accomplishing the same end are available pursuant to the </w:t>
      </w:r>
      <w:r>
        <w:rPr>
          <w:rFonts w:ascii="arial" w:eastAsia="arial" w:hAnsi="arial" w:cs="arial"/>
          <w:i/>
          <w:color w:val="000000"/>
          <w:sz w:val="20"/>
          <w:lang w:val="en-US" w:eastAsia="en-US" w:bidi="ar-SA"/>
        </w:rPr>
        <w:t>Civil Rules</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Balden v. Vancouver (City)</w:t>
      </w:r>
      <w:r>
        <w:rPr>
          <w:rFonts w:ascii="arial" w:eastAsia="arial" w:hAnsi="arial" w:cs="arial"/>
          <w:color w:val="000000"/>
          <w:sz w:val="20"/>
          <w:lang w:val="en-US" w:eastAsia="en-US" w:bidi="ar-SA"/>
        </w:rPr>
        <w:t xml:space="preserve">, </w:t>
      </w:r>
      <w:hyperlink r:id="rId680" w:history="1">
        <w:r>
          <w:rPr>
            <w:rFonts w:ascii="arial" w:eastAsia="arial" w:hAnsi="arial" w:cs="arial"/>
            <w:i/>
            <w:color w:val="0077CC"/>
            <w:sz w:val="20"/>
            <w:u w:val="single"/>
            <w:shd w:val="clear" w:color="auto" w:fill="FFFFFF"/>
            <w:lang w:val="en-US" w:eastAsia="en-US" w:bidi="ar-SA"/>
          </w:rPr>
          <w:t>2010 BCCA 375</w:t>
        </w:r>
      </w:hyperlink>
      <w:r>
        <w:rPr>
          <w:rFonts w:ascii="arial" w:eastAsia="arial" w:hAnsi="arial" w:cs="arial"/>
          <w:color w:val="000000"/>
          <w:sz w:val="20"/>
          <w:lang w:val="en-US" w:eastAsia="en-US" w:bidi="ar-SA"/>
        </w:rPr>
        <w:t xml:space="preserve"> at paras. 29-32, </w:t>
      </w:r>
      <w:hyperlink r:id="rId680" w:history="1">
        <w:r>
          <w:rPr>
            <w:rFonts w:ascii="arial" w:eastAsia="arial" w:hAnsi="arial" w:cs="arial"/>
            <w:i/>
            <w:color w:val="0077CC"/>
            <w:sz w:val="20"/>
            <w:u w:val="single"/>
            <w:shd w:val="clear" w:color="auto" w:fill="FFFFFF"/>
            <w:lang w:val="en-US" w:eastAsia="en-US" w:bidi="ar-SA"/>
          </w:rPr>
          <w:t>9 B.C.L.R. (5th) 257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To resolve the plaintiff's application, it is necessary to consider whether, in light of the legal background set out above, the City has either possession, control or power over records created and maintained by the VPD.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Possession of a document for the purposes of Rule 7-1(1) requires more than mere access to the document: </w:t>
      </w:r>
      <w:r>
        <w:rPr>
          <w:rFonts w:ascii="arial" w:eastAsia="arial" w:hAnsi="arial" w:cs="arial"/>
          <w:i/>
          <w:color w:val="000000"/>
          <w:sz w:val="20"/>
          <w:lang w:val="en-US" w:eastAsia="en-US" w:bidi="ar-SA"/>
        </w:rPr>
        <w:t>Lacker v. Lacker</w:t>
      </w:r>
      <w:r>
        <w:rPr>
          <w:rFonts w:ascii="arial" w:eastAsia="arial" w:hAnsi="arial" w:cs="arial"/>
          <w:color w:val="000000"/>
          <w:sz w:val="20"/>
          <w:lang w:val="en-US" w:eastAsia="en-US" w:bidi="ar-SA"/>
        </w:rPr>
        <w:t xml:space="preserve"> </w:t>
      </w:r>
      <w:hyperlink r:id="rId681" w:history="1">
        <w:r>
          <w:rPr>
            <w:rFonts w:ascii="arial" w:eastAsia="arial" w:hAnsi="arial" w:cs="arial"/>
            <w:i/>
            <w:color w:val="0077CC"/>
            <w:sz w:val="20"/>
            <w:u w:val="single"/>
            <w:shd w:val="clear" w:color="auto" w:fill="FFFFFF"/>
            <w:lang w:val="en-US" w:eastAsia="en-US" w:bidi="ar-SA"/>
          </w:rPr>
          <w:t>(1982), 42 B.C.L.R. 188</w:t>
        </w:r>
      </w:hyperlink>
      <w:r>
        <w:rPr>
          <w:rFonts w:ascii="arial" w:eastAsia="arial" w:hAnsi="arial" w:cs="arial"/>
          <w:color w:val="000000"/>
          <w:sz w:val="20"/>
          <w:lang w:val="en-US" w:eastAsia="en-US" w:bidi="ar-SA"/>
        </w:rPr>
        <w:t xml:space="preserve"> at 192-94 </w:t>
      </w:r>
      <w:hyperlink r:id="rId681" w:history="1">
        <w:r>
          <w:rPr>
            <w:rFonts w:ascii="arial" w:eastAsia="arial" w:hAnsi="arial" w:cs="arial"/>
            <w:i/>
            <w:color w:val="0077CC"/>
            <w:sz w:val="20"/>
            <w:u w:val="single"/>
            <w:shd w:val="clear" w:color="auto" w:fill="FFFFFF"/>
            <w:lang w:val="en-US" w:eastAsia="en-US" w:bidi="ar-SA"/>
          </w:rPr>
          <w:t>[1982] B.C.J. No. 1514</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Control of a document for the purposes of the predecessor to Rule 7-1(1) has been held to be an enforceable right to a document and as such includes all documents which, though not in the party's possession, that party has a right to obtain from the person who has them: </w:t>
      </w:r>
      <w:r>
        <w:rPr>
          <w:rFonts w:ascii="arial" w:eastAsia="arial" w:hAnsi="arial" w:cs="arial"/>
          <w:i/>
          <w:color w:val="000000"/>
          <w:sz w:val="20"/>
          <w:lang w:val="en-US" w:eastAsia="en-US" w:bidi="ar-SA"/>
        </w:rPr>
        <w:t>Royal Bank v. Hale</w:t>
      </w:r>
      <w:r>
        <w:rPr>
          <w:rFonts w:ascii="arial" w:eastAsia="arial" w:hAnsi="arial" w:cs="arial"/>
          <w:color w:val="000000"/>
          <w:sz w:val="20"/>
          <w:lang w:val="en-US" w:eastAsia="en-US" w:bidi="ar-SA"/>
        </w:rPr>
        <w:t xml:space="preserve"> (1960), 35 W.W.R. 236, </w:t>
      </w:r>
      <w:hyperlink r:id="rId682" w:history="1">
        <w:r>
          <w:rPr>
            <w:rFonts w:ascii="arial" w:eastAsia="arial" w:hAnsi="arial" w:cs="arial"/>
            <w:i/>
            <w:color w:val="0077CC"/>
            <w:sz w:val="20"/>
            <w:u w:val="single"/>
            <w:shd w:val="clear" w:color="auto" w:fill="FFFFFF"/>
            <w:lang w:val="en-US" w:eastAsia="en-US" w:bidi="ar-SA"/>
          </w:rPr>
          <w:t>[1960] B.C.J. No. 44</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Western Union Insurance Company v. Nihill</w:t>
      </w:r>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[1972] 6 W.W.R. 241</w:t>
        </w:r>
      </w:hyperlink>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31 D.L.R. (3d) 124</w:t>
        </w:r>
      </w:hyperlink>
      <w:r>
        <w:rPr>
          <w:rFonts w:ascii="arial" w:eastAsia="arial" w:hAnsi="arial" w:cs="arial"/>
          <w:color w:val="000000"/>
          <w:sz w:val="20"/>
          <w:lang w:val="en-US" w:eastAsia="en-US" w:bidi="ar-SA"/>
        </w:rPr>
        <w:t xml:space="preserve"> (Alta.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Power over a document for the purposes of the predecessor to Rule 7-1(1) has been held to be broader than mere control and to connote that the litigant has access to the documents: </w:t>
      </w:r>
      <w:r>
        <w:rPr>
          <w:rFonts w:ascii="arial" w:eastAsia="arial" w:hAnsi="arial" w:cs="arial"/>
          <w:i/>
          <w:color w:val="000000"/>
          <w:sz w:val="20"/>
          <w:lang w:val="en-US" w:eastAsia="en-US" w:bidi="ar-SA"/>
        </w:rPr>
        <w:t>Net1 Products (Canada) Ltd. v. Mansvelt and Belamant et al</w:t>
      </w:r>
      <w:r>
        <w:rPr>
          <w:rFonts w:ascii="arial" w:eastAsia="arial" w:hAnsi="arial" w:cs="arial"/>
          <w:color w:val="000000"/>
          <w:sz w:val="20"/>
          <w:lang w:val="en-US" w:eastAsia="en-US" w:bidi="ar-SA"/>
        </w:rPr>
        <w:t xml:space="preserve">, </w:t>
      </w:r>
      <w:hyperlink r:id="rId684" w:history="1">
        <w:r>
          <w:rPr>
            <w:rFonts w:ascii="arial" w:eastAsia="arial" w:hAnsi="arial" w:cs="arial"/>
            <w:i/>
            <w:color w:val="0077CC"/>
            <w:sz w:val="20"/>
            <w:u w:val="single"/>
            <w:shd w:val="clear" w:color="auto" w:fill="FFFFFF"/>
            <w:lang w:val="en-US" w:eastAsia="en-US" w:bidi="ar-SA"/>
          </w:rPr>
          <w:t>2001 BCSC 906</w:t>
        </w:r>
      </w:hyperlink>
      <w:r>
        <w:rPr>
          <w:rFonts w:ascii="arial" w:eastAsia="arial" w:hAnsi="arial" w:cs="arial"/>
          <w:color w:val="000000"/>
          <w:sz w:val="20"/>
          <w:lang w:val="en-US" w:eastAsia="en-US" w:bidi="ar-SA"/>
        </w:rPr>
        <w:t xml:space="preserve"> at para. 14, </w:t>
      </w:r>
      <w:hyperlink r:id="rId684" w:history="1">
        <w:r>
          <w:rPr>
            <w:rFonts w:ascii="arial" w:eastAsia="arial" w:hAnsi="arial" w:cs="arial"/>
            <w:i/>
            <w:color w:val="0077CC"/>
            <w:sz w:val="20"/>
            <w:u w:val="single"/>
            <w:shd w:val="clear" w:color="auto" w:fill="FFFFFF"/>
            <w:lang w:val="en-US" w:eastAsia="en-US" w:bidi="ar-SA"/>
          </w:rPr>
          <w:t>[2001] B.C.J. No. 1282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At first blush it might seem that records created and maintained by the VPD are within the possession, control or power of the City of Vancouver, which is liable for the VPD. Such a view might be supported by the fact that the VPD is not a legal entity, and can neither sue or be sued. However, after establishing the Vancouver Police Board, the City of Vancouver's only role in respect of policing and law enforcement is to pay the expenses of the VPD in accordance with the budgetary process prescribed in the </w:t>
      </w:r>
      <w:r>
        <w:rPr>
          <w:rFonts w:ascii="arial" w:eastAsia="arial" w:hAnsi="arial" w:cs="arial"/>
          <w:i/>
          <w:color w:val="000000"/>
          <w:sz w:val="20"/>
          <w:lang w:val="en-US" w:eastAsia="en-US" w:bidi="ar-SA"/>
        </w:rPr>
        <w:t>Police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Nonetheless, the plaintiff contends that while access to police records by a municipality may be unwarranted when police conduct is not in issue in civil litigation, that cannot be the case where police conduct is questioned. If it were, the plaintiff submits, counsel for the City would be unable to discharge their duties to the police officers whose conduct is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am unable to agree. The practice that was followed in this case, whereby the City requested the police records from the Chief Constable, can be used by counsel for the City to obtain any necessary records. That the Chief Constable may well comply with such a request does not, however, mean that such records are in the possession or control of the City, or that it has power over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Indeed, in </w:t>
      </w:r>
      <w:r>
        <w:rPr>
          <w:rFonts w:ascii="arial" w:eastAsia="arial" w:hAnsi="arial" w:cs="arial"/>
          <w:i/>
          <w:color w:val="000000"/>
          <w:sz w:val="20"/>
          <w:lang w:val="en-US" w:eastAsia="en-US" w:bidi="ar-SA"/>
        </w:rPr>
        <w:t>Williams and Williams v. Stephenson et al.,</w:t>
      </w:r>
      <w:r>
        <w:rPr>
          <w:rFonts w:ascii="arial" w:eastAsia="arial" w:hAnsi="arial" w:cs="arial"/>
          <w:color w:val="000000"/>
          <w:sz w:val="20"/>
          <w:lang w:val="en-US" w:eastAsia="en-US" w:bidi="ar-SA"/>
        </w:rPr>
        <w:t xml:space="preserve"> </w:t>
      </w:r>
      <w:hyperlink r:id="rId685" w:history="1">
        <w:r>
          <w:rPr>
            <w:rFonts w:ascii="arial" w:eastAsia="arial" w:hAnsi="arial" w:cs="arial"/>
            <w:i/>
            <w:color w:val="0077CC"/>
            <w:sz w:val="20"/>
            <w:u w:val="single"/>
            <w:shd w:val="clear" w:color="auto" w:fill="FFFFFF"/>
            <w:lang w:val="en-US" w:eastAsia="en-US" w:bidi="ar-SA"/>
          </w:rPr>
          <w:t>2005 BCSC 1271</w:t>
        </w:r>
      </w:hyperlink>
      <w:r>
        <w:rPr>
          <w:rFonts w:ascii="arial" w:eastAsia="arial" w:hAnsi="arial" w:cs="arial"/>
          <w:color w:val="000000"/>
          <w:sz w:val="20"/>
          <w:lang w:val="en-US" w:eastAsia="en-US" w:bidi="ar-SA"/>
        </w:rPr>
        <w:t xml:space="preserve">, </w:t>
      </w:r>
      <w:hyperlink r:id="rId685" w:history="1">
        <w:r>
          <w:rPr>
            <w:rFonts w:ascii="arial" w:eastAsia="arial" w:hAnsi="arial" w:cs="arial"/>
            <w:i/>
            <w:color w:val="0077CC"/>
            <w:sz w:val="20"/>
            <w:u w:val="single"/>
            <w:shd w:val="clear" w:color="auto" w:fill="FFFFFF"/>
            <w:lang w:val="en-US" w:eastAsia="en-US" w:bidi="ar-SA"/>
          </w:rPr>
          <w:t>46 B.C.L.R. (4th) 366</w:t>
        </w:r>
      </w:hyperlink>
      <w:r>
        <w:rPr>
          <w:rFonts w:ascii="arial" w:eastAsia="arial" w:hAnsi="arial" w:cs="arial"/>
          <w:color w:val="000000"/>
          <w:sz w:val="20"/>
          <w:lang w:val="en-US" w:eastAsia="en-US" w:bidi="ar-SA"/>
        </w:rPr>
        <w:t>, when counsel for the City of Vancouver obtained records and materials seized by the VPD in the course of a criminal investigation of the plaintiffs, Mr. Justice Goepel, then a Justice of this Court, held that in order to preserve public confidence in the administration of justice, the lawyer and the City of Vancouver's law department were disqualified from acting for the defendant police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Reid v. Vancouver Police Board</w:t>
      </w:r>
      <w:r>
        <w:rPr>
          <w:rFonts w:ascii="arial" w:eastAsia="arial" w:hAnsi="arial" w:cs="arial"/>
          <w:color w:val="000000"/>
          <w:sz w:val="20"/>
          <w:lang w:val="en-US" w:eastAsia="en-US" w:bidi="ar-SA"/>
        </w:rPr>
        <w:t xml:space="preserve">, </w:t>
      </w:r>
      <w:hyperlink r:id="rId686" w:history="1">
        <w:r>
          <w:rPr>
            <w:rFonts w:ascii="arial" w:eastAsia="arial" w:hAnsi="arial" w:cs="arial"/>
            <w:i/>
            <w:color w:val="0077CC"/>
            <w:sz w:val="20"/>
            <w:u w:val="single"/>
            <w:shd w:val="clear" w:color="auto" w:fill="FFFFFF"/>
            <w:lang w:val="en-US" w:eastAsia="en-US" w:bidi="ar-SA"/>
          </w:rPr>
          <w:t>2005 BCCA 418</w:t>
        </w:r>
      </w:hyperlink>
      <w:r>
        <w:rPr>
          <w:rFonts w:ascii="arial" w:eastAsia="arial" w:hAnsi="arial" w:cs="arial"/>
          <w:color w:val="000000"/>
          <w:sz w:val="20"/>
          <w:lang w:val="en-US" w:eastAsia="en-US" w:bidi="ar-SA"/>
        </w:rPr>
        <w:t xml:space="preserve">, </w:t>
      </w:r>
      <w:hyperlink r:id="rId686" w:history="1">
        <w:r>
          <w:rPr>
            <w:rFonts w:ascii="arial" w:eastAsia="arial" w:hAnsi="arial" w:cs="arial"/>
            <w:i/>
            <w:color w:val="0077CC"/>
            <w:sz w:val="20"/>
            <w:u w:val="single"/>
            <w:shd w:val="clear" w:color="auto" w:fill="FFFFFF"/>
            <w:lang w:val="en-US" w:eastAsia="en-US" w:bidi="ar-SA"/>
          </w:rPr>
          <w:t>44 B.C.L.R. (4th) 49</w:t>
        </w:r>
      </w:hyperlink>
      <w:r>
        <w:rPr>
          <w:rFonts w:ascii="arial" w:eastAsia="arial" w:hAnsi="arial" w:cs="arial"/>
          <w:color w:val="000000"/>
          <w:sz w:val="20"/>
          <w:lang w:val="en-US" w:eastAsia="en-US" w:bidi="ar-SA"/>
        </w:rPr>
        <w:t>, female communications operators employed by the VPD sought pay equity with their mostly male peers at the fire department, who were employed by the City of Vancouver. Their application was dismissed by the British Columbia Human Rights Tribunal, who found that they were employed by the Vancouver Police Board, not the municipality. Mr. Justice Lowry, writing for the majority, recognized that there were three possibilities: that the petitioners were employed by the Board, the City, or both. He concluded that there was nothing unreasonable in the analysis the Tribunal undertook or the reasoning it employed in reaching the conclusion that the applicants were employed by the Vancouver Police Board and not the City of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Williams v. City of Vancouver et al,</w:t>
      </w:r>
      <w:r>
        <w:rPr>
          <w:rFonts w:ascii="arial" w:eastAsia="arial" w:hAnsi="arial" w:cs="arial"/>
          <w:color w:val="000000"/>
          <w:sz w:val="20"/>
          <w:lang w:val="en-US" w:eastAsia="en-US" w:bidi="ar-SA"/>
        </w:rPr>
        <w:t xml:space="preserve"> </w:t>
      </w:r>
      <w:hyperlink r:id="rId687" w:history="1">
        <w:r>
          <w:rPr>
            <w:rFonts w:ascii="arial" w:eastAsia="arial" w:hAnsi="arial" w:cs="arial"/>
            <w:i/>
            <w:color w:val="0077CC"/>
            <w:sz w:val="20"/>
            <w:u w:val="single"/>
            <w:shd w:val="clear" w:color="auto" w:fill="FFFFFF"/>
            <w:lang w:val="en-US" w:eastAsia="en-US" w:bidi="ar-SA"/>
          </w:rPr>
          <w:t>2005 BCSC 1868</w:t>
        </w:r>
      </w:hyperlink>
      <w:r>
        <w:rPr>
          <w:rFonts w:ascii="arial" w:eastAsia="arial" w:hAnsi="arial" w:cs="arial"/>
          <w:color w:val="000000"/>
          <w:sz w:val="20"/>
          <w:lang w:val="en-US" w:eastAsia="en-US" w:bidi="ar-SA"/>
        </w:rPr>
        <w:t xml:space="preserve">, </w:t>
      </w:r>
      <w:hyperlink r:id="rId687" w:history="1">
        <w:r>
          <w:rPr>
            <w:rFonts w:ascii="arial" w:eastAsia="arial" w:hAnsi="arial" w:cs="arial"/>
            <w:i/>
            <w:color w:val="0077CC"/>
            <w:sz w:val="20"/>
            <w:u w:val="single"/>
            <w:shd w:val="clear" w:color="auto" w:fill="FFFFFF"/>
            <w:lang w:val="en-US" w:eastAsia="en-US" w:bidi="ar-SA"/>
          </w:rPr>
          <w:t>[2005] B.C.J. No. 3028</w:t>
        </w:r>
      </w:hyperlink>
      <w:r>
        <w:rPr>
          <w:rFonts w:ascii="arial" w:eastAsia="arial" w:hAnsi="arial" w:cs="arial"/>
          <w:color w:val="000000"/>
          <w:sz w:val="20"/>
          <w:lang w:val="en-US" w:eastAsia="en-US" w:bidi="ar-SA"/>
        </w:rPr>
        <w:t>, Madam Justice Boyd considered a notice of intention to call a VPD officer as an adverse witness, served on the City of Vancouver. At paras. 6-9, she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Concerning the first issue, I am not persuaded that Beach may be called as a witness pursuant to the Notice delivered under Rule 40(17). There is no evidence to support the conclusion that Beach is an employee of the City, either in the narrow or even in the broadest sense. There is no respondeat-superior relationship as between the City and the police department. The connection between the Vancouver City Police Department and the City is outlined in detail in the decision of Kirkpatrick J., as she then was, in </w:t>
      </w:r>
      <w:r>
        <w:rPr>
          <w:rFonts w:ascii="arial" w:eastAsia="arial" w:hAnsi="arial" w:cs="arial"/>
          <w:i/>
          <w:color w:val="000000"/>
          <w:sz w:val="20"/>
          <w:lang w:val="en-US" w:eastAsia="en-US" w:bidi="ar-SA"/>
        </w:rPr>
        <w:t>Ribeiro v City of Vancouver</w:t>
      </w:r>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2005 BCSC 395</w:t>
        </w:r>
      </w:hyperlink>
      <w:r>
        <w:rPr>
          <w:rFonts w:ascii="arial" w:eastAsia="arial" w:hAnsi="arial" w:cs="arial"/>
          <w:color w:val="000000"/>
          <w:sz w:val="20"/>
          <w:lang w:val="en-US" w:eastAsia="en-US" w:bidi="ar-SA"/>
        </w:rPr>
        <w:t>, handed down March 18, 2005. In that decision at paragraph 49, Madam Justice Kirkpatrick notes: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can be no question that the city's sole statutory duty in relation to policing matters after providing for the establishment of a police force is to bear the expenses generally necessary to maintain law and order in the 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Here, by virtue of s. 20(1)(a)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the City is statutorily liable for any tortious liability which is found on the part of the police officers. However, it remains the case that there is no relationship per se, and certainly no respondeat-superior relationship, between the City and the defendant police officers.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This, however, leaves open the more general question of whether Beach is possibly an agent of the City within the meaning of Rule 40(1)(b). In this regard, there is no evidentiary foundation for me to conclude that Beach had neither the actual nor the ostensible authority of the City to participate in a press conference in December of 2002. Nor is there any evidentiary foundation for any inference to be drawn that in so appearing at the press conference, he had the authority to speak on behalf of the City. Given the realities of the statutory scheme which is reviewed in </w:t>
      </w:r>
      <w:r>
        <w:rPr>
          <w:rFonts w:ascii="arial" w:eastAsia="arial" w:hAnsi="arial" w:cs="arial"/>
          <w:b/>
          <w:i/>
          <w:color w:val="000000"/>
          <w:sz w:val="20"/>
          <w:lang w:val="en-US" w:eastAsia="en-US" w:bidi="ar-SA"/>
        </w:rPr>
        <w:t>Ribeiro</w:t>
      </w:r>
      <w:r>
        <w:rPr>
          <w:rFonts w:ascii="arial" w:eastAsia="arial" w:hAnsi="arial" w:cs="arial"/>
          <w:color w:val="000000"/>
          <w:sz w:val="20"/>
          <w:lang w:val="en-US" w:eastAsia="en-US" w:bidi="ar-SA"/>
        </w:rPr>
        <w:t>, I very much doubt that that would be the case. However I note in any event that there is no evidence here before me on that matter.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In the end result, I am not persuaded Beach may be called as an adverse witness. Beach may, of course, be required to attend as an ordinary witness pursuant to the subpoena which has been served. It would then be up to the plaintiffs' counsel to establish that he is a hostile witness before having the opportunity to conduct any cross-examination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case which the City contends is the closest to this one is the decision of the Alberta Court of Appeal in </w:t>
      </w:r>
      <w:r>
        <w:rPr>
          <w:rFonts w:ascii="arial" w:eastAsia="arial" w:hAnsi="arial" w:cs="arial"/>
          <w:i/>
          <w:color w:val="000000"/>
          <w:sz w:val="20"/>
          <w:lang w:val="en-US" w:eastAsia="en-US" w:bidi="ar-SA"/>
        </w:rPr>
        <w:t>McAllister v. Calgary (City)</w:t>
      </w:r>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2012 ABCA 346</w:t>
        </w:r>
      </w:hyperlink>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69 Alta. L.R. (5th) 242</w:t>
        </w:r>
      </w:hyperlink>
      <w:r>
        <w:rPr>
          <w:rFonts w:ascii="arial" w:eastAsia="arial" w:hAnsi="arial" w:cs="arial"/>
          <w:color w:val="000000"/>
          <w:sz w:val="20"/>
          <w:lang w:val="en-US" w:eastAsia="en-US" w:bidi="ar-SA"/>
        </w:rPr>
        <w:t xml:space="preserve">. In that case, a man who had been assaulted at a C-train station sued the City of Calgary for failing to implement adequate security measures at C-train stations. Police conduct was not in issue in the case. The municipality was ordered by a Master of the Alberta Court of Queen's Bench to produce the Calgary Police Service records to the plaintiff, based upon the reasoning in </w:t>
      </w:r>
      <w:r>
        <w:rPr>
          <w:rFonts w:ascii="arial" w:eastAsia="arial" w:hAnsi="arial" w:cs="arial"/>
          <w:i/>
          <w:color w:val="000000"/>
          <w:sz w:val="20"/>
          <w:lang w:val="en-US" w:eastAsia="en-US" w:bidi="ar-SA"/>
        </w:rPr>
        <w:t>Hunter v. Eck</w:t>
      </w:r>
      <w:r>
        <w:rPr>
          <w:rFonts w:ascii="arial" w:eastAsia="arial" w:hAnsi="arial" w:cs="arial"/>
          <w:color w:val="000000"/>
          <w:sz w:val="20"/>
          <w:lang w:val="en-US" w:eastAsia="en-US" w:bidi="ar-SA"/>
        </w:rPr>
        <w:t xml:space="preserve"> (1977), </w:t>
      </w:r>
      <w:hyperlink r:id="rId690" w:history="1">
        <w:r>
          <w:rPr>
            <w:rFonts w:ascii="arial" w:eastAsia="arial" w:hAnsi="arial" w:cs="arial"/>
            <w:i/>
            <w:color w:val="0077CC"/>
            <w:sz w:val="20"/>
            <w:u w:val="single"/>
            <w:shd w:val="clear" w:color="auto" w:fill="FFFFFF"/>
            <w:lang w:val="en-US" w:eastAsia="en-US" w:bidi="ar-SA"/>
          </w:rPr>
          <w:t>7 Alta. L.R. (2d) 291</w:t>
        </w:r>
      </w:hyperlink>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8 A.R. 508</w:t>
        </w:r>
      </w:hyperlink>
      <w:r>
        <w:rPr>
          <w:rFonts w:ascii="arial" w:eastAsia="arial" w:hAnsi="arial" w:cs="arial"/>
          <w:color w:val="000000"/>
          <w:sz w:val="20"/>
          <w:lang w:val="en-US" w:eastAsia="en-US" w:bidi="ar-SA"/>
        </w:rPr>
        <w:t xml:space="preserve"> (C.A.), affirming </w:t>
      </w:r>
      <w:hyperlink r:id="rId691" w:history="1">
        <w:r>
          <w:rPr>
            <w:rFonts w:ascii="arial" w:eastAsia="arial" w:hAnsi="arial" w:cs="arial"/>
            <w:i/>
            <w:color w:val="0077CC"/>
            <w:sz w:val="20"/>
            <w:u w:val="single"/>
            <w:shd w:val="clear" w:color="auto" w:fill="FFFFFF"/>
            <w:lang w:val="en-US" w:eastAsia="en-US" w:bidi="ar-SA"/>
          </w:rPr>
          <w:t>1 Alta. L.R. (2d) 319</w:t>
        </w:r>
      </w:hyperlink>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75 D.L.R. (3d) 101</w:t>
        </w:r>
      </w:hyperlink>
      <w:r>
        <w:rPr>
          <w:rFonts w:ascii="arial" w:eastAsia="arial" w:hAnsi="arial" w:cs="arial"/>
          <w:color w:val="000000"/>
          <w:sz w:val="20"/>
          <w:lang w:val="en-US" w:eastAsia="en-US" w:bidi="ar-SA"/>
        </w:rPr>
        <w:t xml:space="preserve"> (Q.B.). The City of Calgary appealed from the order of the Master to a Justice of that Court, who considered herself bound by the appellate decision in </w:t>
      </w:r>
      <w:r>
        <w:rPr>
          <w:rFonts w:ascii="arial" w:eastAsia="arial" w:hAnsi="arial" w:cs="arial"/>
          <w:i/>
          <w:color w:val="000000"/>
          <w:sz w:val="20"/>
          <w:lang w:val="en-US" w:eastAsia="en-US" w:bidi="ar-SA"/>
        </w:rPr>
        <w:t>Hunter</w:t>
      </w:r>
      <w:r>
        <w:rPr>
          <w:rFonts w:ascii="arial" w:eastAsia="arial" w:hAnsi="arial" w:cs="arial"/>
          <w:color w:val="000000"/>
          <w:sz w:val="20"/>
          <w:lang w:val="en-US" w:eastAsia="en-US" w:bidi="ar-SA"/>
        </w:rPr>
        <w:t>. The municipality appealed that subsequent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allowing the appeal, Madam Justice Paperny, for the Court, reasoned at paras. 20-28: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Although the basic structure of the legislation has not greatly altered, some changes to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since </w:t>
      </w:r>
      <w:r>
        <w:rPr>
          <w:rFonts w:ascii="arial" w:eastAsia="arial" w:hAnsi="arial" w:cs="arial"/>
          <w:i/>
          <w:color w:val="000000"/>
          <w:sz w:val="20"/>
          <w:lang w:val="en-US" w:eastAsia="en-US" w:bidi="ar-SA"/>
        </w:rPr>
        <w:t>Hunter</w:t>
      </w:r>
      <w:r>
        <w:rPr>
          <w:rFonts w:ascii="arial" w:eastAsia="arial" w:hAnsi="arial" w:cs="arial"/>
          <w:color w:val="000000"/>
          <w:sz w:val="20"/>
          <w:lang w:val="en-US" w:eastAsia="en-US" w:bidi="ar-SA"/>
        </w:rPr>
        <w:t xml:space="preserve"> was decided indicate a legislative intent to further distance municipal councils from the operation of their police forces. For example, s. 27 of the 1973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relied upon in </w:t>
      </w:r>
      <w:r>
        <w:rPr>
          <w:rFonts w:ascii="arial" w:eastAsia="arial" w:hAnsi="arial" w:cs="arial"/>
          <w:i/>
          <w:color w:val="000000"/>
          <w:sz w:val="20"/>
          <w:lang w:val="en-US" w:eastAsia="en-US" w:bidi="ar-SA"/>
        </w:rPr>
        <w:t>Hunter</w:t>
      </w:r>
      <w:r>
        <w:rPr>
          <w:rFonts w:ascii="arial" w:eastAsia="arial" w:hAnsi="arial" w:cs="arial"/>
          <w:color w:val="000000"/>
          <w:sz w:val="20"/>
          <w:lang w:val="en-US" w:eastAsia="en-US" w:bidi="ar-SA"/>
        </w:rPr>
        <w:t xml:space="preserve">, provided that a council may obtain any information necessary to assess the efficiency of the police force. The equivalent provision in the new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RSA 2000, c. P-17</w:t>
        </w:r>
      </w:hyperlink>
      <w:r>
        <w:rPr>
          <w:rFonts w:ascii="arial" w:eastAsia="arial" w:hAnsi="arial" w:cs="arial"/>
          <w:color w:val="000000"/>
          <w:sz w:val="20"/>
          <w:lang w:val="en-US" w:eastAsia="en-US" w:bidi="ar-SA"/>
        </w:rPr>
        <w:t xml:space="preserve"> is more limited. Section 29(2) provides that a council may obtain such information only from the commission and only for the purpose of developing a budget.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The new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draws a very clear separation between a municipal council and its police service, with the police commission acting as a mandatory (not a discretionary, as in the 1973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buffer between the two bodies. The responsibilities of municipal councils and police commissions are clearly set out in the new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and they do not overlap. Council is responsible to establish a municipal police service (s 4(5)), and is required to establish and fund a police commission and appoint members to the commission (s 28). The council receives estimates and plans for required police services from the commission, may obtain such information from the commission as is necessary to develop a budget, and establishes the total budget for purposes of the police service (s. 29). The commission, not the council, is responsible for allocating the funds: s 29(3). This latter separation of responsibilities was not expressly set out in the 1973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commission, on the other hand, is responsible for overseeing the police service and, specifically, for allocating funds provided by council, establishing policies for efficient and effective policing, issuing instructions to the chief of police, and ensuring that sufficient persons are employed for the police service: s 31(1). Section 31 also contains a new express prohibition that council shall not "perform any function or exercise any power in respect of the police service that the commission is empowered to perform or exercise": s. 31(5) (a). Nor can council issue any instructions to a police officer: s 31(5)(b).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The commission is also responsible to appoint the chief of police (subject to ratification by council): s 36(1). The chief of police is accountable to the commission for the operation of the police services, the manner in which the chief carries out his or her responsibilities, the administration of finances, and for reporting to the commission any complaint made against the police service and the progress of investigation into such complaints: s 41(3).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The chief must also give the commission any information concerning the activities of the police service that the commission may request, </w:t>
      </w:r>
      <w:r>
        <w:rPr>
          <w:rFonts w:ascii="arial" w:eastAsia="arial" w:hAnsi="arial" w:cs="arial"/>
          <w:color w:val="000000"/>
          <w:sz w:val="20"/>
          <w:u w:val="single"/>
          <w:lang w:val="en-US" w:eastAsia="en-US" w:bidi="ar-SA"/>
        </w:rPr>
        <w:t>except</w:t>
      </w:r>
      <w:r>
        <w:rPr>
          <w:rFonts w:ascii="arial" w:eastAsia="arial" w:hAnsi="arial" w:cs="arial"/>
          <w:color w:val="000000"/>
          <w:sz w:val="20"/>
          <w:lang w:val="en-US" w:eastAsia="en-US" w:bidi="ar-SA"/>
        </w:rPr>
        <w:t xml:space="preserve"> information concerning individual investigations: s 41(3) (d). There was no equivalent provision in the 1973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If the decision in </w:t>
      </w:r>
      <w:r>
        <w:rPr>
          <w:rFonts w:ascii="arial" w:eastAsia="arial" w:hAnsi="arial" w:cs="arial"/>
          <w:i/>
          <w:color w:val="000000"/>
          <w:sz w:val="20"/>
          <w:lang w:val="en-US" w:eastAsia="en-US" w:bidi="ar-SA"/>
        </w:rPr>
        <w:t>Hunter</w:t>
      </w:r>
      <w:r>
        <w:rPr>
          <w:rFonts w:ascii="arial" w:eastAsia="arial" w:hAnsi="arial" w:cs="arial"/>
          <w:color w:val="000000"/>
          <w:sz w:val="20"/>
          <w:lang w:val="en-US" w:eastAsia="en-US" w:bidi="ar-SA"/>
        </w:rPr>
        <w:t xml:space="preserve"> were permitted to stand, the City would have greater access to police investigative files than the police commission, the body taxed with general oversight of the police service. This cannot have been the legislature's intent.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For all of these reasons, the broad principle set out in </w:t>
      </w:r>
      <w:r>
        <w:rPr>
          <w:rFonts w:ascii="arial" w:eastAsia="arial" w:hAnsi="arial" w:cs="arial"/>
          <w:i/>
          <w:color w:val="000000"/>
          <w:sz w:val="20"/>
          <w:lang w:val="en-US" w:eastAsia="en-US" w:bidi="ar-SA"/>
        </w:rPr>
        <w:t>Hunter</w:t>
      </w:r>
      <w:r>
        <w:rPr>
          <w:rFonts w:ascii="arial" w:eastAsia="arial" w:hAnsi="arial" w:cs="arial"/>
          <w:color w:val="000000"/>
          <w:sz w:val="20"/>
          <w:lang w:val="en-US" w:eastAsia="en-US" w:bidi="ar-SA"/>
        </w:rPr>
        <w:t xml:space="preserve"> is no longer good law, if it ever was. It is inconsistent with the intention of the legislature in creating distance between municipal councils and the police services they are required to establish, an intention borne out by the mandatory creation of police commissions and the vesting of those commissions with operational oversight of police services. The role of the municipal council is largely limited to budgetary matters.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This interpretation is also consistent with the broader concern in the law to protect the privacy of records, as enshrined in both federal and provincial privacy legislation. The legislative intent to separate municipal councils and police services may also be seen in Alberta's </w:t>
      </w:r>
      <w:r>
        <w:rPr>
          <w:rFonts w:ascii="arial" w:eastAsia="arial" w:hAnsi="arial" w:cs="arial"/>
          <w:i/>
          <w:color w:val="000000"/>
          <w:sz w:val="20"/>
          <w:lang w:val="en-US" w:eastAsia="en-US" w:bidi="ar-SA"/>
        </w:rPr>
        <w:t>Freedom of Information and Protection of Privacy Act,</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RSA 2000, c F-25</w:t>
        </w:r>
      </w:hyperlink>
      <w:r>
        <w:rPr>
          <w:rFonts w:ascii="arial" w:eastAsia="arial" w:hAnsi="arial" w:cs="arial"/>
          <w:color w:val="000000"/>
          <w:sz w:val="20"/>
          <w:lang w:val="en-US" w:eastAsia="en-US" w:bidi="ar-SA"/>
        </w:rPr>
        <w:t>, which classifies the two as separate public bodies, to which separate Freedom of Information requests must be made.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The policy behind this structure is sound, and is concisely set out in the following excerpt from Paul Ceyssens, </w:t>
      </w:r>
      <w:r>
        <w:rPr>
          <w:rFonts w:ascii="arial" w:eastAsia="arial" w:hAnsi="arial" w:cs="arial"/>
          <w:i/>
          <w:color w:val="000000"/>
          <w:sz w:val="20"/>
          <w:lang w:val="en-US" w:eastAsia="en-US" w:bidi="ar-SA"/>
        </w:rPr>
        <w:t>Legal Aspects of Policing</w:t>
      </w:r>
      <w:r>
        <w:rPr>
          <w:rFonts w:ascii="arial" w:eastAsia="arial" w:hAnsi="arial" w:cs="arial"/>
          <w:color w:val="000000"/>
          <w:sz w:val="20"/>
          <w:lang w:val="en-US" w:eastAsia="en-US" w:bidi="ar-SA"/>
        </w:rPr>
        <w:t>, loose-leaf (Update 15 - September 2002), (Earlscourt Legal Press, Inc., 1994) at p 4-13: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Various justifications exist for inserting a police board between the municipal council and the police force. The most prominent reason relates to insulating the police from direct control from municipal politicians. In </w:t>
      </w:r>
      <w:r>
        <w:rPr>
          <w:rFonts w:ascii="arial" w:eastAsia="arial" w:hAnsi="arial" w:cs="arial"/>
          <w:i/>
          <w:color w:val="000000"/>
          <w:sz w:val="20"/>
          <w:lang w:val="en-US" w:eastAsia="en-US" w:bidi="ar-SA"/>
        </w:rPr>
        <w:t>Bruton v. Regina City Policemen's Ass'n Loc.</w:t>
      </w:r>
      <w:r>
        <w:rPr>
          <w:rFonts w:ascii="arial" w:eastAsia="arial" w:hAnsi="arial" w:cs="arial"/>
          <w:color w:val="000000"/>
          <w:sz w:val="20"/>
          <w:lang w:val="en-US" w:eastAsia="en-US" w:bidi="ar-SA"/>
        </w:rPr>
        <w:t xml:space="preserve"> 155, </w:t>
      </w:r>
      <w:hyperlink r:id="rId694" w:history="1">
        <w:r>
          <w:rPr>
            <w:rFonts w:ascii="arial" w:eastAsia="arial" w:hAnsi="arial" w:cs="arial"/>
            <w:i/>
            <w:color w:val="0077CC"/>
            <w:sz w:val="20"/>
            <w:u w:val="single"/>
            <w:shd w:val="clear" w:color="auto" w:fill="FFFFFF"/>
            <w:lang w:val="en-US" w:eastAsia="en-US" w:bidi="ar-SA"/>
          </w:rPr>
          <w:t>[1945] 3 D.L.R. 437</w:t>
        </w:r>
      </w:hyperlink>
      <w:r>
        <w:rPr>
          <w:rFonts w:ascii="arial" w:eastAsia="arial" w:hAnsi="arial" w:cs="arial"/>
          <w:color w:val="000000"/>
          <w:sz w:val="20"/>
          <w:lang w:val="en-US" w:eastAsia="en-US" w:bidi="ar-SA"/>
        </w:rPr>
        <w:t xml:space="preserve"> (Sask CA), the Chief Justice of Saskatchewan offered the following analysis: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In providing such a body to administer the police force, I am of the opinion that it was the intention of the Legislature to ensure a just and impartial carrying out of the duties which devolve upon constables and peace officers and to place the chief of police, the officers and the constables of the force in a position where they are removed from the influence of persons who may attempt to interfere with the due performance of police duties such as the detention and arrest of offenders, the preservation of the peace, the enforcement of laws, and other similar duties with which police officers are entrusted by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A similar legislative intent to insulate the police force from improper influence is apparent in the structure created by Alberta's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It would undermine that intent to give municipalities a special legal right to access all records kept by their police forces, for any purpose. Of course, a municipality, like any other person, can obtain such records through appropriate channels, such as a request under Freedom of Information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It should be noted that in Alberta, s. 39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R.S.A. 2000, c. P-17</w:t>
        </w:r>
      </w:hyperlink>
      <w:r>
        <w:rPr>
          <w:rFonts w:ascii="arial" w:eastAsia="arial" w:hAnsi="arial" w:cs="arial"/>
          <w:color w:val="000000"/>
          <w:sz w:val="20"/>
          <w:lang w:val="en-US" w:eastAsia="en-US" w:bidi="ar-SA"/>
        </w:rPr>
        <w:t xml:space="preserve">, states that the chief of police, as opposed to the relevant municipality, is liable for any tortious acts committed by police officers in carrying out their duties. Nonetheless, in my opinion the legislative scheme for police in British Columbia conforms with the description of the Chief Justice in </w:t>
      </w:r>
      <w:r>
        <w:rPr>
          <w:rFonts w:ascii="arial" w:eastAsia="arial" w:hAnsi="arial" w:cs="arial"/>
          <w:i/>
          <w:color w:val="000000"/>
          <w:sz w:val="20"/>
          <w:lang w:val="en-US" w:eastAsia="en-US" w:bidi="ar-SA"/>
        </w:rPr>
        <w:t>Bruton v. Regina City Policemen's Ass'n Local No. 155</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[1945] 3 D.L.R. 437</w:t>
        </w:r>
      </w:hyperlink>
      <w:r>
        <w:rPr>
          <w:rFonts w:ascii="arial" w:eastAsia="arial" w:hAnsi="arial" w:cs="arial"/>
          <w:color w:val="000000"/>
          <w:sz w:val="20"/>
          <w:lang w:val="en-US" w:eastAsia="en-US" w:bidi="ar-SA"/>
        </w:rPr>
        <w:t xml:space="preserve"> at 448-49, </w:t>
      </w:r>
      <w:hyperlink r:id="rId694" w:history="1">
        <w:r>
          <w:rPr>
            <w:rFonts w:ascii="arial" w:eastAsia="arial" w:hAnsi="arial" w:cs="arial"/>
            <w:i/>
            <w:color w:val="0077CC"/>
            <w:sz w:val="20"/>
            <w:u w:val="single"/>
            <w:shd w:val="clear" w:color="auto" w:fill="FFFFFF"/>
            <w:lang w:val="en-US" w:eastAsia="en-US" w:bidi="ar-SA"/>
          </w:rPr>
          <w:t>[1945] 2 W.W.R. 273</w:t>
        </w:r>
      </w:hyperlink>
      <w:r>
        <w:rPr>
          <w:rFonts w:ascii="arial" w:eastAsia="arial" w:hAnsi="arial" w:cs="arial"/>
          <w:color w:val="000000"/>
          <w:sz w:val="20"/>
          <w:lang w:val="en-US" w:eastAsia="en-US" w:bidi="ar-SA"/>
        </w:rPr>
        <w:t xml:space="preserve"> (Sask. C.A.), and I respectfully agree with the reasoning Paperny J.A. in </w:t>
      </w:r>
      <w:r>
        <w:rPr>
          <w:rFonts w:ascii="arial" w:eastAsia="arial" w:hAnsi="arial" w:cs="arial"/>
          <w:i/>
          <w:color w:val="000000"/>
          <w:sz w:val="20"/>
          <w:lang w:val="en-US" w:eastAsia="en-US" w:bidi="ar-SA"/>
        </w:rPr>
        <w:t>McAllister</w:t>
      </w:r>
      <w:r>
        <w:rPr>
          <w:rFonts w:ascii="arial" w:eastAsia="arial" w:hAnsi="arial" w:cs="arial"/>
          <w:color w:val="000000"/>
          <w:sz w:val="20"/>
          <w:lang w:val="en-US" w:eastAsia="en-US" w:bidi="ar-SA"/>
        </w:rPr>
        <w:t xml:space="preserve">. For the reasons that she expressed in the paragraphs to which I have made reference, I find that the legislative intent of the British Columbia Legislature in insulating the VPD from the influence of the City of Vancouver results in the City lacking possession, control or power over the VPD Records. This conclusion is bolstered by the fact that the </w:t>
      </w:r>
      <w:r>
        <w:rPr>
          <w:rFonts w:ascii="arial" w:eastAsia="arial" w:hAnsi="arial" w:cs="arial"/>
          <w:i/>
          <w:color w:val="000000"/>
          <w:sz w:val="20"/>
          <w:lang w:val="en-US" w:eastAsia="en-US" w:bidi="ar-SA"/>
        </w:rPr>
        <w:t>Freedom of Information and Protection of 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165</w:t>
      </w:r>
      <w:r>
        <w:rPr>
          <w:rFonts w:ascii="arial" w:eastAsia="arial" w:hAnsi="arial" w:cs="arial"/>
          <w:color w:val="000000"/>
          <w:sz w:val="20"/>
          <w:lang w:val="en-US" w:eastAsia="en-US" w:bidi="ar-SA"/>
        </w:rPr>
        <w:t>, treats a police service as a separate public body from a municipality for the purpose of records access.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plaintiff's contention that he will be hampered in securing appropriate document agreements and in otherwise advancing his claim at trial if the City is not obliged to disclose and list the VPD Records is answered in part by the fact that he already has them. He is free to cross examine on the VPD Records, and I was advised that he has already done so through his examinations for discovery of the defendants William Harkema and Marilyn Sims. He is similarly free to pursue document agreements and otherwise seek to advance his claims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the result, I conclude that while the VPD is not a legal entity, and cannot be sued, its records are not within the possession, control or power of the City of Vancouver so as to generally require their listing by the City on its list of documents, subject to one exception which I will now discuss.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Counsel for the plaintiff advised me that he obtained admissions with respect to the authorship of some of the VPD Records from the defendants Harkema and Sims. Given that such admissions were obtained, the City is, in my opinion, obliged to amend its list of documents, where appropriate, to reflect those admissions. In the event the City fails to do so within 14 days, the plaintiff will have liberty to renew its application for the alternative order set out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plaintiff's application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C.E. HINKSON C.J.S.C.</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1" style="position:absolute;z-index:251888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95"/>
          <w:headerReference w:type="default" r:id="rId696"/>
          <w:footerReference w:type="even" r:id="rId697"/>
          <w:footerReference w:type="default" r:id="rId698"/>
          <w:headerReference w:type="first" r:id="rId699"/>
          <w:footerReference w:type="first" r:id="rId70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01" w:history="1">
        <w:r>
          <w:rPr>
            <w:rFonts w:ascii="arial" w:eastAsia="arial" w:hAnsi="arial" w:cs="arial"/>
            <w:b/>
            <w:bCs/>
            <w:i/>
            <w:color w:val="0077CC"/>
            <w:kern w:val="32"/>
            <w:sz w:val="28"/>
            <w:szCs w:val="32"/>
            <w:u w:val="single"/>
            <w:shd w:val="clear" w:color="auto" w:fill="FFFFFF"/>
            <w:lang w:val="en-US" w:eastAsia="en-US" w:bidi="ar-SA"/>
          </w:rPr>
          <w:t>Honey v. Star-FM Radio Inc., [2000] B.C.J. No. 1117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Beames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8 - 11, 15 - 18, March 7 and 8,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29,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C985436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1117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832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97 A.C.W.S. (3d) 670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B.C.T.C. 324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Eric G. Honey, plaintiff, and Star-FM Radio Inc., Fraser Valley Broadcasters, Ltd. and William Coombes,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2"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9" w:name="Keywords_38"/>
      <w:bookmarkEnd w:id="259"/>
      <w:r>
        <w:rPr>
          <w:rFonts w:ascii="arial" w:eastAsia="arial" w:hAnsi="arial" w:cs="arial"/>
          <w:b/>
          <w:color w:val="000000"/>
          <w:sz w:val="20"/>
          <w:lang w:val="en-US" w:eastAsia="en-US" w:bidi="ar-SA"/>
        </w:rPr>
        <w:t xml:space="preserve">Master and servant — Contract of hiring (employment contract) — Termination — Whether cause required — Dismissal without cause — Liability of master to servant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Negligent misrepresentation.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0" w:name="Case Summary_37"/>
            <w:bookmarkEnd w:id="26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Honey against Star-FM Radio and Coombes, Star-FM's president, for breach of contract and negligent or fraudulent misrepresentation. Honey was 52 years old. He had been employed with another radio station for 25 years prior to accepting employment with Star-FM. Star-FM approached Honey to have him join the station. Star-FM indicated that it planned to expand its market, and that it had received approval for a further transmitter. Honey indicated that he would require a commitment of three to five years prior to leaving his existing position. Honey testified that they did not discuss any termination provisions at this initial meeting. Star-FM testified that they discussed a mutual termination period of three months. Honey was sent a draft agreement which included the termination provisions, which Honey stated that he did not read. When the agreement was signed by the parties, Honey testified that he was told to ignore the termination provisions. His employment was terminated after 11 months. Star-FM testified that the station was experiencing financial difficulties which made it impossible to continue Honey's employment. Honey was unable to secure employment following his termination. Honey claimed that the parties agreed orally that Star-FM would not rely on the no-cause provisions. Alternatively, he claimed that Star-FM and Coombes made false representations which induced him to enter into the agreement to his detriment.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1" w:name="Holdings of Court_34"/>
            <w:bookmarkEnd w:id="261"/>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were no misrepresentations made by Star-Fm to Honey. The parties knew that the expansion plan was uncertain. Star-FM had received approval for a new transmitter and was genuinely committed to the plan of expansion. The issue of mutual termination was discussed at the meeting between the parties. The evidence showed that the parties discussed the contents of the draft agreement and reviewed it in detail. Star-FM did not represent to Honey that the termination provisions of the contract were not part of the agreement between the parties. Star-FM made a business decision to terminate Honey's employment without cause as it was entitled to do under the contract.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2" w:name="Counsel_39"/>
      <w:bookmarkEnd w:id="26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3"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Murray B. Blok and David Crerar, for the plaintiff. Don P. Baron,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3" w:name="Judgment_39"/>
      <w:bookmarkEnd w:id="263"/>
      <w:r>
        <w:pict>
          <v:line id="_x0000_s1214" style="position:absolute;z-index:25180160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4" w:name="BEAMES J."/>
            <w:bookmarkEnd w:id="264"/>
            <w:r>
              <w:rPr>
                <w:rFonts w:ascii="arial" w:eastAsia="arial" w:hAnsi="arial" w:cs="arial"/>
                <w:b/>
                <w:color w:val="000000"/>
                <w:sz w:val="30"/>
                <w:lang w:val="en-US" w:eastAsia="en-US" w:bidi="ar-SA"/>
              </w:rPr>
              <w:t>BEAMES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is essentially a wrongful dismissal action. The plaintiff, Eric G. Honey ("Honey"), claims against the corporate defendants, Star-FM Radio Inc. and Fraser Valley Broadcasters, Ltd. (collectively "STAR-FM"), for breach of contract and negligent or fraudulent misrepresentation, and against the individual defendant, William Coombes ("Coombes"), for negligent or 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brief, Honey claims that he was hired by Star-FM for a fixed three year term and that he was wrongfully terminated after 11 months. Honey and Star-FM executed a written employment agreement, providing that the term would be for three years, subject to termination provisions, both for cause and no cause. Honey claims that the employment agreement was part written and part oral, and that the parties agreed that STAR-FM would not rely upon the no cause termination provisions contained in the written employment agreement. Alternatively, he claims that the defendants made false representations which induced him to enter into the employment agreement, to his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case will revolve, to a great extent, around factual issues with respect to whether or not certain alleged oral representations were made by Coombes, personally and on behalf of STAR-FM. The specific representations which Honey claims were made to him by Coombes are as follows:</w:t>
      </w:r>
      <w:r>
        <w:rPr>
          <w:rFonts w:ascii="arial" w:eastAsia="arial" w:hAnsi="arial" w:cs="arial"/>
          <w:sz w:val="20"/>
          <w:lang w:val="en-US" w:eastAsia="en-US" w:bidi="ar-SA"/>
        </w:rPr>
        <w:cr/>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STAR-FM had been given approval to put a transmitter on Mount Seymour which would allow it full access to the Vancouver radio market;</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STAR-FM had research done that showed that this venture was a long term project (3 to 5 years) and STAR-FM was committed to this time frame;</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STAR-FM had the financial resources to see the project through;</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STAR-FM would engage Honey to do the morning show for a period of three years, although this would be the first of many contracts;</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three year commitment from Honey was necessary to realize the expected financial results and the defendants were committed to a three year plan of operations; and</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termination provisions in the written employment agreement meant nothing and should be ignored by Honey.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If I find that some or all of the alleged representations were made, then the legal issues will be as follows: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evidence of the oral representations admissible, or should it be excluded pursuant to the parol evidence rule?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oral representations warranties, or alternatively, did they constitute a collateral contract?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termination of the plaintiff a breach of contract or of warranty?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oral representations negligent, or alternatively, fraudulent misrepresentations, giving rise to a claim in tort?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a claim in tort, is Coombes personally liable?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fact that Honey cashed the cheque provided to him by STAR-FM as his severance pay give rise to a defence of accord and satisfaction?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Honey establishes a claim in contract or tort, did he properly mitigate his damages?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Honey establishes a claim in contract or tort, what damages should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is currently 52 years old. He has been employed in the broadcasting industry all his working life, starting with television in eastern Canada, and then moving to radio in Vancouver in the late 1960's. From 1972 to 1997, he was employed at a radio station in Vancouver, known as CKNW, primarily as a radio show host. In his later years at CKNW, Honey was the host for a show that was described at trial as the afternoon drive show, broadcast between the hours of 3:00 and 5:00 p.m., Monday to Friday. The afternoon drive show was the second most important show for CKNW, the most important show being the morning show. For some years prior to 1997, Honey was the relief person for the morning show, and his career aspirations included becoming the regular morning show host for CKNW. He was described as having been the heir apparent to CKNW's long time morning show host.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1997, CKNW decided to change the format of the afternoon drive show to an "all talk" format and on April 7, 1997, Honey was advised that he would be taken off the air effective May 31, 1997. He was advised that his time slot would be filled by two other CKNW employees who would deliver the new format. Honey was advised by representatives of CKNW that he still had employment, that consideration would be given to what his new duties would be and that it was not their intention that Honey would leave CKNW. Between April 7 and May 31, 1997, there were written communications between Honey and other people at CKNW, as well as some informal meetings, with respect to possible job duties for Honey after May 31. Honey was not satisfied with the proposals he was receiving. However, he was receiving reassurance that an appropriate job, with the same pay and benefits, would be created for him in due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May 30, 1997, Honey's immediate supervisor wrote him to confirm that his position as on-air radio host had been terminated, and that his contract, due to expire on August 31, 1997, would not be renewed. The following is a portion of that letter: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Pursuant to Article 3.1 of your current employment agreement, we wish to notify you that CKNW Radio will not be renewing your current employment agreement which expires on August 31st, and that you should feel free to enter into negotiations with another radio station with a view to finding a new employer.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we are exercising Article 7.7, to terminate this agreement prior to August 31st, by providing you with six months pay in lieu of notice. Since your last day of employment is May 31, 1997, you will receive a cheque for six months' salary.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Honey had had written employment agreements with CKNW for some years. The agreements, for several years leading up to 1997, had been for one year terms. It was Honey's evidence that the written agreement was not considered by either himself or CKNW to be particularly relevant or applicable to his employment situation. Notwithstanding those views, the agreements were annually reviewed, renewed and signed, although in the case of the 1996-97 contract year, it is clear that the agreement was not signed by either party until mid-January,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Article 7.7, which was referred to in the CKNW termination letter,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Either party may terminate this Agreement without just cause by giving the other party six months notice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receipt of this letter, seemingly terminating his employment completely, Honey sought advice from a labour consultant friend. He was advised by that person to speak to someone more senior at CKNW than Honey's immediate supervisor to clarify his position, and he did so. He was again reassured that he had a position at CKNW, with duties yet to be defined. He was offered the opportunity to take the summer off, with full pay, with the intention that he and representatives of CKNW would continue to work out a job description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While these developments were taking place, it was public knowledge that Honey was being taken off the air by CKNW. STAR-FM, a radio station based in the Fraser Valley, with transmitters in Abbotsford and Chilliwack, was in the process of developing a new strategic plan. This new plan had its genesis in an approval STAR-FM had received from the Canadian Radio and Television Commission ("CRTC") to install a third transmitter on Mount Seymour. This new transmitter would significantly improve the clarity of STAR-FM's radio signal in the Greater Vancouver Regional District ("GVRD") and in the western reaches of the Fraser Valley. For approximately one year prior to the spring of 1997, STAR-FM had been planning changes to its programming in hopes of increasing its number of listeners in Vancouver and the GVRD, while continuing to serve its existing Fraser Valley audience.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Barrie McMaster ("McMaster"), the vice-president of STAR-FM, had worked with Honey in the past. When he heard that Honey was being taken off the air by CKNW, he decided to approach Honey about joining STAR-FM. He started making calls to Honey prior to May 31, 1997, but had no success in reaching him. Finally, Honey and McMaster spoke, and arranged for a meeting on June 9, 1997, at the Hotel Vancouver. The meeting was to include Honey, McMaster, and Coombes, the president of STAR-FM. This meeting occurred shortly after Honey had met with his labour consultant friend, and then with the president and general manager of CKNW.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Honey arrived at the Hotel Vancouver, and told Coombes and McMaster that his advisors had told him he should not be seen talking to anyone until he had finished his discussions with CKNW. Honey testified that he made that up, as he felt it was more socially acceptable to say that than to say, in fact, that he just was not interested in talking to the people from STAR-FM at that time. Coombes and McMaster assumed, logically in my view, that Honey's statement was in reference to negotiations for a severance package from CKNW. The meeting ended, but a few days later, another meeting was set up for Coombes, McMaster, and Honey in Abbottsford, in a meeting room in a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the meeting, which took place June 14, 1997, Coombes gave Honey information about STAR-FM and its background, including information about the CRTC approval to put a third transmitter on Mount Seymour, and the resulting potential for STAR-FM to attract a larger Vancouver audience. He then produced a non-disclosure agreement, which he told Honey would have to be signed before any discussion of STAR-FM's specific plans could occur. Honey signed the agreement, which was kept by Coombes, and the discussion moved to the plan which STAR-FM had to take advantage of this new potential. While no specific job offer was made at this meeting, it became clear that Coombes was interested in employing Honey in an on-air capacity, and particularly as a morning show person, the most important and high profile radio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is some issue between the parties as to precisely what was said at the meeting. I accept that Coombes asked Honey what it would take to get Honey to join STAR-FM, and Honey responded with $160,000.00. I also accept that there was some discussion that the plan to expand significantly into the Vancouver market was one that would take several years to bear fruit. I am satisfied that Honey was told that STAR-FM had received the advice of a consultant and understood that it would take at least three years to realize the full goal of the expansion plan. I find that Coombes told Honey that STAR-FM was committed to seeing the plan through. I accept that Honey, at some point during the meeting, advised Coombes and McMaster that he would need a serious commitment, in the nature of three to five years, before he would consider leaving CKNW.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is also an issue as to whether Coombes told Honey specifically that STAR-FM had its bank's full support for the project, as Honey testified, or that STAR-FM did not have deep pockets, as Coombes and McMaster testified. I have concluded that Coombes was projecting a positive and enthusiastic attitude about STAR-FM's financial wherewithal to finance the project of expansion of its Vancouver market, but with the clear caveat that STAR-FM was a small company without deep pockets.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the conclusion of the meeting of June 14, 1997, both Coombes and Honey were interested in pursuing further discussions, although Coombes thought it unlikely that STAR-FM could pay the kind of remuneration Honey was looking for. Coombes had the impression, which I find was accurate, that Honey "really really wanted to do a breakfast show that could be heard in Vancouver". It was understood that Coombes would consider whether or not STAR-FM could offer Honey the kind of salary that Honey had indicated he would be looking for and then get back to Honey.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next meeting involving the parties was a meeting on June 17, 1997, between Honey, Coombes, and McMaster, at Honey's residence. Honey's wife was present for the beginning of the meeting and for the end of the meeting, but not for the majority of the meeting during which business was discussed. There is again some issue as to what occurred at this meeting, although the parties take a common position with respect to parts of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Coombes testified that he took with him to the meeting an outline, or rough agenda, of the issues he wished to cover during the meeting, and that he generally followed the agenda. That agenda is included in the parties' common book of documents. Included in the list of items to be discussed were an in-home broadcast link (as the first item on the agenda), an adjustable income over three years with the intention of making the overall compensation, by year three, comparable to that paid to other morning hosts "in the city" and items to be covered in an employment agreement, including "termination proceedures (sic) - both ways plus right of first refusal".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divergence in the evidence between the plaintiff, on one hand, and Coombes and McMaster, on the other, is essentially two-fold. Firstly, Coombes and McMaster testified that the discussion between themselves and the plaintiff on June 17, 1997 included the topic of termination provisions in an employment agreement, whereas the plaintiff denies any such discussion. Secondly, Coombes and McMaster testified that the issue of a home studio was discussed with the plaintiff early in the meeting, and before they were taken on a tour of the plaintiff's home by the plaintiff and his wife. The plaintiff testified that the first time the home studio came up was while the parties were on the tour. His evidence is somewhat collaterally supported by Mrs. Honey, who testified that the plaintiff appeared shocked when the suggestion was made while the tour was taking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will deal first with the issue of whether or not there was discussion of an employment agreement including a mutual termination provision. Based on the evidence before me, and on my observations during the trial, I am satisfied that Coombes is a person who thrives on detail and organization, at least with respect to legal matters such as contracts. He made notes in advance of the meeting of June 17, and other notes in connection with planned telephone discussions concerning the draft employment agreement. All three witnesses confirm discussion of the situation of another radio personality in Vancouver with respect to termination processes, or lack thereof, in his contract which became a subject of some of his radio broadcasts. The defendants' witnesses testified that that discussion was in the context of discussing and mutually agreeing that a three month termination clause was appropriate for the parties in this case. It is, in my view, probable that the plaintiff was still maintaining a hope that he might someday be offered the morning show at CKNW which he had coveted for a significant number of years. That being the case, the mutual termination procedures would have benefited the plaintiff as well, if such an offer had been made. On all of the evidence before me, I accept that the issue of mutual termination provisions was discussed at the June 17 meeting, in the context of an employment agreement for the plaintiff, as testified to by Coombes and McMaster.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Similarly, I am satisfied, notwithstanding Mrs. Honey's perception that the plaintiff was shocked, as she was, when the home studio issue arose during the course of the home tour, that in fact that issue had been discussed by Honey, Coombes, and McMaster early in the meeting. Coombes testified that there was a discussion of a basement location, and that he was told and shown that there was only something more akin to a crawl space, which he was able to describe, including its location, in his testimony. That evidence had a real ring of truth to it, and I accept that as confirmation that the discussion concerning a home studio occurred early. I have concluded that the plaintiff's strenuous denial of that early discussion must relate to some communication between Honey and his wife shortly after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Following the meeting of June 17, 1997, the parties exchanged e-mail messages and then a meeting was set up between Honey and his wife and McMaster and his wife for June 22, 1997, for the purpose of touring the plaintiff through the defendants' facilities in Abbotsford and Chilliwack. Very little of consequence to this action occurred during the meeting and tour. However, I am satisfied, on the evidence before me, that the plaintiff was interested in keeping his discussions with the defendants secret, and that the defendants shared that interest. I am also satisfied that Honey conveyed to McMaster and McMaster's wife that he had decided to leave CKNW.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next event of significance between the parties was that Coombes, using a draft employment agreement he had obtained, prepared a draft agreement and faxed it to the plaintiff for review. The evidence does not establish the precise date the draft agreement was faxed, although it is clear that it was faxed on or before June 26, 1997. Coombes believed that he faxed the agreement on June 23 or 24, 1997, and I conclude that he is likely correct. On June 26, 1997, the draft agreement was discussed, over the telephone, by Coombes and the plaintiff. I find, notwithstanding the plaintiff's denial, that McMaster was party to the conversation by way of the call being conducted over the speaker phone in Coombes' office. Coombes made notes of the conversation, which notes are part of the parties' joint book of exhibits.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testified that before the telephone conversation of June 26, 1997, he had read and reviewed only the portions of the draft agreement dealing with compensation and job duties, as those were the matters Coombes had asked him to review, and that, in particular, he had not read the termination provisions. I find this evidence to be incredible, and inconsistent with the notes Coombes made of the conversation. It is also inconsistent with the first remark alleged by Coombes and McMaster to have been made by the plaintiff, reflected in Coombes' notes, namely that "the tone and texture [of the agreement] favours protecting STAR-FM". I am satisfied that the plaintiff had reviewed and read the entire draft agreement and that he made the comment attributed to him by the defendants and included in Coombes' notes of the conversation of June 26,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Included in the draft employment agreement were the following terms: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TERM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This Agreement and E.G.'s employment under it shall commence on August 1, 1997 and continue until July 31, 2000, unless earlier terminated pursuant to Article 6 of this Agreement (the "Term").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6.1</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STAR-FM may terminate E.G.'s employment and this Agreement at any time without notice, pay in lieu of notice or severance compensation of any kind, if STAR-FM has just cause for termination.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6.2</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the absence of just cause, STAR-FM may terminate E.G.'s employment and this Agreement by giving E.G. three months prior written notice (herein referred to as the "Employer Termination Notice Period") of termination or pay in lieu of notice as follows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E.G. may terminate this Agreement and his employment at any time upon giving three months prior written notice (herein referred to as the "Employee Termination Notice Period") to STAR-FM.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emphasis)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am satisfied that the entirety of the draft agreement was discussed between the plaintiff and Coombes during the course of the telephone conversation, with McMaster simply listening in for the most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Following the telephone conversation, the plaintiff sent an e-mail message to Coombes and McMaster. That e-mail message confirmed that he had spoken on the telephone to both Coombes and McMaster on June 26, 1997. It also contained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realized that although I had covered most points, I wanted to add one that got missed in my counter to your proposal. I would like to keep the first year as you have proposed with regard to compensation. It does not live up to Major Market Morning Program standards, but I believe that with a three year deal in place, there should be room for birth before the real growth begins. I would however like to modify the second and third year basic pay package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e-mail message also contained the following paragraph, which I consider significant, given Honey's adamant position at trial that he did not decide to leave CKNW until sometime after June 30, 1997: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 have now spoken with the principals at CKNW and made my point clear with them that I will not return.</w:t>
      </w:r>
      <w:r>
        <w:rPr>
          <w:rFonts w:ascii="arial" w:eastAsia="arial" w:hAnsi="arial" w:cs="arial"/>
          <w:color w:val="000000"/>
          <w:sz w:val="20"/>
          <w:lang w:val="en-US" w:eastAsia="en-US" w:bidi="ar-SA"/>
        </w:rPr>
        <w:t xml:space="preserve"> They have left a door open for me, as I would only expect. I leave with their good wishes and without a harsh word spoken. My relationship with CKNW shall remain in my past, and I will bring to my new employers some of the advantages I have in working as a major player in a major market, and past marketing director for CKNW Radio.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emphasis)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June 28, 1997, Coombes had another telephone discussion with Honey with respect to the agreement and other matters. Again, Coombes made notes in advance of the discussion, for use by him during the discussion. Coombes noted, during the conversation, that Honey advised him that the situation with CKNW was now settled, and that Honey would sign the STAR-FM employment agreement on Monday, which was June 30, 1997. I accept that Honey did tell Coombes that he would sign the agreement. I am satisfied that by this stage in the negotiations, all of the significant terms of the agreement, including the termination provisions, had been reviewed, discussed and accepted by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Having heard all of the evidence, I am satisfied that the next meeting between the parties was a meeting at Honey's residence on June 30, 1997, attended by Coombes, McMaster, Peter Alpen ("Alpen"), Honey, and Honey's wife. Honey and his wife testified that there was a meeting between Coombes, Alpen, Honey, and his wife which took place between June 22 and June 30, 1997, but I do not accept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am satisfied that the employment agreement, as revised by Coombes following the telephone conversations he had with Honey on June 26 and June 28, 1997, was brought by Coombes to the plaintiff's home on the expectation, at least of Coombes and McMaster, that the agreement would be signed by all parties. Coombes and McMaster testified that during the meeting of June 30, 1997, the final draft of the employment agreement was reviewed by Coombes and Honey, on a page by page and clause by clause basis, through to the end of the contract. Honey and his wife testified that the agreement was reviewed on a clause by clause basis until Clause 6, Termination, was reached. That clause was the same, save for the insertion of the plaintiff's name in place of the initials "E.G.", as it had been in the draft agreement, and portions of it are quoted above. Honey and his wife testified that when this portion of the agreement was reached, Honey indicated he wanted to ask Coombes a question about the clause, to which Coombes replied with words to the effect that Honey should just ignore the clause, it did not matter or mean anything, and that this contract was the first of many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Alpen recalls being at the meeting, and recalls that he and Honey's wife spoke from time to time while Coombes, McMaster, and Honey dealt with the contract. Beyond that, he has little useful recollection of what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respect of the conflicting evidence of Coombes and McMaster on one hand, and of Honey and his wife on the other, I prefer the evidence of Coombes and McMaster. As I have already said, I am satisfied that the issue of a mutual termination provision was discussed by the parties at the meeting of June 17. I am satisfied that Honey had read the termination provisions in the draft contract by not later than June 26, and that on June 26, the entire contract was reviewed and discussed by Coombes and Honey by telephone. Further, the contract was discussed by Honey and Coombes again on June 28, 1997, by telephone. Less than one month earlier, Honey had received a termination letter from his immediate supervisor at CKNW, and had sought advice in that regard. He was, I find, in the throes of negotiating a severance package with CKNW. He had four days between the telephone conversation of June 26 and the meeting of June 30 in which to consider the contract, and raise any issues. He advised Coombes on June 28 that he would sign the contract on June 30. As I have already said, I am satisfied that Coombes would have been the type to chronologically review the contract. The no cause termination provision was mutual, which could well have been to Honey's benefit. McMaster recalls, and I accept his evidence that, the clause was discussed by Coombes with Honey as being necessary, in case either party needed to terminate the agreement. Taking all of the evidence into consideration, I have concluded that the contract was reviewed in full at the meeting of June 30, 1997, and that there was no statement by Coombes to the effect that the plaintiff should disregard the no cause termination provisions, as they would have no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will add here that I do not accept Honey's evidence that he did not understand, at all, the no cause termination provisions. I do not accept that he is as unsophisticated as his counsel submitted. Although the no cause termination provisions are somewhat lengthy, the essence of the clauses is clear and readily understandable in my view. Further, as I have said, I find that Honey had been told, before he ever received the draft contract, that there would be mutual no cause termination provisions and that the issue was discussed between the parties. That clearly would have aided Honey in understanding at least the essence of the clauses in question when the draft was received and reviewed, and when the final version was reviewed on June 30, 1997. It makes no sense that Honey, if he truly did not understand the effect of the no cause termination clause, would wait to raise his question or questions about it until the very meeting at which he had said he would sign the agreement. I also do not accept that Honey believed that he could not get legal advice about the agreement as a result of the confidentiality agreement he signed at the meeting of June 14, 1997. Similarly, I reject the suggestion of counsel for Honey that Coombes deliberately removed the Independent Legal Advice clause from the draft contract he worked from for some nefarious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After the review of the contract, Coombes and McMaster signed each copy, and then, to their great surprise, Honey indicated that he was not yet prepared to sign the contract. Honey testified that he wanted to have one more conversation with his superiors at CKNW before he finally decided whether or not to accept employment with STAR-FM. I am satisfied, on the evidence before me, that Honey had already advised the president of CKNW that he would be leaving CKNW, and that he had negotiated a severance package. Apparently unexpectedly, at least to Honey, the documentation with respect to the severance package had not yet been completed by CKNW by June 30, 1997, and in fact, was not completed until July 2, 1997. The terms of the severance package provided that Honey would be paid six months salary and, in addition, would receive his regular monthly income for a period of 12 months, unless he was able to find work within the broadcast industry during those 12 months, in which case, if his earnings were higher than his CKNW monthly income, he would receive a single payment in the amount of 50% of the remaining 12 month 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find that Honey wanted his severance package with CKNW documented before he signed a contract with STAR-FM, and his hiring with STAR-FM had been made public, so as to maximize his recovery from CKNW. He did sign the agreement with respect to the severance package on July 2, 1997, and on or about that same date, he signed the employment agreement with STAR-FM. On July 14, 1997, he notified the president of CKNW that he had accepted a position in the broadcast industry, and that, as he had received two months mitigated salary at that point, he wished to be paid 50% of the balance, namely a "five month wage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Honey then commenced employment with STAR-FM. There is no issue in this case that Honey did his job, and did it well. The defendants have not plead, nor attempted to establish, that there was any cause to justify Honey's eventual 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Before I deal with the termination of Honey, I will comment briefly on the evidence of Kerry Proudfoot, one of the defendants' witnesses. She was hired to be the plaintiff's co-host for the morning show. She no longer works for the defendant, STAR-FM. Although she and the plaintiff had some conflict during their working relationship, I am satisfied that she gave her evidence in a forthright manner, and that she was an independent witness. She testified that she had a conversation in the fall of 1997 with the plaintiff, and that he confirmed to her that he had a three month termination clause in his contract, as she disclosed she had in hers. This evidence supports the conclusion I have arrived at with respect to the plaintiff's knowledge of the termination provisions in his contract, and the effect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July 2, 1998, Coombes advised Honey, in person, that his employment was coming to an end. Coombes testified that he terminated Honey's employment because the morning show was not working, the expected ratings increase had not occurred, and there was no doubt in his mind that the show was not going to produce the kind of ratings needed to offset its expense. In essence, Coombes testified that he was unable to continue to justify the expense of the show against its revenues. Honey did not, at the meeting with Coombes, make any kind of statement to the effect that he had a three year contract or that he could not be terminated.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July 15, 1998, Coombes wrote an e-mail to Honey, advising him that it would not be necessary for Honey to report to work during the 90 day termination period, and inquiring whether Honey wished to stay on the payroll until October 15, 1998, with full benefits, or receive a lump sum payment out, which would be calculated under the terms of the employment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July 16, 1998, Honey sent an e-mail to Coombes, including the following paragraph: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was shocked with your news to me, of course. I will forever believe that you were on the right track and that it was going to work. But it was never going to work in 11 months and one real rating period. I received positive feedback everywhere on the sound of the station, the players, the format, music, etc. </w:t>
      </w:r>
      <w:r>
        <w:rPr>
          <w:rFonts w:ascii="arial" w:eastAsia="arial" w:hAnsi="arial" w:cs="arial"/>
          <w:color w:val="000000"/>
          <w:sz w:val="20"/>
          <w:u w:val="single"/>
          <w:lang w:val="en-US" w:eastAsia="en-US" w:bidi="ar-SA"/>
        </w:rPr>
        <w:t>I bear no grudge against you or anyone there for what has happened. I was a willing participant in your gamble</w:t>
      </w:r>
      <w:r>
        <w:rPr>
          <w:rFonts w:ascii="arial" w:eastAsia="arial" w:hAnsi="arial" w:cs="arial"/>
          <w:color w:val="000000"/>
          <w:sz w:val="20"/>
          <w:lang w:val="en-US" w:eastAsia="en-US" w:bidi="ar-SA"/>
        </w:rPr>
        <w:t>.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consider this communication from Honey to Coombes to be significant and a true reflection of events. Both Coombes and Honey had been enthused and optimistic about the morning show to be hosted by Honey, but I am satisfied that both knew that there were no guarantees it would be successful. Honey knew, I find, that leaving CKNW to become the morning show host for STAR-FM was a gamble, particularly given the termination provisions in the contract, but he accepted that gamble as a result of his personal confidence that his show would be a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July 23, 1998, Coombes wrote to Honey, formally confirming the notice of termination which had been given verbally on July 2, 1998 and by e-mail on July 15, 1998. On August 12, 1998, Coombes wrote to Honey setting out his calculation of severance pay and enclosing a cheque for salary over the balance of the termination period, a 6% retirement allowance over the balance of the termination period and a lump sum for benefits over the balance of the termination period. That cheque was cashed by Honey on August 17, 1998. On August 18, 1998, the solicitors for Honey wrote to Coombes indicating that due to financial difficulties, Honey would cash the cheque, without prejudice to his claims for amounts due to him under the contract and for misrepresentations, and that the amount would be credited towards any such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Since the plaintiff's termination by STAR-FM, he has been unable to secure employment in the broadcast field, and indeed, has been unable to find any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terms of the specific representations which Honey claims were made to him by Coombes, I accept that Coombes made representations as follows: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STAR-FM had been given approval to put a transmitter on Mount Seymour which would allow it full access to the Vancouver radio market;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STAR-FM had done research that showed that this venture, of expanding its Vancouver market, was a long term project (3 to 5 years) and that STAR-FM was committed to seeing the project through;</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STAR-FM would engage Honey to do the morning show for a three year term, with mutual termination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do not accept that a representation was made to Honey by Coombes, or anyone else, that the termination provisions in the written employment agreement meant nothing and should be ignored by Honey, or that Honey's term of employment was for a fixed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will deal now with the legal issues set out earlier in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the Evidence of the Oral Representations Admissible, or Should it be Excluded Pursuant to the Parol Evidence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Ahone v. Holloway, </w:t>
      </w:r>
      <w:hyperlink r:id="rId702" w:history="1">
        <w:r>
          <w:rPr>
            <w:rFonts w:ascii="arial" w:eastAsia="arial" w:hAnsi="arial" w:cs="arial"/>
            <w:i/>
            <w:color w:val="0077CC"/>
            <w:sz w:val="20"/>
            <w:u w:val="single"/>
            <w:shd w:val="clear" w:color="auto" w:fill="FFFFFF"/>
            <w:lang w:val="en-US" w:eastAsia="en-US" w:bidi="ar-SA"/>
          </w:rPr>
          <w:t>[1988] B.C.J. No. 1603</w:t>
        </w:r>
      </w:hyperlink>
      <w:r>
        <w:rPr>
          <w:rFonts w:ascii="arial" w:eastAsia="arial" w:hAnsi="arial" w:cs="arial"/>
          <w:color w:val="000000"/>
          <w:sz w:val="20"/>
          <w:lang w:val="en-US" w:eastAsia="en-US" w:bidi="ar-SA"/>
        </w:rPr>
        <w:t xml:space="preserve"> (B.C.C.A.), McLachlin, J.A., as she then was,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parol evidence rule is formulated in Corbin on Contracts (1952) p. 534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When the terms of a contract have been embodied in a writing to which both parties have assented as the definite and complete statements thereof, parol evidence of antecedent agreements, negotiations and understandings is not admissible for the purpose of varying or contradicting the contract so embodied.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parol evidence rule is not absolute, as pointed out by Lambert, J.A. in Gallen v. All State Grain Co. </w:t>
      </w:r>
      <w:hyperlink r:id="rId703" w:history="1">
        <w:r>
          <w:rPr>
            <w:rFonts w:ascii="arial" w:eastAsia="arial" w:hAnsi="arial" w:cs="arial"/>
            <w:i/>
            <w:color w:val="0077CC"/>
            <w:sz w:val="20"/>
            <w:u w:val="single"/>
            <w:shd w:val="clear" w:color="auto" w:fill="FFFFFF"/>
            <w:lang w:val="en-US" w:eastAsia="en-US" w:bidi="ar-SA"/>
          </w:rPr>
          <w:t>(1984), 9 D.L.R. (4th) 496</w:t>
        </w:r>
      </w:hyperlink>
      <w:r>
        <w:rPr>
          <w:rFonts w:ascii="arial" w:eastAsia="arial" w:hAnsi="arial" w:cs="arial"/>
          <w:color w:val="000000"/>
          <w:sz w:val="20"/>
          <w:lang w:val="en-US" w:eastAsia="en-US" w:bidi="ar-SA"/>
        </w:rPr>
        <w:t xml:space="preserve"> at p. 506. Thus evidence of an oral agreement or representation may be admissible notwithstanding the existence of a written document to establish a collateral agreement which, although oral, is enforceable.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collateral contract is an oral agreement ancillary to a written agreement. As with any contract, the party alleging it must establish the agreement of all parties to its terms. He must also establish consideration, which in the case of a collateral contract consists in entering into or promising to enter into the principle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Supreme Court of Canada has repeatedly held that a collateral contract -- which is one way of characterizing the agreements as to interest and accommodation in this case -- cannot contradict the main written contract: Hawrish v. Bank of Montreal, </w:t>
      </w:r>
      <w:hyperlink r:id="rId704" w:history="1">
        <w:r>
          <w:rPr>
            <w:rFonts w:ascii="arial" w:eastAsia="arial" w:hAnsi="arial" w:cs="arial"/>
            <w:i/>
            <w:color w:val="0077CC"/>
            <w:sz w:val="20"/>
            <w:u w:val="single"/>
            <w:shd w:val="clear" w:color="auto" w:fill="FFFFFF"/>
            <w:lang w:val="en-US" w:eastAsia="en-US" w:bidi="ar-SA"/>
          </w:rPr>
          <w:t>[1969] S.C.R. 515</w:t>
        </w:r>
      </w:hyperlink>
      <w:r>
        <w:rPr>
          <w:rFonts w:ascii="arial" w:eastAsia="arial" w:hAnsi="arial" w:cs="arial"/>
          <w:color w:val="000000"/>
          <w:sz w:val="20"/>
          <w:lang w:val="en-US" w:eastAsia="en-US" w:bidi="ar-SA"/>
        </w:rPr>
        <w:t xml:space="preserve"> ... Bauer v. Bank of Montreal, </w:t>
      </w:r>
      <w:hyperlink r:id="rId453" w:history="1">
        <w:r>
          <w:rPr>
            <w:rFonts w:ascii="arial" w:eastAsia="arial" w:hAnsi="arial" w:cs="arial"/>
            <w:i/>
            <w:color w:val="0077CC"/>
            <w:sz w:val="20"/>
            <w:u w:val="single"/>
            <w:shd w:val="clear" w:color="auto" w:fill="FFFFFF"/>
            <w:lang w:val="en-US" w:eastAsia="en-US" w:bidi="ar-SA"/>
          </w:rPr>
          <w:t>[1980] 2 S.C.R. 102</w:t>
        </w:r>
      </w:hyperlink>
      <w:r>
        <w:rPr>
          <w:rFonts w:ascii="arial" w:eastAsia="arial" w:hAnsi="arial" w:cs="arial"/>
          <w:color w:val="000000"/>
          <w:sz w:val="20"/>
          <w:lang w:val="en-US" w:eastAsia="en-US" w:bidi="ar-SA"/>
        </w:rPr>
        <w:t xml:space="preserve"> ...; and Carmen Construction Ltd. v. Canadian Pacific Railway Co., </w:t>
      </w:r>
      <w:hyperlink r:id="rId705" w:history="1">
        <w:r>
          <w:rPr>
            <w:rFonts w:ascii="arial" w:eastAsia="arial" w:hAnsi="arial" w:cs="arial"/>
            <w:i/>
            <w:color w:val="0077CC"/>
            <w:sz w:val="20"/>
            <w:u w:val="single"/>
            <w:shd w:val="clear" w:color="auto" w:fill="FFFFFF"/>
            <w:lang w:val="en-US" w:eastAsia="en-US" w:bidi="ar-SA"/>
          </w:rPr>
          <w:t>[1982] 1 S.C.R. 958</w:t>
        </w:r>
      </w:hyperlink>
      <w:r>
        <w:rPr>
          <w:rFonts w:ascii="arial" w:eastAsia="arial" w:hAnsi="arial" w:cs="arial"/>
          <w:color w:val="000000"/>
          <w:sz w:val="20"/>
          <w:lang w:val="en-US" w:eastAsia="en-US" w:bidi="ar-SA"/>
        </w:rPr>
        <w:t xml:space="preserv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rule has not been abrogated or altered, despite criticism by some of its inflexibility, and is binding on this court. The furthest the courts have been willing to go in alleviating its stringency is to read down clauses excluding liability of one of the parties by interpreting them in the right of the oral representations: J. Evans and Son (Portsmouth) Limited v. Andrea Merzario Limited, Gallen v. All State Grain Co., supra. But that approach, insofar as I have been able to ascertain, has not been extended beyond cases involving exclusion clauses, and offers no help to the plaintiff in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follows that the only avenue open to the plaintiff is to show that the terms of the oral agreements he alleges are not inconsistent with the terms of the written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Gallen v. All State Grain Co., referred to above, which case is also referred to as Gallen v. Butterley et al, Lambert, J.A. said, with respect to the parol evidence rule: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the rule does not extend to cases where the document may not embody all the terms of the agreement. And even in cases where the document seems to embody all the terms of the agreement, there is a myriad of exceptions to the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Included in his list of exceptions are the following: for the purpose of showing that a contract is invalid because of fraud or misrepresentation; to establish a collateral agreement, in support of an allegation that the document itself was not intended by the parties to constitute the whole agreement; and in support of a claim in tort that the oral statement was in breach of a duty of care. (Gallen v. Butterley et al </w:t>
      </w:r>
      <w:hyperlink r:id="rId703" w:history="1">
        <w:r>
          <w:rPr>
            <w:rFonts w:ascii="arial" w:eastAsia="arial" w:hAnsi="arial" w:cs="arial"/>
            <w:i/>
            <w:color w:val="0077CC"/>
            <w:sz w:val="20"/>
            <w:u w:val="single"/>
            <w:shd w:val="clear" w:color="auto" w:fill="FFFFFF"/>
            <w:lang w:val="en-US" w:eastAsia="en-US" w:bidi="ar-SA"/>
          </w:rPr>
          <w:t>(1984), 53 B.C.L.R. 38</w:t>
        </w:r>
      </w:hyperlink>
      <w:r>
        <w:rPr>
          <w:rFonts w:ascii="arial" w:eastAsia="arial" w:hAnsi="arial" w:cs="arial"/>
          <w:color w:val="000000"/>
          <w:sz w:val="20"/>
          <w:lang w:val="en-US" w:eastAsia="en-US" w:bidi="ar-SA"/>
        </w:rPr>
        <w:t xml:space="preserve"> at 49-50.)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Given the claims made by the plaintiff in this case, including the claim for fraudulent misrepresentation, I have concluded that all of the evidence which was led at trial with respect to the meetings and conversations between the parties leading up to the signing of the employment contract is admissible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Were the Oral Representations Warranties, or Alternatively, Did They Constitute a Collateral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process of determining whether or not pre-contractual representations are warranties is also addressed in Gallen v. Butterley, supra. Mr. Justice Lambert, in that decision at p. 51, relied on the reasons of Robertson, J.A. in Yorke v. Duval </w:t>
      </w:r>
      <w:hyperlink r:id="rId706" w:history="1">
        <w:r>
          <w:rPr>
            <w:rFonts w:ascii="arial" w:eastAsia="arial" w:hAnsi="arial" w:cs="arial"/>
            <w:i/>
            <w:color w:val="0077CC"/>
            <w:sz w:val="20"/>
            <w:u w:val="single"/>
            <w:shd w:val="clear" w:color="auto" w:fill="FFFFFF"/>
            <w:lang w:val="en-US" w:eastAsia="en-US" w:bidi="ar-SA"/>
          </w:rPr>
          <w:t>(1953), 9 W.W.R. (N.S.) 523</w:t>
        </w:r>
      </w:hyperlink>
      <w:r>
        <w:rPr>
          <w:rFonts w:ascii="arial" w:eastAsia="arial" w:hAnsi="arial" w:cs="arial"/>
          <w:color w:val="000000"/>
          <w:sz w:val="20"/>
          <w:lang w:val="en-US" w:eastAsia="en-US" w:bidi="ar-SA"/>
        </w:rPr>
        <w:t xml:space="preserve"> (B.C.C.A.). He distilled from those reasons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They [the reasons] contained two guides for determining whether a pre-contractual representation is a warranty. First, at pp. 524-25, Robertson J.A. said that the way to decide is to look at the contract in the light of all the surrounding circumstances and that one of the first things to look to is to what extent the accuracy of the statement - the truth of what is promised - would be likely to affect the substance and foundation of the adventure which the contract is intended to carry out. Then, second, at p. 525, Robertson J.A. said that the essence of a warranty is that it becomes plain by the words and actions of the parties that it is intended that, in the purchase, the responsibility of the soundness will rest upon the vendor.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am satisfied that the first two representations which I found were made were of a nature that would be likely to affect the substance and foundation of the adventure. In other words, I am satisfied that Honey wanted to work on-air for a radio station which could be heard in the Vancouver market. Indeed, his off-air status at CKNW is what I have concluded led him to decide to leave CKNW. Had STAR-FM not been given CRTC approval which allowed it full access to the Vancouver radio market, and had it not been committed to seeing through its project of increasing its share of the Vancouver market, Honey would not have been interested in accepting employment with STAR-FM. Similarly, had STAR-FM not been embarking on this new project, it is improbable that it would have been interested in offering employment to Honey.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Consequently, I am satisfied that the first two representations I have found were made were collateral contracts or warranties, the breach of which would give rise to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the Termination of the Plaintiff a Breach of Contract or of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As I will say later in these Reasons, I am satisfied that STAR-FM did have CRTC approval to have a transmitter on Mount Seymour, and that as a result of that approval and the installation of the new transmitter, STAR-FM did have full access to the Vancouver market. I am also satisfied that STAR-FM was fully committed to the three to five year project of expanding into the Vancouver market. It must be emphasized that the project to which I find STAR-FM was committed was the expansion into the Vancouver market, and not the Honey morning show. STAR-FM had to make business decisions as to how to advance its project, and how best to effect its expansion into the Vancouver market. One of the business decisions it made was to terminate Honey as a result of the failure of the morning show to attract listeners.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am unable to find that the termination of Honey's contract amounted to a breach of collateral contract or of warranty with respect to the CRTC approval or its commitment to expand into the Vancouver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Were the Oral Representations Negligent, or Alternatively, Fraudulent Misrepresentations, Giving Rise to a Claim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order to establish a claim for negligent misrepresentation, the plaintiff must prove five elements, set out in Queen v. Cognos Inc. </w:t>
      </w:r>
      <w:hyperlink r:id="rId707" w:history="1">
        <w:r>
          <w:rPr>
            <w:rFonts w:ascii="arial" w:eastAsia="arial" w:hAnsi="arial" w:cs="arial"/>
            <w:i/>
            <w:color w:val="0077CC"/>
            <w:sz w:val="20"/>
            <w:u w:val="single"/>
            <w:shd w:val="clear" w:color="auto" w:fill="FFFFFF"/>
            <w:lang w:val="en-US" w:eastAsia="en-US" w:bidi="ar-SA"/>
          </w:rPr>
          <w:t>(1993), 45 C.C.E.L. 153</w:t>
        </w:r>
      </w:hyperlink>
      <w:r>
        <w:rPr>
          <w:rFonts w:ascii="arial" w:eastAsia="arial" w:hAnsi="arial" w:cs="arial"/>
          <w:color w:val="000000"/>
          <w:sz w:val="20"/>
          <w:lang w:val="en-US" w:eastAsia="en-US" w:bidi="ar-SA"/>
        </w:rPr>
        <w:t xml:space="preserve"> at 171 (S.C.C.) as follows: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of care based on a "special relationship" between the representor and the representee;</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in question must be untrue, inaccurate, or misleading;</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representor must have acted negligently in making said misrepresentation;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representee must have relied, in a reasonable manner, on said negligent misrepresentation;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reliance must have been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Essentially the same elements must be proven to establish a claim for fraudulent misrepresentation, with the exception that the third element requires proof that the representor made the misrepresentation knowingly, or recklessly, not caring whether the misrepresentation was true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this case, I find that the plaintiff has failed to prove that the representations which I have found were made were untrue, inaccurate or misleading. With respect to the first representation I have found was made, it is clear from all of the evidence at trial that STAR-FM had been given approval to put a transmitter on Mount Seymour, which new transmitter would allow it full access to the Vancouver radio market. The plaintiff makes much of the concerns expressed by the CRTC, in the course of the hearing of the application for the new transmitter and before approval was granted, as to STAR-FM's intentions concerning continued service to the Fraser Valley. In particular, some restrictions were put on the approval, including the placement of permanent studio facilities. I cannot find that anything STAR-FM did was in breach of its license, nor, for that matter, contrary to the representations it made to the CRTC in the course of its application. It is, in my view, perfectly understandable that having received the license for the new transmitter, STAR-FM would naturally evolve its plans, including giving consideration to having a larger presence in the Vancouver market. I cannot find any misrepresentation on the part of STAR-FM to the CRTC or to the plaintiff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Similarly, I accept the evidence of the witnesses from STAR-FM that they had done research with respect to expanding its Vancouver market. It was conceded by all witnesses that such a project was necessarily a long term project, and I am satisfied that STAR-FM was committed to seeing the project through. Indeed, STAR-FM continued with the project after Honey's employment was terminated. I cannot find that any portion of the second representation I have found was made was untrue or inaccurate. I cannot accept that STAR-FM's commitment to the project should be understood as having been a commitment to Honey's morning radio show for three years. That was only a small part of the overall program to expand the station's Vancouver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Finally, with respect to the third representation, namely that STAR-FM would engage Honey to do the morning show for a three year term, with mutual termination provisions, that clearly is precisely what STAR-FM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Having found that the representations were not misrepresentations, I need go no further with respect to the required elements for a successful claim of negligent misrepresentation. However, I will make two further comments.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Firstly, I have some doubt with respect to Honey's reliance on the representations, particularly with respect to his resignation from CKNW. I am satisfied that Honey decided to resign from CKNW prior to the conclusion of his negotiations with STAR-FM. However, I do accept that the representations may have formed part of the plaintiff's assessment of the risk involved in leaving his employment at CKNW and joining STAR-FM.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terms of risk assessment, I am drawn to the reasons of McLachlin, J. (now C.J.C.) in Queen v. Cognos Inc., supra, at 194-5, where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person is deciding to enter a contract with terms governing termination, he or she makes an assessment as to the risk of such termination occurring. A stringent term as to termination may not deter the person from entering into the contract if he or she is satisfied that the risk of termination materializing is low. The representation at issue in this case concerned the risk of termination coming about. The representation was not that Cognos would not have the discretion to terminate or transfer the plaintiff on one month's notice. Rather, by implying that the Multiview project was a reality, that it had the financial support of Cognos, and that it has passed through the feasibility and costing stage, Johnston on behalf of Cognos caused the plaintiff to be misled as to the level of the risk to the plaintiff that Cognos might at some point choose to exercise its termination power under the employment contract. The plaintiff, believing Johnston, concluded that the risk of being transferred or terminated was low.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elaborate, a number of situations can be envisaged in which Cognos might have decided to terminate the plaintiff's employment:</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his employment not working out in the Multiview project, for reasons that did not amount to just cause for dismissal (e.g., say his work was mediocre, but not incompetent);</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unanticipated serious financial difficulties being encountered by Cognos, such that a decision might be made to lay off staff;</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situation that actually developed, of Cognos' Corporate Management Team deciding, when the Multiview project reached the end of the feasibility and costing stage, not to make a financial commitment to proceeding with the full development of the Multiview line of products;</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Cognos' Corporate Management Team deciding after a financial commitment had been made to scale back or terminate the development of the Multiview line of products.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excluded the third reason for dismissal, thereby reducing the risk of termination. As found by the trial judge, the plaintiff relied on that representation in deciding to enter into the contract. It turned out to have been negligently made and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As I have said earlier, I am satisfied that both Coombes and Honey were enthused and optimistic about the likelihood of success of Honey's morning show. However, both also knew they were "taking a gamble". I am satisfied that Honey, knowing of the termination clauses, made his own assessment of the risk of accepting employment at STAR-FM and signing the employment contract. I do not find that anything Coombes or McMaster said to Honey misled him as to the level of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Lastly, it must be noted that I can find no evidence in this case to support a claim for 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there is a Claim in Tort, is Coombes Personally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Having already determined that there is no basis for the plaintiff's claim for misrepresentation, I will not address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Does the Fact that Honey Cashed the Cheque Provided to Him by STAR-FM as His Severance Pay Give Rise to a Defence of Accord and Satisfaction?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defendants take the position that as the plaintiff cashed the cheque sent to him on August 12, 1998, the defence of accord and satisfaction arises.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As stated by Ruttan, J. in Gregov v. Canocean Resources Ltd., </w:t>
      </w:r>
      <w:hyperlink r:id="rId708" w:history="1">
        <w:r>
          <w:rPr>
            <w:rFonts w:ascii="arial" w:eastAsia="arial" w:hAnsi="arial" w:cs="arial"/>
            <w:i/>
            <w:color w:val="0077CC"/>
            <w:sz w:val="20"/>
            <w:u w:val="single"/>
            <w:shd w:val="clear" w:color="auto" w:fill="FFFFFF"/>
            <w:lang w:val="en-US" w:eastAsia="en-US" w:bidi="ar-SA"/>
          </w:rPr>
          <w:t>[1987] B.C.J. No. 2014</w:t>
        </w:r>
      </w:hyperlink>
      <w:r>
        <w:rPr>
          <w:rFonts w:ascii="arial" w:eastAsia="arial" w:hAnsi="arial" w:cs="arial"/>
          <w:color w:val="000000"/>
          <w:sz w:val="20"/>
          <w:lang w:val="en-US" w:eastAsia="en-US" w:bidi="ar-SA"/>
        </w:rPr>
        <w:t xml:space="preserve">, a decision upheld by the Court of Appeal, </w:t>
      </w:r>
      <w:hyperlink r:id="rId709" w:history="1">
        <w:r>
          <w:rPr>
            <w:rFonts w:ascii="arial" w:eastAsia="arial" w:hAnsi="arial" w:cs="arial"/>
            <w:i/>
            <w:color w:val="0077CC"/>
            <w:sz w:val="20"/>
            <w:u w:val="single"/>
            <w:shd w:val="clear" w:color="auto" w:fill="FFFFFF"/>
            <w:lang w:val="en-US" w:eastAsia="en-US" w:bidi="ar-SA"/>
          </w:rPr>
          <w:t>[1989] B.C.J. No. 438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 and satisfaction involves an agreement, and the question whether an accord has been arrived at is one of fact, not of law. The accord is the agreement to discharge the existing obligation, and the satisfaction is the consideration required to support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essence, the question to be considered by the court, as one of fact, is whether the parties reached an agreement whereby STAR-FM would pay a certain sum, in exchange for which the plaintiff would release any claims he may have had against the defendants. As set out earlier, the plaintiff had not, prior to cashing the cheque, raised an issue with respect to the termination having been wrongful. His lawyer did not write to STAR-FM until the day after the cheque was cashed indicating that the plaintiff's rights to make a claim were being reserved. Notwithstanding that sequence of events, upon which the defendants rely, I cannot find that the cashing of the cheque amounted to an agreement between the parties. There was no negotiation leading up to the determination of the amount of the payment. There is no suggestion that Honey was not entitled to at least that sum of money. There was nothing in the covering letter to suggest that cashing the cheque would amount to a release of claims, or an acknowledgement of satisfaction of any claims Honey may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Consequently, on all of the evidence, I cannot find an agreement and if the plaintiff had been successful in contract or in tort, I would not find that the defence of accord and satisfaction had been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Honey Establishes a Claim in Contract or Tort, Did He Properly Mitigate His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Although I have found against the plaintiff in contract and in tort, I will deal with mitigation. The plaintiff submits that, as a result of policy changes made by the CRTC, there has been limited hiring by radio stations since his termination. He testified that he made efforts to make contact with people he knew in the industry, to advise them that he was available, and to inquire with respect to possible positions. He also attempted to obtain speaking engagements, which he had regularly done in the past. Contained in the joint book of documents are letters he wrote in that regard, letters from people he contacted, and the list of contacts he made. There is also evidence before me that for a period of time, following his termination, the plaintiff was unwell, and would not have been able to look for work or take on work if work had been offered.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defendants submit that the plaintiff has not made sufficient effort to find new employment, but have offered little if any evidence to show that the plaintiff has failed to mitigate. As the Supreme Court of Canada said in Red Deer College v. Michaels and Finn, </w:t>
      </w:r>
      <w:hyperlink r:id="rId710" w:history="1">
        <w:r>
          <w:rPr>
            <w:rFonts w:ascii="arial" w:eastAsia="arial" w:hAnsi="arial" w:cs="arial"/>
            <w:i/>
            <w:color w:val="0077CC"/>
            <w:sz w:val="20"/>
            <w:u w:val="single"/>
            <w:shd w:val="clear" w:color="auto" w:fill="FFFFFF"/>
            <w:lang w:val="en-US" w:eastAsia="en-US" w:bidi="ar-SA"/>
          </w:rPr>
          <w:t>[1975] 5 W.W.R. 575</w:t>
        </w:r>
      </w:hyperlink>
      <w:r>
        <w:rPr>
          <w:rFonts w:ascii="arial" w:eastAsia="arial" w:hAnsi="arial" w:cs="arial"/>
          <w:color w:val="000000"/>
          <w:sz w:val="20"/>
          <w:lang w:val="en-US" w:eastAsia="en-US" w:bidi="ar-SA"/>
        </w:rPr>
        <w:t xml:space="preserve"> at 579-580: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ordinary course of litigation respecting wrongful dismissal, a plaintiff, in offering proof of damages, would lead evidence respecting the loss he claims to have suffered by reason of the dismissal. He may have obtained other employment at a lesser or greater remuneration than before and this fact would have a bearing on his damages. He may not have obtained other employment, and the question whether he has stood idly or unreasonbly by, or has tried without success to obtain other employment would be part of the case on damages. If it is the defendant's position that the plaintiff could reasonably have avoided some part of the loss claimed, </w:t>
      </w:r>
      <w:r>
        <w:rPr>
          <w:rFonts w:ascii="arial" w:eastAsia="arial" w:hAnsi="arial" w:cs="arial"/>
          <w:color w:val="000000"/>
          <w:sz w:val="20"/>
          <w:u w:val="single"/>
          <w:lang w:val="en-US" w:eastAsia="en-US" w:bidi="ar-SA"/>
        </w:rPr>
        <w:t>it is for the defendant to carry the burden of that issue, subject to the defendant being content to allow the matter to be disposed of on the trial Judge's assessment of the plaintiff's evidence on avoidable consequences</w:t>
      </w:r>
      <w:r>
        <w:rPr>
          <w:rFonts w:ascii="arial" w:eastAsia="arial" w:hAnsi="arial" w:cs="arial"/>
          <w:color w:val="000000"/>
          <w:sz w:val="20"/>
          <w:lang w:val="en-US" w:eastAsia="en-US" w:bidi="ar-SA"/>
        </w:rPr>
        <w:t>.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am not able to find, on the evidence, that the plaintiff did not properly mitigate his damages, and consequently, I would not reduce his damages, if any were awarded, for any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Honey Establishes a Claim in Contract or Tort, What Damages Should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Although I have concluded that the plaintiff has not proven his claim in either contract or tort, I will proceed to assess damages as if he had been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It is trite that the damages to be awarded in contract are not always the same as the damages to be awarded in tort. In contract, the plaintiff is entitled to be put in the position that he would have been in had the contract not been breached. In the case of a negligent or fraudulent misrepresentation, the plaintiff is entitled to be put in the position he would have been in but for the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am satisfied that had the plaintiff established that he had a fixed three year term contract, he would have been entitled to the amount calculated and set out in Exhibit 3, in the amount of $324,661.91.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With respect to the damages to be awarded in tort, the plaintiff claims $213,849.70, representing two years of average earnings from CKNW, on the premise that but for the representations of the defendants, the plaintiff would have remained employed at CKNW. In addition to that sum, the plaintiff claims for $75,000.00, representing $25,000.00 per year, over three years, for income from outside speaking engagements.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cannot accept the plaintiff's tort damage calculation. I am of the view that the appropriate calculation for damages in tort is three years of earnings from CKNW, less the CKNW severance pay and the sums earned by the plaintiff while employed by STAR-FM, plus some allotment for outside speaking engagements.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Three years of earnings with CKNW would have amounted to $320,774.55. The plaintiff received pay and benefits of $144,877.08 from STAR-FM, plus severance pay of $25,997.58, for a total of $170,874.66. In addition, there must be deducted the 11 months of pay received by the plaintiff from CKNW as severance pay. As far as I am able to determine from the evidence before me, the severance pay was calculated on the plaintiff's monthly salary only, excluding benefits and potential bonuses. According to the plaintiff's employment contract with CKNW for the 1996-97 year, the plaintiff's basic annual salary was $89,500.00. Eleven months pay would amount to $82,041.67. The plaintiff's net loss then, with respect to salary, would total $67,858.22.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To that, something must be added for the loss of speaking engagement revenue. I have taken into account the evidence before me of the plaintiff's practice, while he was employed by CKNW, of earning extra revenue from speaking engagements. The demand for his services as a speaker was apparently dependent on his high profile as an on-air radio personality with CKNW. He estimated his earnings from this source at $25-30,000.00 per year. He advances a claim of $75,000.00, for his loss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On the assessment of damages in tort, the plaintiff is entitled to be put in the position that he would have been in had he remained at CKNW. However, had he remained at CKNW, he would not have been working in a regular on-air capacity. I find that his profile in the community would necessarily have dropped, even taking into account the "ambassador" type role that may have developed for him at CKNW. A lower profile, on the plaintiff's own evidence, would have resulted in reduced speaking engagement opportunities. Further, the plaintiff was ill for a period of time, which clearly would have adversely affected his ability to perform speaking engagements. Taking into account all of the evidence, I would, had I found for the plaintiff in tort, have awarded him damages of $50,000.00 for lost speaking engagement revenue, representing the best assessment I can make on the evidence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summary, I conclude that the plaintiff's damages in tort would be $117,858.22.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am satisfied that STAR-FM was entitled to dismiss the plaintiff, pursuant to the terms of the written employment agreement, by giving the plaintiff three months notice. Having given the plaintiff three months notice, and having, I find, made all of the payments required to be made pursuant to the terms of the written agreement, I am satisfied that the defendant, STAR-FM, fulfilled all of its contractual and other obligations to the plaintiff. Consequently, I dismiss the plaintiff's claim. The defendants' counterclaim was withdrawn during the course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Either counsel may make arrangements to have the issue of costs addressed by this court if they are unable to agree that the usual rule, of costs following the event, should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BEAMES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5" style="position:absolute;z-index:2518517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18"/>
          <w:lang w:val="en-US" w:eastAsia="en-US" w:bidi="ar-SA"/>
        </w:rPr>
        <w:sectPr>
          <w:headerReference w:type="even" r:id="rId711"/>
          <w:headerReference w:type="default" r:id="rId712"/>
          <w:footerReference w:type="even" r:id="rId713"/>
          <w:footerReference w:type="default" r:id="rId714"/>
          <w:headerReference w:type="first" r:id="rId715"/>
          <w:footerReference w:type="first" r:id="rId71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17" w:history="1">
        <w:r>
          <w:rPr>
            <w:rFonts w:ascii="arial" w:eastAsia="arial" w:hAnsi="arial" w:cs="arial"/>
            <w:b/>
            <w:bCs/>
            <w:i/>
            <w:color w:val="0077CC"/>
            <w:kern w:val="32"/>
            <w:sz w:val="28"/>
            <w:szCs w:val="32"/>
            <w:u w:val="single"/>
            <w:shd w:val="clear" w:color="auto" w:fill="FFFFFF"/>
            <w:lang w:val="en-US" w:eastAsia="en-US" w:bidi="ar-SA"/>
          </w:rPr>
          <w:t>Hungerford Tomyn Lawrenson and Nichols v. Mide-Wilson, [2011] B.C.J. No. 2019</w:t>
        </w:r>
      </w:hyperlink>
    </w:p>
    <w:p>
      <w:pPr>
        <w:spacing w:before="120" w:line="260" w:lineRule="atLeast"/>
        <w:jc w:val="center"/>
        <w:rPr>
          <w:rFonts w:ascii="arial" w:eastAsia="arial" w:hAnsi="arial" w:cs="arial"/>
          <w:sz w:val="18"/>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18"/>
          <w:lang w:val="en-US" w:eastAsia="en-US" w:bidi="ar-SA"/>
        </w:rPr>
      </w:pPr>
    </w:p>
    <w:p>
      <w:pPr>
        <w:spacing w:before="120" w:line="260" w:lineRule="atLeast"/>
        <w:jc w:val="center"/>
        <w:rPr>
          <w:rFonts w:ascii="arial" w:eastAsia="arial" w:hAnsi="arial" w:cs="arial"/>
          <w:sz w:val="18"/>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18"/>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18"/>
          <w:lang w:val="en-US" w:eastAsia="en-US" w:bidi="ar-SA"/>
        </w:rPr>
      </w:pPr>
      <w:r>
        <w:rPr>
          <w:rFonts w:ascii="arial" w:eastAsia="arial" w:hAnsi="arial" w:cs="arial"/>
          <w:color w:val="000000"/>
          <w:sz w:val="20"/>
          <w:lang w:val="en-US" w:eastAsia="en-US" w:bidi="ar-SA"/>
        </w:rPr>
        <w:t>Registrar K.S. Sainty</w:t>
      </w:r>
    </w:p>
    <w:p>
      <w:pPr>
        <w:spacing w:before="120" w:line="260" w:lineRule="atLeast"/>
        <w:jc w:val="center"/>
        <w:rPr>
          <w:rFonts w:ascii="arial" w:eastAsia="arial" w:hAnsi="arial" w:cs="arial"/>
          <w:sz w:val="18"/>
          <w:lang w:val="en-US" w:eastAsia="en-US" w:bidi="ar-SA"/>
        </w:rPr>
      </w:pPr>
      <w:r>
        <w:rPr>
          <w:rFonts w:ascii="arial" w:eastAsia="arial" w:hAnsi="arial" w:cs="arial"/>
          <w:color w:val="000000"/>
          <w:sz w:val="20"/>
          <w:lang w:val="en-US" w:eastAsia="en-US" w:bidi="ar-SA"/>
        </w:rPr>
        <w:t>Heard: April 26-29, May 2-6, 9-13 and June 6-10,</w:t>
      </w:r>
    </w:p>
    <w:p>
      <w:pPr>
        <w:spacing w:before="120" w:line="260" w:lineRule="atLeast"/>
        <w:jc w:val="center"/>
        <w:rPr>
          <w:rFonts w:ascii="arial" w:eastAsia="arial" w:hAnsi="arial" w:cs="arial"/>
          <w:sz w:val="18"/>
          <w:lang w:val="en-US" w:eastAsia="en-US" w:bidi="ar-SA"/>
        </w:rPr>
      </w:pPr>
      <w:r>
        <w:rPr>
          <w:rFonts w:ascii="arial" w:eastAsia="arial" w:hAnsi="arial" w:cs="arial"/>
          <w:color w:val="000000"/>
          <w:sz w:val="20"/>
          <w:lang w:val="en-US" w:eastAsia="en-US" w:bidi="ar-SA"/>
        </w:rPr>
        <w:t xml:space="preserve"> 2011.</w:t>
      </w:r>
    </w:p>
    <w:p>
      <w:pPr>
        <w:spacing w:before="120" w:line="260" w:lineRule="atLeast"/>
        <w:jc w:val="center"/>
        <w:rPr>
          <w:rFonts w:ascii="arial" w:eastAsia="arial" w:hAnsi="arial" w:cs="arial"/>
          <w:sz w:val="18"/>
          <w:lang w:val="en-US" w:eastAsia="en-US" w:bidi="ar-SA"/>
        </w:rPr>
      </w:pPr>
      <w:r>
        <w:rPr>
          <w:rFonts w:ascii="arial" w:eastAsia="arial" w:hAnsi="arial" w:cs="arial"/>
          <w:color w:val="000000"/>
          <w:sz w:val="20"/>
          <w:lang w:val="en-US" w:eastAsia="en-US" w:bidi="ar-SA"/>
        </w:rPr>
        <w:t>Judgment: October 26, 2011.</w:t>
      </w:r>
    </w:p>
    <w:p>
      <w:pPr>
        <w:spacing w:before="120" w:line="260" w:lineRule="atLeast"/>
        <w:jc w:val="center"/>
        <w:rPr>
          <w:rFonts w:ascii="arial" w:eastAsia="arial" w:hAnsi="arial" w:cs="arial"/>
          <w:sz w:val="18"/>
          <w:lang w:val="en-US" w:eastAsia="en-US" w:bidi="ar-SA"/>
        </w:rPr>
      </w:pPr>
      <w:r>
        <w:rPr>
          <w:rFonts w:ascii="arial" w:eastAsia="arial" w:hAnsi="arial" w:cs="arial"/>
          <w:color w:val="000000"/>
          <w:sz w:val="20"/>
          <w:lang w:val="en-US" w:eastAsia="en-US" w:bidi="ar-SA"/>
        </w:rPr>
        <w:t>Docket: S100618</w:t>
      </w:r>
    </w:p>
    <w:p>
      <w:pPr>
        <w:spacing w:before="120" w:line="260" w:lineRule="atLeast"/>
        <w:jc w:val="center"/>
        <w:rPr>
          <w:rFonts w:ascii="arial" w:eastAsia="arial" w:hAnsi="arial" w:cs="arial"/>
          <w:sz w:val="18"/>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18"/>
          <w:lang w:val="en-US" w:eastAsia="en-US" w:bidi="ar-SA"/>
        </w:rPr>
      </w:pPr>
    </w:p>
    <w:p>
      <w:pPr>
        <w:spacing w:before="120" w:line="260" w:lineRule="atLeast"/>
        <w:rPr>
          <w:rFonts w:ascii="arial" w:eastAsia="arial" w:hAnsi="arial" w:cs="arial"/>
          <w:sz w:val="18"/>
          <w:lang w:val="en-US" w:eastAsia="en-US" w:bidi="ar-SA"/>
        </w:rPr>
      </w:pPr>
      <w:r>
        <w:rPr>
          <w:rFonts w:ascii="arial" w:eastAsia="arial" w:hAnsi="arial" w:cs="arial"/>
          <w:b/>
          <w:color w:val="000000"/>
          <w:sz w:val="20"/>
          <w:lang w:val="en-US" w:eastAsia="en-US" w:bidi="ar-SA"/>
        </w:rPr>
        <w:t>[2011] B.C.J. No. 2019</w:t>
      </w:r>
      <w:r>
        <w:rPr>
          <w:rFonts w:ascii="arial" w:eastAsia="arial" w:hAnsi="arial" w:cs="arial"/>
          <w:sz w:val="18"/>
          <w:lang w:val="en-US" w:eastAsia="en-US" w:bidi="ar-SA"/>
        </w:rPr>
        <w:t xml:space="preserve"> </w:t>
      </w:r>
      <w:r>
        <w:rPr>
          <w:rFonts w:ascii="arial" w:eastAsia="arial" w:hAnsi="arial" w:cs="arial"/>
          <w:sz w:val="18"/>
          <w:lang w:val="en-US" w:eastAsia="en-US" w:bidi="ar-SA"/>
        </w:rPr>
        <w:t xml:space="preserve"> </w:t>
      </w:r>
      <w:r>
        <w:rPr>
          <w:rFonts w:ascii="arial" w:eastAsia="arial" w:hAnsi="arial" w:cs="arial"/>
          <w:sz w:val="18"/>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18"/>
          <w:lang w:val="en-US" w:eastAsia="en-US" w:bidi="ar-SA"/>
        </w:rPr>
        <w:t xml:space="preserve"> </w:t>
      </w:r>
      <w:r>
        <w:rPr>
          <w:rFonts w:ascii="arial" w:eastAsia="arial" w:hAnsi="arial" w:cs="arial"/>
          <w:sz w:val="18"/>
          <w:lang w:val="en-US" w:eastAsia="en-US" w:bidi="ar-SA"/>
        </w:rPr>
        <w:t xml:space="preserve"> </w:t>
      </w:r>
      <w:r>
        <w:rPr>
          <w:rFonts w:ascii="arial" w:eastAsia="arial" w:hAnsi="arial" w:cs="arial"/>
          <w:sz w:val="18"/>
          <w:lang w:val="en-US" w:eastAsia="en-US" w:bidi="ar-SA"/>
        </w:rPr>
        <w:t xml:space="preserve"> </w:t>
      </w:r>
      <w:r>
        <w:rPr>
          <w:rFonts w:ascii="arial" w:eastAsia="arial" w:hAnsi="arial" w:cs="arial"/>
          <w:color w:val="000000"/>
          <w:sz w:val="20"/>
          <w:lang w:val="en-US" w:eastAsia="en-US" w:bidi="ar-SA"/>
        </w:rPr>
        <w:t>2011 BCSC 1440</w:t>
      </w:r>
    </w:p>
    <w:p>
      <w:pPr>
        <w:spacing w:before="120" w:line="260" w:lineRule="atLeast"/>
        <w:rPr>
          <w:rFonts w:ascii="arial" w:eastAsia="arial" w:hAnsi="arial" w:cs="arial"/>
          <w:sz w:val="18"/>
          <w:lang w:val="en-US" w:eastAsia="en-US" w:bidi="ar-SA"/>
        </w:rPr>
      </w:pPr>
      <w:r>
        <w:rPr>
          <w:rFonts w:ascii="arial" w:eastAsia="arial" w:hAnsi="arial" w:cs="arial"/>
          <w:color w:val="000000"/>
          <w:sz w:val="20"/>
          <w:lang w:val="en-US" w:eastAsia="en-US" w:bidi="ar-SA"/>
        </w:rPr>
        <w:t>Between Hungerford Tomyn Lawrenson and Nichols, Solicitors, and Kirsten Mide-Wilson, Client</w:t>
      </w:r>
    </w:p>
    <w:p>
      <w:pPr>
        <w:spacing w:before="120" w:line="26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20"/>
          <w:lang w:val="en-US" w:eastAsia="en-US" w:bidi="ar-SA"/>
        </w:rPr>
        <w:t>(519 paras.)</w:t>
      </w:r>
    </w:p>
    <w:p>
      <w:pPr>
        <w:keepNext/>
        <w:spacing w:before="120" w:line="340" w:lineRule="atLeast"/>
        <w:rPr>
          <w:rFonts w:ascii="arial" w:eastAsia="arial" w:hAnsi="arial" w:cs="arial"/>
          <w:sz w:val="18"/>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18"/>
          <w:lang w:val="en-US" w:eastAsia="en-US" w:bidi="ar-SA"/>
        </w:rPr>
      </w:pPr>
      <w:r>
        <w:pict>
          <v:line id="_x0000_s1216" style="position:absolute;z-index:251700224" from="0,2pt" to="512pt,2pt" strokecolor="#009ddb" strokeweight="2pt">
            <v:stroke linestyle="single"/>
          </v:line>
        </w:pict>
      </w:r>
    </w:p>
    <w:p>
      <w:pPr>
        <w:spacing w:line="240" w:lineRule="exact"/>
        <w:rPr>
          <w:rFonts w:ascii="arial" w:eastAsia="arial" w:hAnsi="arial" w:cs="arial"/>
          <w:sz w:val="18"/>
          <w:lang w:val="en-US" w:eastAsia="en-US" w:bidi="ar-SA"/>
        </w:rPr>
      </w:pPr>
    </w:p>
    <w:p>
      <w:pPr>
        <w:spacing w:before="120" w:line="260" w:lineRule="atLeast"/>
        <w:rPr>
          <w:rFonts w:ascii="arial" w:eastAsia="arial" w:hAnsi="arial" w:cs="arial"/>
          <w:sz w:val="18"/>
          <w:lang w:val="en-US" w:eastAsia="en-US" w:bidi="ar-SA"/>
        </w:rPr>
      </w:pPr>
      <w:bookmarkStart w:id="265" w:name="Keywords_39"/>
      <w:bookmarkEnd w:id="265"/>
      <w:r>
        <w:rPr>
          <w:rFonts w:ascii="arial" w:eastAsia="arial" w:hAnsi="arial" w:cs="arial"/>
          <w:b/>
          <w:color w:val="000000"/>
          <w:sz w:val="20"/>
          <w:lang w:val="en-US" w:eastAsia="en-US" w:bidi="ar-SA"/>
        </w:rPr>
        <w:t>Legal profession — Barristers and solicitors — Compensation — Contingency agreements — Fair and reasonable — Fees and disbursements — Application by the client, Mide-Wilson, for cancellation of a contingent fee agreement (CFA) dismissed — Mide-Wilson retained the solicitors to defend an action related to her grandfather's will — The action was ultimately settled and the solicitors sought $19,044,549 from Mide-Wilson — Mide-Wilson submitted that the CFA was unfair and unreasonable — The CFA was not unfair or unreasonable — Mide-Wilson gained $74,489,000 in assets — The amount of fees reasonably necessary and proper to conduct the action equalled $9 million plus disbursements and taxes — The solicitors were entitled to $10,108,052 — Legal Profession Act, ss. 68, 70.</w:t>
      </w:r>
    </w:p>
    <w:p>
      <w:pPr>
        <w:spacing w:before="120" w:line="26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Professional responsibility — Self-governing professions — Remuneration — Contingency fees — Professions — Legal — Barristers and solicitors — Application by the client, Mide-Wilson, for cancellation of a contingent fee agreement (CFA) dismissed — Mide-Wilson retained the solicitors to defend an action related to her grandfather's will — The action was ultimately settled and the solicitors sought $19,044,549 from Mide-Wilson — Mide-Wilson submitted that the CFA was unfair and unreasonable — The CFA was not unfair or unreasonable — Mide-Wilson gained $74,489,000 in assets — The amount of fees reasonably necessary and proper to conduct the action equalled $9 million plus disbursements and taxes — The solicitors were entitled to $10,108,052 — Legal Profession Act, ss. 68, 70.</w:t>
      </w:r>
    </w:p>
    <w:p>
      <w:pPr>
        <w:rPr>
          <w:rFonts w:ascii="arial" w:eastAsia="arial" w:hAnsi="arial" w:cs="arial"/>
          <w:sz w:val="18"/>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18"/>
                <w:lang w:val="en-US" w:eastAsia="en-US" w:bidi="ar-SA"/>
              </w:rPr>
            </w:pPr>
            <w:bookmarkStart w:id="266" w:name="Case Summary_38"/>
            <w:bookmarkEnd w:id="266"/>
          </w:p>
          <w:p>
            <w:pPr>
              <w:spacing w:before="120" w:line="260" w:lineRule="atLeast"/>
              <w:ind w:left="240"/>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Application by the client, Mide-Wilson, for cancellation of a contingent fee agreement (CFA). Mide-Wilson was the granddaughter of Cewe, a successful businessman who died in June 2008. Mide-Wilson and her children were the sole surviving members of Cewe's immediate family. Mide-Wilson believed that she would inherit Cewe's estate upon his death but it turned out that Cewe had signed new instruments which divided his estate amongst various bequests and appointed two employees of his construction company as executors of his estate. Mide-Wilson believed that those two employees, Home and Gibson, had somehow unduly influenced Cewe to sign the new instruments. Home and Gibson filed a statement of claim to pronounce the form and validity of the will in solemn form. Mide-Wilson retained Hungerford Tomyn Lawrenson and Nichols (HTLN) to defend the action and they entered into a CFA. The action was ultimately settled and HTLN rendered a bill to Mide-Wilson in March 2011 in the amount of $19,044,549. Mide-Wilson did not pay any of that amount to HTLN. Mide-Wilson took the position that the CFA was unfair and unreasonable. She submitted that the solicitors exercised undue influence over her in relation to her execution of the CFA. </w:t>
            </w:r>
            <w:r>
              <w:rPr>
                <w:rFonts w:ascii="arial" w:eastAsia="arial" w:hAnsi="arial" w:cs="arial"/>
                <w:sz w:val="18"/>
                <w:lang w:val="en-US" w:eastAsia="en-US" w:bidi="ar-SA"/>
              </w:rPr>
              <w:cr/>
            </w:r>
          </w:p>
          <w:p>
            <w:pPr>
              <w:spacing w:before="120" w:line="260" w:lineRule="atLeast"/>
              <w:ind w:left="240"/>
              <w:jc w:val="both"/>
              <w:rPr>
                <w:rFonts w:ascii="arial" w:eastAsia="arial" w:hAnsi="arial" w:cs="arial"/>
                <w:sz w:val="18"/>
                <w:lang w:val="en-US" w:eastAsia="en-US" w:bidi="ar-SA"/>
              </w:rPr>
            </w:pPr>
            <w:bookmarkStart w:id="267" w:name="Holdings of Court_35"/>
            <w:bookmarkEnd w:id="267"/>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Mide-Wilson had experience with lawyers and had the benefit of many meetings with the solicitors. She was not pressured into signing the CFA and the solicitors did not take unfair advantage of her. The case was neither average nor formidable and the parties were of the opinion that the value of the assets at issue was in the $100 million range. As the retainer was an all or nothing proposition, the risk to the solicitors was considerable and the solicitors had the requisite skill and expertise to take on the matter. As a result, the CFA was not unfair and a fee of 20 per cent of the assets gained by Mide-Wilson was not unreasonable. Those assets were valued at $74,489,000, resulting in fees of $12,273,865. However, the amount of fees reasonably necessary and proper to conduct the action equalled $9 million plus disbursements and taxes. Consequently, the solicitors were entitled to $10,108,052. </w:t>
            </w:r>
            <w:r>
              <w:rPr>
                <w:rFonts w:ascii="arial" w:eastAsia="arial" w:hAnsi="arial" w:cs="arial"/>
                <w:sz w:val="18"/>
                <w:lang w:val="en-US" w:eastAsia="en-US" w:bidi="ar-SA"/>
              </w:rPr>
              <w:cr/>
            </w:r>
          </w:p>
          <w:p>
            <w:pPr>
              <w:rPr>
                <w:rFonts w:ascii="arial" w:eastAsia="arial" w:hAnsi="arial" w:cs="arial"/>
                <w:sz w:val="18"/>
                <w:lang w:val="en-US" w:eastAsia="en-US" w:bidi="ar-SA"/>
              </w:rPr>
            </w:pPr>
          </w:p>
        </w:tc>
      </w:tr>
    </w:tbl>
    <w:p>
      <w:pPr>
        <w:jc w:val="both"/>
        <w:rPr>
          <w:rFonts w:ascii="arial" w:eastAsia="arial" w:hAnsi="arial" w:cs="arial"/>
          <w:sz w:val="18"/>
          <w:lang w:val="en-US" w:eastAsia="en-US" w:bidi="ar-SA"/>
        </w:rPr>
      </w:pPr>
      <w:bookmarkStart w:id="268" w:name="Legislation Cited_26"/>
      <w:bookmarkEnd w:id="268"/>
      <w:r>
        <w:rPr>
          <w:rFonts w:ascii="arial" w:eastAsia="arial" w:hAnsi="arial" w:cs="arial"/>
          <w:sz w:val="18"/>
          <w:lang w:val="en-US" w:eastAsia="en-US" w:bidi="ar-SA"/>
        </w:rPr>
        <w:br/>
      </w:r>
    </w:p>
    <w:p>
      <w:pPr>
        <w:keepNext/>
        <w:spacing w:before="240" w:line="340" w:lineRule="atLeast"/>
        <w:rPr>
          <w:rFonts w:ascii="arial" w:eastAsia="arial" w:hAnsi="arial" w:cs="arial"/>
          <w:sz w:val="18"/>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18"/>
          <w:lang w:val="en-US" w:eastAsia="en-US" w:bidi="ar-SA"/>
        </w:rPr>
      </w:pPr>
      <w:r>
        <w:pict>
          <v:line id="_x0000_s1217" style="position:absolute;z-index:251751424" from="0,2pt" to="512pt,2pt" strokecolor="#009ddb" strokeweight="2pt">
            <v:stroke linestyle="single"/>
          </v:line>
        </w:pict>
      </w:r>
    </w:p>
    <w:p>
      <w:pPr>
        <w:spacing w:line="240" w:lineRule="exact"/>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Barristers and Solicitors Act, R.S.B.C. 1979, c. 26,</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20"/>
          <w:lang w:val="en-US" w:eastAsia="en-US" w:bidi="ar-SA"/>
        </w:rPr>
        <w:t xml:space="preserve">Canada Business Corporations Act, </w:t>
      </w:r>
      <w:hyperlink r:id="rId718" w:history="1">
        <w:r>
          <w:rPr>
            <w:rFonts w:ascii="arial" w:eastAsia="arial" w:hAnsi="arial" w:cs="arial"/>
            <w:i/>
            <w:color w:val="0077CC"/>
            <w:sz w:val="20"/>
            <w:u w:val="single"/>
            <w:shd w:val="clear" w:color="auto" w:fill="FFFFFF"/>
            <w:lang w:val="en-US" w:eastAsia="en-US" w:bidi="ar-SA"/>
          </w:rPr>
          <w:t>R.S.C. 1985, c. C-44, s. 199</w:t>
        </w:r>
      </w:hyperlink>
      <w:r>
        <w:rPr>
          <w:rFonts w:ascii="arial" w:eastAsia="arial" w:hAnsi="arial" w:cs="arial"/>
          <w:color w:val="000000"/>
          <w:sz w:val="20"/>
          <w:lang w:val="en-US" w:eastAsia="en-US" w:bidi="ar-SA"/>
        </w:rPr>
        <w:t>(14)</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20"/>
          <w:lang w:val="en-US" w:eastAsia="en-US" w:bidi="ar-SA"/>
        </w:rPr>
        <w:t xml:space="preserve">Income Tax Act, </w:t>
      </w:r>
      <w:r>
        <w:rPr>
          <w:rFonts w:ascii="arial" w:eastAsia="arial" w:hAnsi="arial" w:cs="arial"/>
          <w:i/>
          <w:color w:val="000000"/>
          <w:sz w:val="20"/>
          <w:lang w:val="en-US" w:eastAsia="en-US" w:bidi="ar-SA"/>
        </w:rPr>
        <w:t>RSBC 1996, CHAPTER 215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20"/>
          <w:lang w:val="en-US" w:eastAsia="en-US" w:bidi="ar-SA"/>
        </w:rPr>
        <w:t>Legal Profession Act, S.B.C. 1987, c. 25, s. 78(8), s. 78(9)</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20"/>
          <w:lang w:val="en-US" w:eastAsia="en-US" w:bidi="ar-SA"/>
        </w:rPr>
        <w:t xml:space="preserve">Legal Profession Act, </w:t>
      </w:r>
      <w:hyperlink r:id="rId556" w:history="1">
        <w:r>
          <w:rPr>
            <w:rFonts w:ascii="arial" w:eastAsia="arial" w:hAnsi="arial" w:cs="arial"/>
            <w:i/>
            <w:color w:val="0077CC"/>
            <w:sz w:val="20"/>
            <w:u w:val="single"/>
            <w:shd w:val="clear" w:color="auto" w:fill="FFFFFF"/>
            <w:lang w:val="en-US" w:eastAsia="en-US" w:bidi="ar-SA"/>
          </w:rPr>
          <w:t>SBC 1998, CHAPTER 9, s. 66</w:t>
        </w:r>
      </w:hyperlink>
      <w:r>
        <w:rPr>
          <w:rFonts w:ascii="arial" w:eastAsia="arial" w:hAnsi="arial" w:cs="arial"/>
          <w:color w:val="000000"/>
          <w:sz w:val="20"/>
          <w:lang w:val="en-US" w:eastAsia="en-US" w:bidi="ar-SA"/>
        </w:rPr>
        <w:t>(2), s. 68, s. 70, s. 70(3), s. 71(4), s. 72, s. 73(3)</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20"/>
          <w:lang w:val="en-US" w:eastAsia="en-US" w:bidi="ar-SA"/>
        </w:rPr>
        <w:t>Rules of Court, Rule 19(24)</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20"/>
          <w:lang w:val="en-US" w:eastAsia="en-US" w:bidi="ar-SA"/>
        </w:rPr>
        <w:t xml:space="preserve">Wills Variation Act, </w:t>
      </w:r>
      <w:hyperlink r:id="rId719" w:history="1">
        <w:r>
          <w:rPr>
            <w:rFonts w:ascii="arial" w:eastAsia="arial" w:hAnsi="arial" w:cs="arial"/>
            <w:i/>
            <w:color w:val="0077CC"/>
            <w:sz w:val="20"/>
            <w:u w:val="single"/>
            <w:shd w:val="clear" w:color="auto" w:fill="FFFFFF"/>
            <w:lang w:val="en-US" w:eastAsia="en-US" w:bidi="ar-SA"/>
          </w:rPr>
          <w:t>RSBC 1996, CHAPTER 490</w:t>
        </w:r>
      </w:hyperlink>
      <w:r>
        <w:rPr>
          <w:rFonts w:ascii="arial" w:eastAsia="arial" w:hAnsi="arial" w:cs="arial"/>
          <w:color w:val="000000"/>
          <w:sz w:val="20"/>
          <w:lang w:val="en-US" w:eastAsia="en-US" w:bidi="ar-SA"/>
        </w:rPr>
        <w:t>,</w:t>
      </w:r>
      <w:r>
        <w:rPr>
          <w:rFonts w:ascii="arial" w:eastAsia="arial" w:hAnsi="arial" w:cs="arial"/>
          <w:sz w:val="18"/>
          <w:lang w:val="en-US" w:eastAsia="en-US" w:bidi="ar-SA"/>
        </w:rPr>
        <w:cr/>
      </w:r>
    </w:p>
    <w:p>
      <w:pPr>
        <w:keepNext/>
        <w:spacing w:before="240" w:line="340" w:lineRule="atLeast"/>
        <w:rPr>
          <w:rFonts w:ascii="arial" w:eastAsia="arial" w:hAnsi="arial" w:cs="arial"/>
          <w:sz w:val="18"/>
          <w:lang w:val="en-US" w:eastAsia="en-US" w:bidi="ar-SA"/>
        </w:rPr>
      </w:pPr>
      <w:bookmarkStart w:id="269" w:name="Counsel_40"/>
      <w:bookmarkEnd w:id="269"/>
      <w:r>
        <w:rPr>
          <w:rFonts w:ascii="arial" w:eastAsia="arial" w:hAnsi="arial" w:cs="arial"/>
          <w:b/>
          <w:color w:val="000000"/>
          <w:sz w:val="28"/>
          <w:lang w:val="en-US" w:eastAsia="en-US" w:bidi="ar-SA"/>
        </w:rPr>
        <w:t>Counsel</w:t>
      </w:r>
    </w:p>
    <w:p>
      <w:pPr>
        <w:spacing w:line="60" w:lineRule="exact"/>
        <w:rPr>
          <w:rFonts w:ascii="arial" w:eastAsia="arial" w:hAnsi="arial" w:cs="arial"/>
          <w:sz w:val="18"/>
          <w:lang w:val="en-US" w:eastAsia="en-US" w:bidi="ar-SA"/>
        </w:rPr>
      </w:pPr>
      <w:r>
        <w:pict>
          <v:line id="_x0000_s1218" style="position:absolute;z-index:251802624" from="0,2pt" to="512pt,2pt" strokecolor="#009ddb" strokeweight="2pt">
            <v:stroke linestyle="single"/>
          </v:line>
        </w:pict>
      </w:r>
    </w:p>
    <w:p>
      <w:pPr>
        <w:spacing w:line="240" w:lineRule="exact"/>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Counsel for the Solicitors: H.W. Wiebach and J.P. Sullivan.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20"/>
          <w:lang w:val="en-US" w:eastAsia="en-US" w:bidi="ar-SA"/>
        </w:rPr>
        <w:t>Counsel for the Client: G.K. Macintosh, Q.C., D.E. Gruber, T. Dickson and J. Leong.</w:t>
      </w:r>
      <w:r>
        <w:rPr>
          <w:rFonts w:ascii="arial" w:eastAsia="arial" w:hAnsi="arial" w:cs="arial"/>
          <w:sz w:val="18"/>
          <w:lang w:val="en-US" w:eastAsia="en-US" w:bidi="ar-SA"/>
        </w:rPr>
        <w:cr/>
      </w:r>
    </w:p>
    <w:p>
      <w:pPr>
        <w:spacing w:after="240"/>
        <w:rPr>
          <w:rFonts w:ascii="arial" w:eastAsia="arial" w:hAnsi="arial" w:cs="arial"/>
          <w:sz w:val="18"/>
          <w:lang w:val="en-US" w:eastAsia="en-US" w:bidi="ar-SA"/>
        </w:rPr>
      </w:pPr>
      <w:bookmarkStart w:id="270" w:name="Judgment_40"/>
      <w:bookmarkEnd w:id="270"/>
      <w:r>
        <w:pict>
          <v:line id="_x0000_s1219" style="position:absolute;z-index:251852800" from="0,12pt" to="512pt,12pt" strokecolor="#009ddb" strokeweight="1.5pt">
            <v:stroke linestyle="single"/>
          </v:line>
        </w:pict>
      </w:r>
    </w:p>
    <w:p>
      <w:pPr>
        <w:spacing w:before="120" w:line="260" w:lineRule="atLeast"/>
        <w:jc w:val="center"/>
        <w:rPr>
          <w:rFonts w:ascii="arial" w:eastAsia="arial" w:hAnsi="arial" w:cs="arial"/>
          <w:sz w:val="18"/>
          <w:lang w:val="en-US" w:eastAsia="en-US" w:bidi="ar-SA"/>
        </w:rPr>
      </w:pPr>
      <w:r>
        <w:rPr>
          <w:rFonts w:ascii="arial" w:eastAsia="arial" w:hAnsi="arial" w:cs="arial"/>
          <w:b/>
          <w:color w:val="000000"/>
          <w:sz w:val="20"/>
          <w:lang w:val="en-US" w:eastAsia="en-US" w:bidi="ar-SA"/>
        </w:rPr>
        <w:t>Reasons for Decision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20"/>
          <w:lang w:val="en-US" w:eastAsia="en-US" w:bidi="ar-SA"/>
        </w:rPr>
        <w:t>Overview</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20"/>
          <w:lang w:val="en-US" w:eastAsia="en-US" w:bidi="ar-SA"/>
        </w:rPr>
        <w:t>Background Facts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20"/>
          <w:lang w:val="en-US" w:eastAsia="en-US" w:bidi="ar-SA"/>
        </w:rPr>
        <w:t>Does the CFA Apply?</w:t>
      </w:r>
      <w:r>
        <w:rPr>
          <w:rFonts w:ascii="arial" w:eastAsia="arial" w:hAnsi="arial" w:cs="arial"/>
          <w:sz w:val="18"/>
          <w:lang w:val="en-US" w:eastAsia="en-US" w:bidi="ar-SA"/>
        </w:rPr>
        <w:cr/>
      </w:r>
    </w:p>
    <w:p>
      <w:pPr>
        <w:numPr>
          <w:numId w:val="104"/>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Was the CFA Fair at the Time It was Entered Into?</w:t>
      </w:r>
    </w:p>
    <w:p>
      <w:pPr>
        <w:spacing w:before="120" w:line="260" w:lineRule="atLeast"/>
        <w:ind w:left="1080"/>
        <w:rPr>
          <w:rFonts w:ascii="arial" w:eastAsia="arial" w:hAnsi="arial" w:cs="arial"/>
          <w:sz w:val="18"/>
          <w:lang w:val="en-US" w:eastAsia="en-US" w:bidi="ar-SA"/>
        </w:rPr>
      </w:pPr>
      <w:r>
        <w:rPr>
          <w:rFonts w:ascii="arial" w:eastAsia="arial" w:hAnsi="arial" w:cs="arial"/>
          <w:color w:val="000000"/>
          <w:sz w:val="20"/>
          <w:lang w:val="en-US" w:eastAsia="en-US" w:bidi="ar-SA"/>
        </w:rPr>
        <w:t>a. Did Ms. Mide-Wilson Lack Capacity?</w:t>
      </w:r>
    </w:p>
    <w:p>
      <w:pPr>
        <w:numPr>
          <w:numId w:val="2"/>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Did HTLN Exercise Undue Influence over the Client?</w:t>
      </w:r>
    </w:p>
    <w:p>
      <w:pPr>
        <w:spacing w:before="120" w:line="260" w:lineRule="atLeast"/>
        <w:ind w:left="1080"/>
        <w:rPr>
          <w:rFonts w:ascii="arial" w:eastAsia="arial" w:hAnsi="arial" w:cs="arial"/>
          <w:sz w:val="18"/>
          <w:lang w:val="en-US" w:eastAsia="en-US" w:bidi="ar-SA"/>
        </w:rPr>
      </w:pPr>
      <w:r>
        <w:rPr>
          <w:rFonts w:ascii="arial" w:eastAsia="arial" w:hAnsi="arial" w:cs="arial"/>
          <w:color w:val="000000"/>
          <w:sz w:val="20"/>
          <w:lang w:val="en-US" w:eastAsia="en-US" w:bidi="ar-SA"/>
        </w:rPr>
        <w:t>c. Did HTLN take Unfair Advantage of the Client?</w:t>
      </w:r>
    </w:p>
    <w:p>
      <w:pPr>
        <w:numPr>
          <w:numId w:val="3"/>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Was a Mistake Made in the Formation of the Contract?</w:t>
      </w:r>
    </w:p>
    <w:p>
      <w:pPr>
        <w:numPr>
          <w:numId w:val="3"/>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Was There any Other Flaw in the Formation of the Contract?</w:t>
      </w:r>
    </w:p>
    <w:p>
      <w:pPr>
        <w:numPr>
          <w:numId w:val="4"/>
        </w:numPr>
        <w:tabs>
          <w:tab w:val="num" w:pos="1120"/>
          <w:tab w:val="clear" w:pos="1480"/>
        </w:tabs>
        <w:spacing w:before="120" w:line="260" w:lineRule="atLeast"/>
        <w:ind w:left="1120"/>
        <w:jc w:val="both"/>
        <w:rPr>
          <w:rFonts w:ascii="arial" w:eastAsia="arial" w:hAnsi="arial" w:cs="arial"/>
          <w:sz w:val="18"/>
          <w:lang w:val="en-US" w:eastAsia="en-US" w:bidi="ar-SA"/>
        </w:rPr>
      </w:pPr>
      <w:r>
        <w:rPr>
          <w:rFonts w:ascii="arial" w:eastAsia="arial" w:hAnsi="arial" w:cs="arial"/>
          <w:color w:val="000000"/>
          <w:sz w:val="20"/>
          <w:lang w:val="en-US" w:eastAsia="en-US" w:bidi="ar-SA"/>
        </w:rPr>
        <w:t>Was the CFA Reasonable at the Time It was Entered Into?</w:t>
      </w:r>
    </w:p>
    <w:p>
      <w:pPr>
        <w:numPr>
          <w:numId w:val="4"/>
        </w:numPr>
        <w:tabs>
          <w:tab w:val="num" w:pos="1120"/>
          <w:tab w:val="clear" w:pos="1480"/>
        </w:tabs>
        <w:spacing w:before="120" w:line="260" w:lineRule="atLeast"/>
        <w:ind w:left="1120"/>
        <w:jc w:val="both"/>
        <w:rPr>
          <w:rFonts w:ascii="arial" w:eastAsia="arial" w:hAnsi="arial" w:cs="arial"/>
          <w:sz w:val="18"/>
          <w:lang w:val="en-US" w:eastAsia="en-US" w:bidi="ar-SA"/>
        </w:rPr>
      </w:pPr>
      <w:r>
        <w:rPr>
          <w:rFonts w:ascii="arial" w:eastAsia="arial" w:hAnsi="arial" w:cs="arial"/>
          <w:color w:val="000000"/>
          <w:sz w:val="20"/>
          <w:lang w:val="en-US" w:eastAsia="en-US" w:bidi="ar-SA"/>
        </w:rPr>
        <w:t>Are the Solicitors Estopped from Claiming Fees under the CFA?</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20"/>
          <w:lang w:val="en-US" w:eastAsia="en-US" w:bidi="ar-SA"/>
        </w:rPr>
        <w:t>What is the Value of the Trust Assets?</w:t>
      </w:r>
      <w:r>
        <w:rPr>
          <w:rFonts w:ascii="arial" w:eastAsia="arial" w:hAnsi="arial" w:cs="arial"/>
          <w:sz w:val="18"/>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18"/>
          <w:lang w:val="en-US" w:eastAsia="en-US" w:bidi="ar-SA"/>
        </w:rPr>
      </w:pPr>
      <w:r>
        <w:rPr>
          <w:rFonts w:ascii="arial" w:eastAsia="arial" w:hAnsi="arial" w:cs="arial"/>
          <w:color w:val="000000"/>
          <w:sz w:val="20"/>
          <w:lang w:val="en-US" w:eastAsia="en-US" w:bidi="ar-SA"/>
        </w:rPr>
        <w:t>Experts</w:t>
      </w:r>
    </w:p>
    <w:p>
      <w:pPr>
        <w:spacing w:before="120" w:line="260" w:lineRule="atLeast"/>
        <w:ind w:left="1080"/>
        <w:rPr>
          <w:rFonts w:ascii="arial" w:eastAsia="arial" w:hAnsi="arial" w:cs="arial"/>
          <w:sz w:val="18"/>
          <w:lang w:val="en-US" w:eastAsia="en-US" w:bidi="ar-SA"/>
        </w:rPr>
      </w:pPr>
      <w:r>
        <w:rPr>
          <w:rFonts w:ascii="arial" w:eastAsia="arial" w:hAnsi="arial" w:cs="arial"/>
          <w:color w:val="000000"/>
          <w:sz w:val="20"/>
          <w:lang w:val="en-US" w:eastAsia="en-US" w:bidi="ar-SA"/>
        </w:rPr>
        <w:t>a. McCandlish Report</w:t>
      </w:r>
    </w:p>
    <w:p>
      <w:pPr>
        <w:spacing w:before="120" w:line="260" w:lineRule="atLeast"/>
        <w:ind w:left="1080"/>
        <w:rPr>
          <w:rFonts w:ascii="arial" w:eastAsia="arial" w:hAnsi="arial" w:cs="arial"/>
          <w:sz w:val="18"/>
          <w:lang w:val="en-US" w:eastAsia="en-US" w:bidi="ar-SA"/>
        </w:rPr>
      </w:pPr>
      <w:r>
        <w:rPr>
          <w:rFonts w:ascii="arial" w:eastAsia="arial" w:hAnsi="arial" w:cs="arial"/>
          <w:color w:val="000000"/>
          <w:sz w:val="20"/>
          <w:lang w:val="en-US" w:eastAsia="en-US" w:bidi="ar-SA"/>
        </w:rPr>
        <w:t>b. McFarlane Report</w:t>
      </w:r>
    </w:p>
    <w:p>
      <w:pPr>
        <w:spacing w:before="120" w:line="260" w:lineRule="atLeast"/>
        <w:ind w:left="1080"/>
        <w:rPr>
          <w:rFonts w:ascii="arial" w:eastAsia="arial" w:hAnsi="arial" w:cs="arial"/>
          <w:sz w:val="18"/>
          <w:lang w:val="en-US" w:eastAsia="en-US" w:bidi="ar-SA"/>
        </w:rPr>
      </w:pPr>
      <w:r>
        <w:rPr>
          <w:rFonts w:ascii="arial" w:eastAsia="arial" w:hAnsi="arial" w:cs="arial"/>
          <w:color w:val="000000"/>
          <w:sz w:val="20"/>
          <w:lang w:val="en-US" w:eastAsia="en-US" w:bidi="ar-SA"/>
        </w:rPr>
        <w:t>c. McEwen Report</w:t>
      </w:r>
    </w:p>
    <w:p>
      <w:pPr>
        <w:numPr>
          <w:numId w:val="6"/>
        </w:numPr>
        <w:tabs>
          <w:tab w:val="num" w:pos="1120"/>
          <w:tab w:val="clear" w:pos="1480"/>
        </w:tabs>
        <w:spacing w:before="120" w:line="260" w:lineRule="atLeast"/>
        <w:ind w:left="1120"/>
        <w:jc w:val="both"/>
        <w:rPr>
          <w:rFonts w:ascii="arial" w:eastAsia="arial" w:hAnsi="arial" w:cs="arial"/>
          <w:sz w:val="18"/>
          <w:lang w:val="en-US" w:eastAsia="en-US" w:bidi="ar-SA"/>
        </w:rPr>
      </w:pPr>
      <w:r>
        <w:rPr>
          <w:rFonts w:ascii="arial" w:eastAsia="arial" w:hAnsi="arial" w:cs="arial"/>
          <w:color w:val="000000"/>
          <w:sz w:val="20"/>
          <w:lang w:val="en-US" w:eastAsia="en-US" w:bidi="ar-SA"/>
        </w:rPr>
        <w:t>Law</w:t>
      </w:r>
    </w:p>
    <w:p>
      <w:pPr>
        <w:numPr>
          <w:numId w:val="6"/>
        </w:numPr>
        <w:tabs>
          <w:tab w:val="num" w:pos="1120"/>
          <w:tab w:val="clear" w:pos="1480"/>
        </w:tabs>
        <w:spacing w:before="120" w:line="260" w:lineRule="atLeast"/>
        <w:ind w:left="1120"/>
        <w:jc w:val="both"/>
        <w:rPr>
          <w:rFonts w:ascii="arial" w:eastAsia="arial" w:hAnsi="arial" w:cs="arial"/>
          <w:sz w:val="18"/>
          <w:lang w:val="en-US" w:eastAsia="en-US" w:bidi="ar-SA"/>
        </w:rPr>
      </w:pPr>
      <w:r>
        <w:rPr>
          <w:rFonts w:ascii="arial" w:eastAsia="arial" w:hAnsi="arial" w:cs="arial"/>
          <w:color w:val="000000"/>
          <w:sz w:val="20"/>
          <w:lang w:val="en-US" w:eastAsia="en-US" w:bidi="ar-SA"/>
        </w:rPr>
        <w:t>Analysis</w:t>
      </w:r>
    </w:p>
    <w:p>
      <w:pPr>
        <w:spacing w:before="120" w:line="260" w:lineRule="atLeast"/>
        <w:ind w:left="1080"/>
        <w:rPr>
          <w:rFonts w:ascii="arial" w:eastAsia="arial" w:hAnsi="arial" w:cs="arial"/>
          <w:sz w:val="18"/>
          <w:lang w:val="en-US" w:eastAsia="en-US" w:bidi="ar-SA"/>
        </w:rPr>
      </w:pPr>
      <w:r>
        <w:rPr>
          <w:rFonts w:ascii="arial" w:eastAsia="arial" w:hAnsi="arial" w:cs="arial"/>
          <w:color w:val="000000"/>
          <w:sz w:val="20"/>
          <w:lang w:val="en-US" w:eastAsia="en-US" w:bidi="ar-SA"/>
        </w:rPr>
        <w:t>a. Discount Rates</w:t>
      </w:r>
    </w:p>
    <w:p>
      <w:pPr>
        <w:spacing w:before="120" w:line="260" w:lineRule="atLeast"/>
        <w:ind w:left="1080"/>
        <w:rPr>
          <w:rFonts w:ascii="arial" w:eastAsia="arial" w:hAnsi="arial" w:cs="arial"/>
          <w:sz w:val="18"/>
          <w:lang w:val="en-US" w:eastAsia="en-US" w:bidi="ar-SA"/>
        </w:rPr>
      </w:pPr>
      <w:r>
        <w:rPr>
          <w:rFonts w:ascii="arial" w:eastAsia="arial" w:hAnsi="arial" w:cs="arial"/>
          <w:color w:val="000000"/>
          <w:sz w:val="20"/>
          <w:lang w:val="en-US" w:eastAsia="en-US" w:bidi="ar-SA"/>
        </w:rPr>
        <w:t>b. Intangible Value</w:t>
      </w:r>
    </w:p>
    <w:p>
      <w:pPr>
        <w:spacing w:before="120" w:line="260" w:lineRule="atLeast"/>
        <w:ind w:left="1080"/>
        <w:rPr>
          <w:rFonts w:ascii="arial" w:eastAsia="arial" w:hAnsi="arial" w:cs="arial"/>
          <w:sz w:val="18"/>
          <w:lang w:val="en-US" w:eastAsia="en-US" w:bidi="ar-SA"/>
        </w:rPr>
      </w:pPr>
      <w:r>
        <w:rPr>
          <w:rFonts w:ascii="arial" w:eastAsia="arial" w:hAnsi="arial" w:cs="arial"/>
          <w:color w:val="000000"/>
          <w:sz w:val="20"/>
          <w:lang w:val="en-US" w:eastAsia="en-US" w:bidi="ar-SA"/>
        </w:rPr>
        <w:t>c. Additional Differences in the Valuations</w:t>
      </w:r>
    </w:p>
    <w:p>
      <w:pPr>
        <w:spacing w:before="120" w:line="260" w:lineRule="atLeast"/>
        <w:ind w:left="1080"/>
        <w:rPr>
          <w:rFonts w:ascii="arial" w:eastAsia="arial" w:hAnsi="arial" w:cs="arial"/>
          <w:sz w:val="18"/>
          <w:lang w:val="en-US" w:eastAsia="en-US" w:bidi="ar-SA"/>
        </w:rPr>
      </w:pPr>
      <w:r>
        <w:rPr>
          <w:rFonts w:ascii="arial" w:eastAsia="arial" w:hAnsi="arial" w:cs="arial"/>
          <w:color w:val="000000"/>
          <w:sz w:val="20"/>
          <w:lang w:val="en-US" w:eastAsia="en-US" w:bidi="ar-SA"/>
        </w:rPr>
        <w:t>d. KPMG Valuation</w:t>
      </w:r>
    </w:p>
    <w:p>
      <w:pPr>
        <w:numPr>
          <w:numId w:val="7"/>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Conclusion on Value of the Trust Assets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20"/>
          <w:lang w:val="en-US" w:eastAsia="en-US" w:bidi="ar-SA"/>
        </w:rPr>
        <w:t>What Fee Should the Client Pay to the Solicitors?</w:t>
      </w:r>
      <w:r>
        <w:rPr>
          <w:rFonts w:ascii="arial" w:eastAsia="arial" w:hAnsi="arial" w:cs="arial"/>
          <w:sz w:val="18"/>
          <w:lang w:val="en-US" w:eastAsia="en-US" w:bidi="ar-SA"/>
        </w:rPr>
        <w:cr/>
      </w:r>
    </w:p>
    <w:p>
      <w:pPr>
        <w:numPr>
          <w:numId w:val="8"/>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Complexity, Difficulty or Novelty of the Issues Involved</w:t>
      </w:r>
    </w:p>
    <w:p>
      <w:pPr>
        <w:numPr>
          <w:numId w:val="8"/>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Skill, Specialized Knowledge and Responsibility Required</w:t>
      </w:r>
    </w:p>
    <w:p>
      <w:pPr>
        <w:numPr>
          <w:numId w:val="8"/>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Amount Involved</w:t>
      </w:r>
    </w:p>
    <w:p>
      <w:pPr>
        <w:numPr>
          <w:numId w:val="8"/>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Time Reasonably Spent</w:t>
      </w:r>
    </w:p>
    <w:p>
      <w:pPr>
        <w:numPr>
          <w:numId w:val="8"/>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Importance of the Matter to the Client</w:t>
      </w:r>
    </w:p>
    <w:p>
      <w:pPr>
        <w:numPr>
          <w:numId w:val="8"/>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Result Obtained</w:t>
      </w:r>
    </w:p>
    <w:p>
      <w:pPr>
        <w:numPr>
          <w:numId w:val="8"/>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Other Factors</w:t>
      </w:r>
    </w:p>
    <w:p>
      <w:pPr>
        <w:spacing w:before="120" w:line="260" w:lineRule="atLeast"/>
        <w:ind w:left="1080"/>
        <w:rPr>
          <w:rFonts w:ascii="arial" w:eastAsia="arial" w:hAnsi="arial" w:cs="arial"/>
          <w:sz w:val="18"/>
          <w:lang w:val="en-US" w:eastAsia="en-US" w:bidi="ar-SA"/>
        </w:rPr>
      </w:pPr>
      <w:r>
        <w:rPr>
          <w:rFonts w:ascii="arial" w:eastAsia="arial" w:hAnsi="arial" w:cs="arial"/>
          <w:color w:val="000000"/>
          <w:sz w:val="20"/>
          <w:lang w:val="en-US" w:eastAsia="en-US" w:bidi="ar-SA"/>
        </w:rPr>
        <w:t>a. Risk</w:t>
      </w:r>
    </w:p>
    <w:p>
      <w:pPr>
        <w:spacing w:before="120" w:line="260" w:lineRule="atLeast"/>
        <w:ind w:left="1080"/>
        <w:rPr>
          <w:rFonts w:ascii="arial" w:eastAsia="arial" w:hAnsi="arial" w:cs="arial"/>
          <w:sz w:val="18"/>
          <w:lang w:val="en-US" w:eastAsia="en-US" w:bidi="ar-SA"/>
        </w:rPr>
      </w:pPr>
      <w:r>
        <w:rPr>
          <w:rFonts w:ascii="arial" w:eastAsia="arial" w:hAnsi="arial" w:cs="arial"/>
          <w:color w:val="000000"/>
          <w:sz w:val="20"/>
          <w:lang w:val="en-US" w:eastAsia="en-US" w:bidi="ar-SA"/>
        </w:rPr>
        <w:t>b. Nature of the Client</w:t>
      </w:r>
    </w:p>
    <w:p>
      <w:pPr>
        <w:spacing w:before="120" w:line="260" w:lineRule="atLeast"/>
        <w:ind w:left="1080"/>
        <w:rPr>
          <w:rFonts w:ascii="arial" w:eastAsia="arial" w:hAnsi="arial" w:cs="arial"/>
          <w:sz w:val="18"/>
          <w:lang w:val="en-US" w:eastAsia="en-US" w:bidi="ar-SA"/>
        </w:rPr>
      </w:pPr>
      <w:r>
        <w:rPr>
          <w:rFonts w:ascii="arial" w:eastAsia="arial" w:hAnsi="arial" w:cs="arial"/>
          <w:color w:val="000000"/>
          <w:sz w:val="20"/>
          <w:lang w:val="en-US" w:eastAsia="en-US" w:bidi="ar-SA"/>
        </w:rPr>
        <w:t>c. Client's Ability to Pay</w:t>
      </w:r>
    </w:p>
    <w:p>
      <w:pPr>
        <w:numPr>
          <w:numId w:val="9"/>
        </w:numPr>
        <w:tabs>
          <w:tab w:val="clear" w:pos="1120"/>
          <w:tab w:val="num" w:pos="1480"/>
        </w:tabs>
        <w:spacing w:before="120" w:line="260" w:lineRule="atLeast"/>
        <w:ind w:left="1480"/>
        <w:jc w:val="both"/>
        <w:rPr>
          <w:rFonts w:ascii="arial" w:eastAsia="arial" w:hAnsi="arial" w:cs="arial"/>
          <w:sz w:val="18"/>
          <w:lang w:val="en-US" w:eastAsia="en-US" w:bidi="ar-SA"/>
        </w:rPr>
      </w:pPr>
      <w:r>
        <w:rPr>
          <w:rFonts w:ascii="arial" w:eastAsia="arial" w:hAnsi="arial" w:cs="arial"/>
          <w:color w:val="000000"/>
          <w:sz w:val="20"/>
          <w:lang w:val="en-US" w:eastAsia="en-US" w:bidi="ar-SA"/>
        </w:rPr>
        <w:t>Solicitors' Alleged Misconduct (the "Secret Deal" with Mr. Rennie)</w:t>
      </w:r>
    </w:p>
    <w:p>
      <w:pPr>
        <w:rPr>
          <w:rFonts w:ascii="arial" w:eastAsia="arial" w:hAnsi="arial" w:cs="arial"/>
          <w:sz w:val="18"/>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18"/>
                <w:lang w:val="en-US" w:eastAsia="en-US" w:bidi="ar-SA"/>
              </w:rPr>
            </w:pPr>
            <w:r>
              <w:rPr>
                <w:rFonts w:ascii="arial" w:eastAsia="arial" w:hAnsi="arial" w:cs="arial"/>
                <w:b/>
                <w:color w:val="000000"/>
                <w:sz w:val="30"/>
                <w:lang w:val="en-US" w:eastAsia="en-US" w:bidi="ar-SA"/>
              </w:rPr>
              <w:t>REGISTRAR K.S. SAINTY</w:t>
            </w:r>
          </w:p>
        </w:tc>
      </w:tr>
    </w:tbl>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sz w:val="18"/>
          <w:lang w:val="en-US" w:eastAsia="en-US" w:bidi="ar-SA"/>
        </w:rPr>
        <w:br/>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case involves two appointments brought pursuant to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 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one filed by Kirsten Mide-Wilson (the "Client" or "Ms. Mide-Wilson") seeking examination of a contingent fee agreement between Ms. Mide-Wilson and the law firm of Hungerford Tomyn Lawrenson and Nichols (the "Solicitors" or "HTLN"); and a second filed by the Solicitors seeking a review of the bill rendered by the Solicitors to the Client pursuant to the agreement between them.</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Client brings her application pursuant to s. 68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which says (in part):</w:t>
      </w:r>
      <w:r>
        <w:rPr>
          <w:rFonts w:ascii="arial" w:eastAsia="arial" w:hAnsi="arial" w:cs="arial"/>
          <w:sz w:val="18"/>
          <w:lang w:val="en-US" w:eastAsia="en-US" w:bidi="ar-SA"/>
        </w:rPr>
        <w:cr/>
      </w:r>
    </w:p>
    <w:p>
      <w:pPr>
        <w:numPr>
          <w:numId w:val="10"/>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A person who has entered into an agreement with a lawyer may apply to the registrar to have the agreement examined.</w:t>
      </w:r>
    </w:p>
    <w:p>
      <w:pPr>
        <w:numPr>
          <w:numId w:val="10"/>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On an application under subsection (2), the registrar must confirm the agreement unless the registrar considers that the agreement is unfair or unreasonable under the circumstances existing at the time the agreement was entered into.</w:t>
      </w:r>
    </w:p>
    <w:p>
      <w:pPr>
        <w:numPr>
          <w:numId w:val="10"/>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If the registrar considers that the agreement is unfair or unreasonable under the circumstances existing at the time the agreement was entered into, the registrar may modify or cancel the agreement.</w:t>
      </w:r>
    </w:p>
    <w:p>
      <w:pPr>
        <w:numPr>
          <w:numId w:val="10"/>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If an agreement is cancelled under subsection (6), a registrar</w:t>
      </w:r>
    </w:p>
    <w:p>
      <w:pPr>
        <w:numPr>
          <w:numId w:val="11"/>
        </w:numPr>
        <w:tabs>
          <w:tab w:val="clear" w:pos="1120"/>
          <w:tab w:val="num" w:pos="1480"/>
        </w:tabs>
        <w:spacing w:before="120" w:line="260" w:lineRule="atLeast"/>
        <w:ind w:left="1480"/>
        <w:jc w:val="both"/>
        <w:rPr>
          <w:rFonts w:ascii="arial" w:eastAsia="arial" w:hAnsi="arial" w:cs="arial"/>
          <w:sz w:val="18"/>
          <w:lang w:val="en-US" w:eastAsia="en-US" w:bidi="ar-SA"/>
        </w:rPr>
      </w:pPr>
      <w:r>
        <w:rPr>
          <w:rFonts w:ascii="arial" w:eastAsia="arial" w:hAnsi="arial" w:cs="arial"/>
          <w:color w:val="000000"/>
          <w:sz w:val="20"/>
          <w:lang w:val="en-US" w:eastAsia="en-US" w:bidi="ar-SA"/>
        </w:rPr>
        <w:t>may require the lawyer to prepare a bill for review, and</w:t>
      </w:r>
    </w:p>
    <w:p>
      <w:pPr>
        <w:numPr>
          <w:numId w:val="11"/>
        </w:numPr>
        <w:tabs>
          <w:tab w:val="clear" w:pos="1120"/>
          <w:tab w:val="num" w:pos="1480"/>
        </w:tabs>
        <w:spacing w:before="120" w:line="260" w:lineRule="atLeast"/>
        <w:ind w:left="1480"/>
        <w:jc w:val="both"/>
        <w:rPr>
          <w:rFonts w:ascii="arial" w:eastAsia="arial" w:hAnsi="arial" w:cs="arial"/>
          <w:sz w:val="18"/>
          <w:lang w:val="en-US" w:eastAsia="en-US" w:bidi="ar-SA"/>
        </w:rPr>
      </w:pPr>
      <w:r>
        <w:rPr>
          <w:rFonts w:ascii="arial" w:eastAsia="arial" w:hAnsi="arial" w:cs="arial"/>
          <w:color w:val="000000"/>
          <w:sz w:val="20"/>
          <w:lang w:val="en-US" w:eastAsia="en-US" w:bidi="ar-SA"/>
        </w:rPr>
        <w:t>must review the fees, charges and disbursements for the services provided as though there were no agreement.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Client and the Solicitors entered into a contingent fee agreement on December 8, 2008 (the "CFA"). The Client seeks cancellation (and not modification) of the CFA.</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Solicitors' appointment is brought pursuant to s. 70(3)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which provides:</w:t>
      </w:r>
      <w:r>
        <w:rPr>
          <w:rFonts w:ascii="arial" w:eastAsia="arial" w:hAnsi="arial" w:cs="arial"/>
          <w:sz w:val="18"/>
          <w:lang w:val="en-US" w:eastAsia="en-US" w:bidi="ar-SA"/>
        </w:rPr>
        <w:cr/>
      </w:r>
    </w:p>
    <w:p>
      <w:pPr>
        <w:numPr>
          <w:numId w:val="12"/>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Subject to subsection (11), a lawyer may obtain an appointment to have a bill reviewed 30 days or more after the bill was delivered under section 69.</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HTLN rendered a bill to Ms. Mide-Wilson pursuant to the CFA on March 25, 2011 in the amount of $19,044,549.78 (fees: $16,979,015; disbursements: $26,895.22; plus HST/GST on fees and taxable disbursements: $2,038,639.56).</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HTLN advise that if I cancel the CFA, they will not issue a new bill. Rather they will rely on the bill presented as the one I must review on a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basis: see, </w:t>
      </w:r>
      <w:r>
        <w:rPr>
          <w:rFonts w:ascii="arial" w:eastAsia="arial" w:hAnsi="arial" w:cs="arial"/>
          <w:i/>
          <w:color w:val="000000"/>
          <w:sz w:val="20"/>
          <w:lang w:val="en-US" w:eastAsia="en-US" w:bidi="ar-SA"/>
        </w:rPr>
        <w:t>Kelly v. McMillan</w:t>
      </w:r>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2003 BCSC 307</w:t>
        </w:r>
      </w:hyperlink>
      <w:r>
        <w:rPr>
          <w:rFonts w:ascii="arial" w:eastAsia="arial" w:hAnsi="arial" w:cs="arial"/>
          <w:color w:val="000000"/>
          <w:sz w:val="20"/>
          <w:lang w:val="en-US" w:eastAsia="en-US" w:bidi="ar-SA"/>
        </w:rPr>
        <w:t>, at paras. 52-55.</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Client identified five central issues in this matter:</w:t>
      </w:r>
      <w:r>
        <w:rPr>
          <w:rFonts w:ascii="arial" w:eastAsia="arial" w:hAnsi="arial" w:cs="arial"/>
          <w:sz w:val="18"/>
          <w:lang w:val="en-US" w:eastAsia="en-US" w:bidi="ar-SA"/>
        </w:rPr>
        <w:cr/>
      </w:r>
    </w:p>
    <w:p>
      <w:pPr>
        <w:numPr>
          <w:numId w:val="13"/>
        </w:numPr>
        <w:tabs>
          <w:tab w:val="clear" w:pos="1120"/>
          <w:tab w:val="num" w:pos="1480"/>
        </w:tabs>
        <w:spacing w:before="120" w:line="260" w:lineRule="atLeast"/>
        <w:ind w:left="1480"/>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Does the CFA apply in the circumstances of this case;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is it unfair or unreasonable?</w:t>
      </w:r>
    </w:p>
    <w:p>
      <w:pPr>
        <w:numPr>
          <w:numId w:val="14"/>
        </w:numPr>
        <w:tabs>
          <w:tab w:val="clear" w:pos="1120"/>
          <w:tab w:val="num" w:pos="1480"/>
        </w:tabs>
        <w:spacing w:before="120" w:line="260" w:lineRule="atLeast"/>
        <w:ind w:left="1480"/>
        <w:jc w:val="both"/>
        <w:rPr>
          <w:rFonts w:ascii="arial" w:eastAsia="arial" w:hAnsi="arial" w:cs="arial"/>
          <w:sz w:val="18"/>
          <w:lang w:val="en-US" w:eastAsia="en-US" w:bidi="ar-SA"/>
        </w:rPr>
      </w:pPr>
      <w:r>
        <w:rPr>
          <w:rFonts w:ascii="arial" w:eastAsia="arial" w:hAnsi="arial" w:cs="arial"/>
          <w:color w:val="000000"/>
          <w:sz w:val="20"/>
          <w:lang w:val="en-US" w:eastAsia="en-US" w:bidi="ar-SA"/>
        </w:rPr>
        <w:t>Even if the CFA agreement applies:</w:t>
      </w:r>
    </w:p>
    <w:p>
      <w:pPr>
        <w:numPr>
          <w:numId w:val="15"/>
        </w:numPr>
        <w:tabs>
          <w:tab w:val="clear" w:pos="1120"/>
          <w:tab w:val="num" w:pos="1840"/>
        </w:tabs>
        <w:spacing w:before="120" w:line="260" w:lineRule="atLeast"/>
        <w:ind w:left="1840"/>
        <w:jc w:val="both"/>
        <w:rPr>
          <w:rFonts w:ascii="arial" w:eastAsia="arial" w:hAnsi="arial" w:cs="arial"/>
          <w:sz w:val="18"/>
          <w:lang w:val="en-US" w:eastAsia="en-US" w:bidi="ar-SA"/>
        </w:rPr>
      </w:pPr>
      <w:r>
        <w:rPr>
          <w:rFonts w:ascii="arial" w:eastAsia="arial" w:hAnsi="arial" w:cs="arial"/>
          <w:color w:val="000000"/>
          <w:sz w:val="20"/>
          <w:lang w:val="en-US" w:eastAsia="en-US" w:bidi="ar-SA"/>
        </w:rPr>
        <w:t>are the solicitors estopped from claiming under it?</w:t>
      </w:r>
    </w:p>
    <w:p>
      <w:pPr>
        <w:numPr>
          <w:numId w:val="16"/>
        </w:numPr>
        <w:tabs>
          <w:tab w:val="clear" w:pos="1120"/>
          <w:tab w:val="num" w:pos="1840"/>
        </w:tabs>
        <w:spacing w:before="120" w:line="260" w:lineRule="atLeast"/>
        <w:ind w:left="1840"/>
        <w:jc w:val="both"/>
        <w:rPr>
          <w:rFonts w:ascii="arial" w:eastAsia="arial" w:hAnsi="arial" w:cs="arial"/>
          <w:sz w:val="18"/>
          <w:lang w:val="en-US" w:eastAsia="en-US" w:bidi="ar-SA"/>
        </w:rPr>
      </w:pPr>
      <w:r>
        <w:rPr>
          <w:rFonts w:ascii="arial" w:eastAsia="arial" w:hAnsi="arial" w:cs="arial"/>
          <w:color w:val="000000"/>
          <w:sz w:val="20"/>
          <w:lang w:val="en-US" w:eastAsia="en-US" w:bidi="ar-SA"/>
        </w:rPr>
        <w:t>is the bill the lawyers have rendered reasonable in the circumstances existing at the time they rendered it?</w:t>
      </w:r>
    </w:p>
    <w:p>
      <w:pPr>
        <w:numPr>
          <w:numId w:val="17"/>
        </w:numPr>
        <w:tabs>
          <w:tab w:val="clear" w:pos="1120"/>
          <w:tab w:val="num" w:pos="1840"/>
        </w:tabs>
        <w:spacing w:before="120" w:line="260" w:lineRule="atLeast"/>
        <w:ind w:left="1840"/>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what is the amount of a fair fee for the solicitors under section 71(4)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numPr>
          <w:numId w:val="18"/>
        </w:numPr>
        <w:tabs>
          <w:tab w:val="clear" w:pos="1120"/>
          <w:tab w:val="num" w:pos="1480"/>
        </w:tabs>
        <w:spacing w:before="120" w:line="260" w:lineRule="atLeast"/>
        <w:ind w:left="1480"/>
        <w:jc w:val="both"/>
        <w:rPr>
          <w:rFonts w:ascii="arial" w:eastAsia="arial" w:hAnsi="arial" w:cs="arial"/>
          <w:sz w:val="18"/>
          <w:lang w:val="en-US" w:eastAsia="en-US" w:bidi="ar-SA"/>
        </w:rPr>
      </w:pPr>
      <w:r>
        <w:rPr>
          <w:rFonts w:ascii="arial" w:eastAsia="arial" w:hAnsi="arial" w:cs="arial"/>
          <w:color w:val="000000"/>
          <w:sz w:val="20"/>
          <w:lang w:val="en-US" w:eastAsia="en-US" w:bidi="ar-SA"/>
        </w:rPr>
        <w:t>What is the net value of the corpus of the Jack Cewe Alter Ego Trust as of August 31, 2009?</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Although these issues were specifically enumerated by the Client, the Solicitors did not dispute that the above list accurately represents the issues in this proceeding and I intend to proceed with these reasons keeping those issues in mind as the ones I must decide.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begin by setting out the undisputed facts surrounding the circumstances of the retainer in this matter. I address disputed facts and their effect on my decision as part of my discussion and analysis of the issues.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Mide-Wilson is the granddaughter of Jack Cewe, a successful businessman who died on June 7, 2008 at Port Moody, British Columbia at the age of 86.</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Jack Cewe was predeceased by:</w:t>
      </w:r>
      <w:r>
        <w:rPr>
          <w:rFonts w:ascii="arial" w:eastAsia="arial" w:hAnsi="arial" w:cs="arial"/>
          <w:sz w:val="18"/>
          <w:lang w:val="en-US" w:eastAsia="en-US" w:bidi="ar-SA"/>
        </w:rPr>
        <w:cr/>
      </w:r>
    </w:p>
    <w:p>
      <w:pPr>
        <w:numPr>
          <w:numId w:val="21"/>
        </w:numPr>
        <w:tabs>
          <w:tab w:val="clear" w:pos="1120"/>
          <w:tab w:val="num" w:pos="1480"/>
        </w:tabs>
        <w:spacing w:before="120" w:line="260" w:lineRule="atLeast"/>
        <w:ind w:left="1480"/>
        <w:jc w:val="both"/>
        <w:rPr>
          <w:rFonts w:ascii="arial" w:eastAsia="arial" w:hAnsi="arial" w:cs="arial"/>
          <w:sz w:val="18"/>
          <w:lang w:val="en-US" w:eastAsia="en-US" w:bidi="ar-SA"/>
        </w:rPr>
      </w:pPr>
      <w:r>
        <w:rPr>
          <w:rFonts w:ascii="arial" w:eastAsia="arial" w:hAnsi="arial" w:cs="arial"/>
          <w:color w:val="000000"/>
          <w:sz w:val="20"/>
          <w:lang w:val="en-US" w:eastAsia="en-US" w:bidi="ar-SA"/>
        </w:rPr>
        <w:t>Christopher Mide, his only grandson and Ms. Mide-Wilson's brother, who died at age 25 on June 28, 1998;</w:t>
      </w:r>
    </w:p>
    <w:p>
      <w:pPr>
        <w:numPr>
          <w:numId w:val="22"/>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Mabel (a.k.a. Ginger) Cewe ("Mabel Cewe"), Jack Cewe's wife of 63 years who died on December 22, 2005 at age 91; and</w:t>
      </w:r>
    </w:p>
    <w:p>
      <w:pPr>
        <w:numPr>
          <w:numId w:val="23"/>
        </w:numPr>
        <w:tabs>
          <w:tab w:val="clear" w:pos="1120"/>
          <w:tab w:val="num" w:pos="1840"/>
        </w:tabs>
        <w:spacing w:before="120" w:line="260" w:lineRule="atLeast"/>
        <w:ind w:left="1840"/>
        <w:jc w:val="both"/>
        <w:rPr>
          <w:rFonts w:ascii="arial" w:eastAsia="arial" w:hAnsi="arial" w:cs="arial"/>
          <w:sz w:val="18"/>
          <w:lang w:val="en-US" w:eastAsia="en-US" w:bidi="ar-SA"/>
        </w:rPr>
      </w:pPr>
      <w:r>
        <w:rPr>
          <w:rFonts w:ascii="arial" w:eastAsia="arial" w:hAnsi="arial" w:cs="arial"/>
          <w:color w:val="000000"/>
          <w:sz w:val="20"/>
          <w:lang w:val="en-US" w:eastAsia="en-US" w:bidi="ar-SA"/>
        </w:rPr>
        <w:t>Judith Mide, Jack Cewe's only child and Ms. Mide-Wilson and Christopher Mide's mother. She died on October 5, 2007 at age 62.</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Mide-Wilson and her three children are the sole surviving members of Jack Cewe's immediate family.</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his death (and throughout his life) Jack Cewe was engaged in the construction business. In 1953 he and his wife, Mabel Cewe, founded Jack Cewe Ltd. ("JCL"), a paving and construction company. Jack and Mabel Cewe were the sole shareholders of JCL until Mabel's death in 2005 when all of her shareholdings in JCL were transferred by her estate to Jack Cewe through a will executed on November 2, 1994.</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December 2, 1994 Jack Cewe executed a will (the "1994 Will") leaving 100% of his JCL shares to Mabel Cewe (if she survived him); failing that, to Judith Mide; or if Judith failed to survive Jack and Mabel, to the grandchildren (Ms. Mide-Wilson and Christopher Mide at the time of the 1994 Will).</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Jack Cewe suffered from macular degeneration and, by the time Mabel Cewe died in 2005, was effectively blind and unable to drive or read.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Jack Cewe was quite emotionally distraught following his daughter's (Judith Mide's) death on October 5, 2007.</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Between October 2007 and May 2008, Jack Cewe executed three new wills and two alter ego trusts (together, the "New Instruments"). These New Instruments were drafted by Ms. Mary Hamilton of Davis LLP, a well known wills and estates practitioner in British Columbia.</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New Instruments contained the following appointments and bequests:</w:t>
      </w:r>
      <w:r>
        <w:rPr>
          <w:rFonts w:ascii="arial" w:eastAsia="arial" w:hAnsi="arial" w:cs="arial"/>
          <w:sz w:val="18"/>
          <w:lang w:val="en-US" w:eastAsia="en-US" w:bidi="ar-SA"/>
        </w:rPr>
        <w:cr/>
      </w:r>
    </w:p>
    <w:p>
      <w:pPr>
        <w:numPr>
          <w:numId w:val="24"/>
        </w:numPr>
        <w:tabs>
          <w:tab w:val="clear" w:pos="1120"/>
          <w:tab w:val="num" w:pos="1840"/>
        </w:tabs>
        <w:spacing w:before="120" w:line="260" w:lineRule="atLeast"/>
        <w:ind w:left="1840"/>
        <w:jc w:val="both"/>
        <w:rPr>
          <w:rFonts w:ascii="arial" w:eastAsia="arial" w:hAnsi="arial" w:cs="arial"/>
          <w:sz w:val="18"/>
          <w:lang w:val="en-US" w:eastAsia="en-US" w:bidi="ar-SA"/>
        </w:rPr>
      </w:pPr>
      <w:r>
        <w:rPr>
          <w:rFonts w:ascii="arial" w:eastAsia="arial" w:hAnsi="arial" w:cs="arial"/>
          <w:color w:val="000000"/>
          <w:sz w:val="20"/>
          <w:lang w:val="en-US" w:eastAsia="en-US" w:bidi="ar-SA"/>
        </w:rPr>
        <w:t>The October 11, 2007 Will:</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32"/>
        <w:gridCol w:w="237"/>
        <w:gridCol w:w="515"/>
        <w:gridCol w:w="237"/>
        <w:gridCol w:w="7306"/>
        <w:gridCol w:w="10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a)</w:t>
            </w:r>
          </w:p>
        </w:tc>
        <w:tc>
          <w:tcPr>
            <w:tcW w:w="102"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Executors: Jack Cewe appointed George Home ("Home"),</w:t>
            </w:r>
            <w:bookmarkStart w:id="271" w:name="Backward_fnref_fnr-1"/>
            <w:hyperlink w:anchor="Forward_fnref_fnr-1" w:history="1">
              <w:r>
                <w:rPr>
                  <w:rFonts w:ascii="arial" w:eastAsia="arial" w:hAnsi="arial" w:cs="arial"/>
                  <w:b/>
                  <w:color w:val="BE161D"/>
                  <w:sz w:val="18"/>
                  <w:shd w:val="clear" w:color="auto" w:fill="FFFFFF"/>
                  <w:vertAlign w:val="superscript"/>
                  <w:lang w:val="en-US" w:eastAsia="en-US" w:bidi="ar-SA"/>
                </w:rPr>
                <w:t>1</w:t>
              </w:r>
            </w:hyperlink>
            <w:bookmarkEnd w:id="271"/>
            <w:r>
              <w:rPr>
                <w:rFonts w:ascii="arial" w:eastAsia="arial" w:hAnsi="arial" w:cs="arial"/>
                <w:color w:val="000000"/>
                <w:sz w:val="18"/>
                <w:lang w:val="en-US" w:eastAsia="en-US" w:bidi="ar-SA"/>
              </w:rPr>
              <w:t xml:space="preserve"> the long time VP Finance for JCL (for some 40 years) and Alice Gibson ("Gibson"), an employee of JCL with whom Jack had carried on an extramarital affair for some 30 years, as the primary executors of his</w:t>
            </w:r>
          </w:p>
        </w:tc>
        <w:tc>
          <w:tcPr>
            <w:tcW w:w="1024" w:type="dxa"/>
            <w:tcBorders>
              <w:bottom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estate.</w:t>
            </w:r>
          </w:p>
        </w:tc>
        <w:tc>
          <w:tcPr>
            <w:tcW w:w="205"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c>
          <w:tcPr>
            <w:tcW w:w="512"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c>
          <w:tcPr>
            <w:tcW w:w="102"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18"/>
          <w:lang w:val="en-US" w:eastAsia="en-US" w:bidi="ar-SA"/>
        </w:rPr>
      </w:pPr>
    </w:p>
    <w:p>
      <w:pPr>
        <w:numPr>
          <w:numId w:val="25"/>
        </w:numPr>
        <w:tabs>
          <w:tab w:val="clear" w:pos="1120"/>
          <w:tab w:val="num" w:pos="1840"/>
        </w:tabs>
        <w:spacing w:before="120" w:line="260" w:lineRule="atLeast"/>
        <w:ind w:left="1840"/>
        <w:jc w:val="both"/>
        <w:rPr>
          <w:rFonts w:ascii="arial" w:eastAsia="arial" w:hAnsi="arial" w:cs="arial"/>
          <w:sz w:val="18"/>
          <w:lang w:val="en-US" w:eastAsia="en-US" w:bidi="ar-SA"/>
        </w:rPr>
      </w:pPr>
      <w:r>
        <w:rPr>
          <w:rFonts w:ascii="arial" w:eastAsia="arial" w:hAnsi="arial" w:cs="arial"/>
          <w:color w:val="000000"/>
          <w:sz w:val="20"/>
          <w:lang w:val="en-US" w:eastAsia="en-US" w:bidi="ar-SA"/>
        </w:rPr>
        <w:t>Alternate Executors: Emmett McGrath, a partner with KPMG who had provided professional services to JCL and Jack Cewe personally; and Brian Gibson, Gibson's son, were appointed as the alternate executor.</w:t>
      </w:r>
    </w:p>
    <w:p>
      <w:pPr>
        <w:numPr>
          <w:numId w:val="26"/>
        </w:numPr>
        <w:tabs>
          <w:tab w:val="clear" w:pos="1120"/>
          <w:tab w:val="num" w:pos="1840"/>
        </w:tabs>
        <w:spacing w:before="120" w:line="260" w:lineRule="atLeast"/>
        <w:ind w:left="1840"/>
        <w:jc w:val="both"/>
        <w:rPr>
          <w:rFonts w:ascii="arial" w:eastAsia="arial" w:hAnsi="arial" w:cs="arial"/>
          <w:sz w:val="18"/>
          <w:lang w:val="en-US" w:eastAsia="en-US" w:bidi="ar-SA"/>
        </w:rPr>
      </w:pPr>
      <w:r>
        <w:rPr>
          <w:rFonts w:ascii="arial" w:eastAsia="arial" w:hAnsi="arial" w:cs="arial"/>
          <w:color w:val="000000"/>
          <w:sz w:val="20"/>
          <w:lang w:val="en-US" w:eastAsia="en-US" w:bidi="ar-SA"/>
        </w:rPr>
        <w:t>Bequests:</w:t>
      </w:r>
    </w:p>
    <w:p>
      <w:pPr>
        <w:numPr>
          <w:numId w:val="27"/>
        </w:numPr>
        <w:tabs>
          <w:tab w:val="clear" w:pos="1120"/>
          <w:tab w:val="num" w:pos="1840"/>
        </w:tabs>
        <w:spacing w:before="120" w:line="260" w:lineRule="atLeast"/>
        <w:ind w:left="1840"/>
        <w:jc w:val="both"/>
        <w:rPr>
          <w:rFonts w:ascii="arial" w:eastAsia="arial" w:hAnsi="arial" w:cs="arial"/>
          <w:sz w:val="18"/>
          <w:lang w:val="en-US" w:eastAsia="en-US" w:bidi="ar-SA"/>
        </w:rPr>
      </w:pPr>
      <w:r>
        <w:rPr>
          <w:rFonts w:ascii="arial" w:eastAsia="arial" w:hAnsi="arial" w:cs="arial"/>
          <w:color w:val="000000"/>
          <w:sz w:val="20"/>
          <w:lang w:val="en-US" w:eastAsia="en-US" w:bidi="ar-SA"/>
        </w:rPr>
        <w:t>$2,000,000 to each of Home and Gibson;</w:t>
      </w:r>
    </w:p>
    <w:p>
      <w:pPr>
        <w:numPr>
          <w:numId w:val="28"/>
        </w:numPr>
        <w:tabs>
          <w:tab w:val="clear" w:pos="1120"/>
          <w:tab w:val="num" w:pos="1840"/>
        </w:tabs>
        <w:spacing w:before="120" w:line="260" w:lineRule="atLeast"/>
        <w:ind w:left="1840"/>
        <w:jc w:val="both"/>
        <w:rPr>
          <w:rFonts w:ascii="arial" w:eastAsia="arial" w:hAnsi="arial" w:cs="arial"/>
          <w:sz w:val="18"/>
          <w:lang w:val="en-US" w:eastAsia="en-US" w:bidi="ar-SA"/>
        </w:rPr>
      </w:pPr>
      <w:r>
        <w:rPr>
          <w:rFonts w:ascii="arial" w:eastAsia="arial" w:hAnsi="arial" w:cs="arial"/>
          <w:color w:val="000000"/>
          <w:sz w:val="20"/>
          <w:lang w:val="en-US" w:eastAsia="en-US" w:bidi="ar-SA"/>
        </w:rPr>
        <w:t>$1,000,000 to the Eagle Ridge Hospital Foundation;</w:t>
      </w:r>
    </w:p>
    <w:p>
      <w:pPr>
        <w:numPr>
          <w:numId w:val="29"/>
        </w:numPr>
        <w:tabs>
          <w:tab w:val="clear" w:pos="760"/>
          <w:tab w:val="num" w:pos="1840"/>
        </w:tabs>
        <w:spacing w:before="120" w:line="260" w:lineRule="atLeast"/>
        <w:ind w:left="1840"/>
        <w:jc w:val="both"/>
        <w:rPr>
          <w:rFonts w:ascii="arial" w:eastAsia="arial" w:hAnsi="arial" w:cs="arial"/>
          <w:sz w:val="18"/>
          <w:lang w:val="en-US" w:eastAsia="en-US" w:bidi="ar-SA"/>
        </w:rPr>
      </w:pPr>
      <w:r>
        <w:rPr>
          <w:rFonts w:ascii="arial" w:eastAsia="arial" w:hAnsi="arial" w:cs="arial"/>
          <w:color w:val="000000"/>
          <w:sz w:val="20"/>
          <w:lang w:val="en-US" w:eastAsia="en-US" w:bidi="ar-SA"/>
        </w:rPr>
        <w:t>$500,000 to Ms. Mide-Wilson;</w:t>
      </w:r>
    </w:p>
    <w:p>
      <w:pPr>
        <w:numPr>
          <w:numId w:val="38"/>
        </w:numPr>
        <w:tabs>
          <w:tab w:val="clear" w:pos="1480"/>
          <w:tab w:val="num" w:pos="1840"/>
        </w:tabs>
        <w:spacing w:before="120" w:line="260" w:lineRule="atLeast"/>
        <w:ind w:left="1840"/>
        <w:jc w:val="both"/>
        <w:rPr>
          <w:rFonts w:ascii="arial" w:eastAsia="arial" w:hAnsi="arial" w:cs="arial"/>
          <w:sz w:val="18"/>
          <w:lang w:val="en-US" w:eastAsia="en-US" w:bidi="ar-SA"/>
        </w:rPr>
      </w:pPr>
      <w:r>
        <w:rPr>
          <w:rFonts w:ascii="arial" w:eastAsia="arial" w:hAnsi="arial" w:cs="arial"/>
          <w:color w:val="000000"/>
          <w:sz w:val="20"/>
          <w:lang w:val="en-US" w:eastAsia="en-US" w:bidi="ar-SA"/>
        </w:rPr>
        <w:t>Port Moody residence to Carsten Mide (Judith Mide's husband and Ms. Mide-Wilson's father);</w:t>
      </w:r>
    </w:p>
    <w:p>
      <w:pPr>
        <w:numPr>
          <w:numId w:val="39"/>
        </w:numPr>
        <w:tabs>
          <w:tab w:val="clear" w:pos="1480"/>
          <w:tab w:val="num" w:pos="1840"/>
        </w:tabs>
        <w:spacing w:before="120" w:line="260" w:lineRule="atLeast"/>
        <w:ind w:left="1840"/>
        <w:jc w:val="both"/>
        <w:rPr>
          <w:rFonts w:ascii="arial" w:eastAsia="arial" w:hAnsi="arial" w:cs="arial"/>
          <w:sz w:val="18"/>
          <w:lang w:val="en-US" w:eastAsia="en-US" w:bidi="ar-SA"/>
        </w:rPr>
      </w:pPr>
      <w:r>
        <w:rPr>
          <w:rFonts w:ascii="arial" w:eastAsia="arial" w:hAnsi="arial" w:cs="arial"/>
          <w:color w:val="000000"/>
          <w:sz w:val="20"/>
          <w:lang w:val="en-US" w:eastAsia="en-US" w:bidi="ar-SA"/>
        </w:rPr>
        <w:t>Residue (allegedly valued at some $100,000,000) to the executors. The residue clause included the statement "it is my hope that they [the executors] might distribute some or all of the residue of my estate among various individuals and organisations".</w:t>
      </w:r>
      <w:bookmarkStart w:id="272" w:name="Backward_fnref_fnr-2"/>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272"/>
    </w:p>
    <w:p>
      <w:pPr>
        <w:numPr>
          <w:numId w:val="40"/>
        </w:numPr>
        <w:tabs>
          <w:tab w:val="num" w:pos="1120"/>
          <w:tab w:val="clear" w:pos="1480"/>
        </w:tabs>
        <w:spacing w:before="120" w:line="260" w:lineRule="atLeast"/>
        <w:ind w:left="1120"/>
        <w:jc w:val="both"/>
        <w:rPr>
          <w:rFonts w:ascii="arial" w:eastAsia="arial" w:hAnsi="arial" w:cs="arial"/>
          <w:sz w:val="18"/>
          <w:lang w:val="en-US" w:eastAsia="en-US" w:bidi="ar-SA"/>
        </w:rPr>
      </w:pPr>
      <w:r>
        <w:rPr>
          <w:rFonts w:ascii="arial" w:eastAsia="arial" w:hAnsi="arial" w:cs="arial"/>
          <w:color w:val="000000"/>
          <w:sz w:val="20"/>
          <w:lang w:val="en-US" w:eastAsia="en-US" w:bidi="ar-SA"/>
        </w:rPr>
        <w:t>The October 25, 2007 Will:</w:t>
      </w:r>
    </w:p>
    <w:p>
      <w:pPr>
        <w:numPr>
          <w:numId w:val="41"/>
        </w:numPr>
        <w:tabs>
          <w:tab w:val="clear" w:pos="1480"/>
          <w:tab w:val="num" w:pos="1840"/>
        </w:tabs>
        <w:spacing w:before="120" w:line="260" w:lineRule="atLeast"/>
        <w:ind w:left="1840"/>
        <w:jc w:val="both"/>
        <w:rPr>
          <w:rFonts w:ascii="arial" w:eastAsia="arial" w:hAnsi="arial" w:cs="arial"/>
          <w:sz w:val="18"/>
          <w:lang w:val="en-US" w:eastAsia="en-US" w:bidi="ar-SA"/>
        </w:rPr>
      </w:pPr>
      <w:r>
        <w:rPr>
          <w:rFonts w:ascii="arial" w:eastAsia="arial" w:hAnsi="arial" w:cs="arial"/>
          <w:color w:val="000000"/>
          <w:sz w:val="20"/>
          <w:lang w:val="en-US" w:eastAsia="en-US" w:bidi="ar-SA"/>
        </w:rPr>
        <w:t>Executors/Alternate Executors same as October 11, 2007 Will.</w:t>
      </w:r>
    </w:p>
    <w:p>
      <w:pPr>
        <w:numPr>
          <w:numId w:val="42"/>
        </w:numPr>
        <w:tabs>
          <w:tab w:val="clear" w:pos="1480"/>
          <w:tab w:val="num" w:pos="1840"/>
        </w:tabs>
        <w:spacing w:before="120" w:line="260" w:lineRule="atLeast"/>
        <w:ind w:left="1840"/>
        <w:jc w:val="both"/>
        <w:rPr>
          <w:rFonts w:ascii="arial" w:eastAsia="arial" w:hAnsi="arial" w:cs="arial"/>
          <w:sz w:val="18"/>
          <w:lang w:val="en-US" w:eastAsia="en-US" w:bidi="ar-SA"/>
        </w:rPr>
      </w:pPr>
      <w:r>
        <w:rPr>
          <w:rFonts w:ascii="arial" w:eastAsia="arial" w:hAnsi="arial" w:cs="arial"/>
          <w:color w:val="000000"/>
          <w:sz w:val="20"/>
          <w:lang w:val="en-US" w:eastAsia="en-US" w:bidi="ar-SA"/>
        </w:rPr>
        <w:t>Bequests:</w:t>
      </w:r>
    </w:p>
    <w:p>
      <w:pPr>
        <w:numPr>
          <w:numId w:val="43"/>
        </w:numPr>
        <w:tabs>
          <w:tab w:val="clear" w:pos="1480"/>
          <w:tab w:val="num" w:pos="2200"/>
        </w:tabs>
        <w:spacing w:before="120" w:line="260" w:lineRule="atLeast"/>
        <w:ind w:left="2200"/>
        <w:jc w:val="both"/>
        <w:rPr>
          <w:rFonts w:ascii="arial" w:eastAsia="arial" w:hAnsi="arial" w:cs="arial"/>
          <w:sz w:val="18"/>
          <w:lang w:val="en-US" w:eastAsia="en-US" w:bidi="ar-SA"/>
        </w:rPr>
      </w:pPr>
      <w:r>
        <w:rPr>
          <w:rFonts w:ascii="arial" w:eastAsia="arial" w:hAnsi="arial" w:cs="arial"/>
          <w:color w:val="000000"/>
          <w:sz w:val="20"/>
          <w:lang w:val="en-US" w:eastAsia="en-US" w:bidi="ar-SA"/>
        </w:rPr>
        <w:t>$2,000,000 to each of Home and Gibson;</w:t>
      </w:r>
    </w:p>
    <w:p>
      <w:pPr>
        <w:numPr>
          <w:numId w:val="44"/>
        </w:numPr>
        <w:tabs>
          <w:tab w:val="clear" w:pos="1480"/>
          <w:tab w:val="num" w:pos="2200"/>
        </w:tabs>
        <w:spacing w:before="120" w:line="260" w:lineRule="atLeast"/>
        <w:ind w:left="2200"/>
        <w:jc w:val="both"/>
        <w:rPr>
          <w:rFonts w:ascii="arial" w:eastAsia="arial" w:hAnsi="arial" w:cs="arial"/>
          <w:sz w:val="18"/>
          <w:lang w:val="en-US" w:eastAsia="en-US" w:bidi="ar-SA"/>
        </w:rPr>
      </w:pPr>
      <w:r>
        <w:rPr>
          <w:rFonts w:ascii="arial" w:eastAsia="arial" w:hAnsi="arial" w:cs="arial"/>
          <w:color w:val="000000"/>
          <w:sz w:val="20"/>
          <w:lang w:val="en-US" w:eastAsia="en-US" w:bidi="ar-SA"/>
        </w:rPr>
        <w:t>$1,000,000 to the Eagle Ridge Hospital Foundation;</w:t>
      </w:r>
    </w:p>
    <w:p>
      <w:pPr>
        <w:numPr>
          <w:numId w:val="45"/>
        </w:numPr>
        <w:tabs>
          <w:tab w:val="clear" w:pos="1480"/>
          <w:tab w:val="num" w:pos="2200"/>
        </w:tabs>
        <w:spacing w:before="120" w:line="260" w:lineRule="atLeast"/>
        <w:ind w:left="2200"/>
        <w:jc w:val="both"/>
        <w:rPr>
          <w:rFonts w:ascii="arial" w:eastAsia="arial" w:hAnsi="arial" w:cs="arial"/>
          <w:sz w:val="18"/>
          <w:lang w:val="en-US" w:eastAsia="en-US" w:bidi="ar-SA"/>
        </w:rPr>
      </w:pPr>
      <w:r>
        <w:rPr>
          <w:rFonts w:ascii="arial" w:eastAsia="arial" w:hAnsi="arial" w:cs="arial"/>
          <w:color w:val="000000"/>
          <w:sz w:val="20"/>
          <w:lang w:val="en-US" w:eastAsia="en-US" w:bidi="ar-SA"/>
        </w:rPr>
        <w:t>$200,000 to Ms. Mide-Wilson;</w:t>
      </w:r>
    </w:p>
    <w:p>
      <w:pPr>
        <w:numPr>
          <w:numId w:val="46"/>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$250,000 to Carsten Mide</w:t>
      </w:r>
    </w:p>
    <w:p>
      <w:pPr>
        <w:numPr>
          <w:numId w:val="47"/>
        </w:numPr>
        <w:tabs>
          <w:tab w:val="clear" w:pos="1480"/>
          <w:tab w:val="num" w:pos="1840"/>
        </w:tabs>
        <w:spacing w:before="120" w:line="260" w:lineRule="atLeast"/>
        <w:ind w:left="1840"/>
        <w:jc w:val="both"/>
        <w:rPr>
          <w:rFonts w:ascii="arial" w:eastAsia="arial" w:hAnsi="arial" w:cs="arial"/>
          <w:sz w:val="18"/>
          <w:lang w:val="en-US" w:eastAsia="en-US" w:bidi="ar-SA"/>
        </w:rPr>
      </w:pPr>
      <w:r>
        <w:rPr>
          <w:rFonts w:ascii="arial" w:eastAsia="arial" w:hAnsi="arial" w:cs="arial"/>
          <w:color w:val="000000"/>
          <w:sz w:val="20"/>
          <w:lang w:val="en-US" w:eastAsia="en-US" w:bidi="ar-SA"/>
        </w:rPr>
        <w:t>Port Moody residence to Ms. Mide-Wilson rather than Carsten;</w:t>
      </w:r>
    </w:p>
    <w:p>
      <w:pPr>
        <w:numPr>
          <w:numId w:val="48"/>
        </w:numPr>
        <w:tabs>
          <w:tab w:val="clear" w:pos="1480"/>
          <w:tab w:val="num" w:pos="1840"/>
        </w:tabs>
        <w:spacing w:before="120" w:line="260" w:lineRule="atLeast"/>
        <w:ind w:left="1840"/>
        <w:jc w:val="both"/>
        <w:rPr>
          <w:rFonts w:ascii="arial" w:eastAsia="arial" w:hAnsi="arial" w:cs="arial"/>
          <w:sz w:val="18"/>
          <w:lang w:val="en-US" w:eastAsia="en-US" w:bidi="ar-SA"/>
        </w:rPr>
      </w:pPr>
      <w:r>
        <w:rPr>
          <w:rFonts w:ascii="arial" w:eastAsia="arial" w:hAnsi="arial" w:cs="arial"/>
          <w:color w:val="000000"/>
          <w:sz w:val="20"/>
          <w:lang w:val="en-US" w:eastAsia="en-US" w:bidi="ar-SA"/>
        </w:rPr>
        <w:t>Jack Cewe's boat (the "Shapray") to Carsten Mide; and</w:t>
      </w:r>
    </w:p>
    <w:p>
      <w:pPr>
        <w:numPr>
          <w:numId w:val="49"/>
        </w:numPr>
        <w:tabs>
          <w:tab w:val="clear" w:pos="1480"/>
          <w:tab w:val="num" w:pos="1840"/>
        </w:tabs>
        <w:spacing w:before="120" w:line="260" w:lineRule="atLeast"/>
        <w:ind w:left="1840"/>
        <w:jc w:val="both"/>
        <w:rPr>
          <w:rFonts w:ascii="arial" w:eastAsia="arial" w:hAnsi="arial" w:cs="arial"/>
          <w:sz w:val="18"/>
          <w:lang w:val="en-US" w:eastAsia="en-US" w:bidi="ar-SA"/>
        </w:rPr>
      </w:pPr>
      <w:r>
        <w:rPr>
          <w:rFonts w:ascii="arial" w:eastAsia="arial" w:hAnsi="arial" w:cs="arial"/>
          <w:color w:val="000000"/>
          <w:sz w:val="20"/>
          <w:lang w:val="en-US" w:eastAsia="en-US" w:bidi="ar-SA"/>
        </w:rPr>
        <w:t>Residue of the estate was bequeathed to the Executors with the same "widows and orphans" request as enumerated above.</w:t>
      </w:r>
    </w:p>
    <w:p>
      <w:pPr>
        <w:numPr>
          <w:numId w:val="50"/>
        </w:numPr>
        <w:tabs>
          <w:tab w:val="clear" w:pos="1480"/>
          <w:tab w:val="num" w:pos="1840"/>
        </w:tabs>
        <w:spacing w:before="120" w:line="260" w:lineRule="atLeast"/>
        <w:ind w:left="1840"/>
        <w:jc w:val="both"/>
        <w:rPr>
          <w:rFonts w:ascii="arial" w:eastAsia="arial" w:hAnsi="arial" w:cs="arial"/>
          <w:sz w:val="18"/>
          <w:lang w:val="en-US" w:eastAsia="en-US" w:bidi="ar-SA"/>
        </w:rPr>
      </w:pPr>
      <w:r>
        <w:rPr>
          <w:rFonts w:ascii="arial" w:eastAsia="arial" w:hAnsi="arial" w:cs="arial"/>
          <w:color w:val="000000"/>
          <w:sz w:val="20"/>
          <w:lang w:val="en-US" w:eastAsia="en-US" w:bidi="ar-SA"/>
        </w:rPr>
        <w:t>The April 2008 Will:</w:t>
      </w:r>
    </w:p>
    <w:p>
      <w:pPr>
        <w:numPr>
          <w:numId w:val="51"/>
        </w:numPr>
        <w:tabs>
          <w:tab w:val="num" w:pos="1120"/>
          <w:tab w:val="clear" w:pos="1480"/>
        </w:tabs>
        <w:spacing w:before="120" w:line="260" w:lineRule="atLeast"/>
        <w:ind w:left="1120"/>
        <w:jc w:val="both"/>
        <w:rPr>
          <w:rFonts w:ascii="arial" w:eastAsia="arial" w:hAnsi="arial" w:cs="arial"/>
          <w:sz w:val="18"/>
          <w:lang w:val="en-US" w:eastAsia="en-US" w:bidi="ar-SA"/>
        </w:rPr>
      </w:pPr>
      <w:r>
        <w:rPr>
          <w:rFonts w:ascii="arial" w:eastAsia="arial" w:hAnsi="arial" w:cs="arial"/>
          <w:color w:val="000000"/>
          <w:sz w:val="20"/>
          <w:lang w:val="en-US" w:eastAsia="en-US" w:bidi="ar-SA"/>
        </w:rPr>
        <w:t>Executors/Alternate Executors same as October 11, 2007 Will.</w:t>
      </w:r>
    </w:p>
    <w:p>
      <w:pPr>
        <w:numPr>
          <w:numId w:val="52"/>
        </w:numPr>
        <w:tabs>
          <w:tab w:val="clear" w:pos="1480"/>
          <w:tab w:val="num" w:pos="2200"/>
        </w:tabs>
        <w:spacing w:before="120" w:line="260" w:lineRule="atLeast"/>
        <w:ind w:left="2200"/>
        <w:jc w:val="both"/>
        <w:rPr>
          <w:rFonts w:ascii="arial" w:eastAsia="arial" w:hAnsi="arial" w:cs="arial"/>
          <w:sz w:val="18"/>
          <w:lang w:val="en-US" w:eastAsia="en-US" w:bidi="ar-SA"/>
        </w:rPr>
      </w:pPr>
      <w:r>
        <w:rPr>
          <w:rFonts w:ascii="arial" w:eastAsia="arial" w:hAnsi="arial" w:cs="arial"/>
          <w:color w:val="000000"/>
          <w:sz w:val="20"/>
          <w:lang w:val="en-US" w:eastAsia="en-US" w:bidi="ar-SA"/>
        </w:rPr>
        <w:t>Bequests:</w:t>
      </w:r>
    </w:p>
    <w:p>
      <w:pPr>
        <w:numPr>
          <w:numId w:val="53"/>
        </w:numPr>
        <w:tabs>
          <w:tab w:val="clear" w:pos="1480"/>
          <w:tab w:val="num" w:pos="2200"/>
        </w:tabs>
        <w:spacing w:before="120" w:line="260" w:lineRule="atLeast"/>
        <w:ind w:left="2200"/>
        <w:jc w:val="both"/>
        <w:rPr>
          <w:rFonts w:ascii="arial" w:eastAsia="arial" w:hAnsi="arial" w:cs="arial"/>
          <w:sz w:val="18"/>
          <w:lang w:val="en-US" w:eastAsia="en-US" w:bidi="ar-SA"/>
        </w:rPr>
      </w:pPr>
      <w:r>
        <w:rPr>
          <w:rFonts w:ascii="arial" w:eastAsia="arial" w:hAnsi="arial" w:cs="arial"/>
          <w:color w:val="000000"/>
          <w:sz w:val="20"/>
          <w:lang w:val="en-US" w:eastAsia="en-US" w:bidi="ar-SA"/>
        </w:rPr>
        <w:t>Port Moody residence and $500,000 to Ms. Mide-Wilson;</w:t>
      </w:r>
    </w:p>
    <w:p>
      <w:pPr>
        <w:numPr>
          <w:numId w:val="54"/>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Shapray to Carsten Mide; and</w:t>
      </w:r>
    </w:p>
    <w:p>
      <w:pPr>
        <w:numPr>
          <w:numId w:val="72"/>
        </w:numPr>
        <w:tabs>
          <w:tab w:val="num" w:pos="1480"/>
          <w:tab w:val="clear" w:pos="2560"/>
        </w:tabs>
        <w:spacing w:before="120" w:line="260" w:lineRule="atLeast"/>
        <w:ind w:left="1480"/>
        <w:jc w:val="both"/>
        <w:rPr>
          <w:rFonts w:ascii="arial" w:eastAsia="arial" w:hAnsi="arial" w:cs="arial"/>
          <w:sz w:val="18"/>
          <w:lang w:val="en-US" w:eastAsia="en-US" w:bidi="ar-SA"/>
        </w:rPr>
      </w:pPr>
      <w:r>
        <w:rPr>
          <w:rFonts w:ascii="arial" w:eastAsia="arial" w:hAnsi="arial" w:cs="arial"/>
          <w:color w:val="000000"/>
          <w:sz w:val="20"/>
          <w:lang w:val="en-US" w:eastAsia="en-US" w:bidi="ar-SA"/>
        </w:rPr>
        <w:t>Residue of the estate was bequeathed to the Executors with the same "widows and orphans" request as enumerated above.</w:t>
      </w:r>
    </w:p>
    <w:p>
      <w:pPr>
        <w:numPr>
          <w:numId w:val="73"/>
        </w:numPr>
        <w:tabs>
          <w:tab w:val="num" w:pos="1480"/>
          <w:tab w:val="clear" w:pos="2560"/>
        </w:tabs>
        <w:spacing w:before="120" w:line="260" w:lineRule="atLeast"/>
        <w:ind w:left="1480"/>
        <w:jc w:val="both"/>
        <w:rPr>
          <w:rFonts w:ascii="arial" w:eastAsia="arial" w:hAnsi="arial" w:cs="arial"/>
          <w:sz w:val="18"/>
          <w:lang w:val="en-US" w:eastAsia="en-US" w:bidi="ar-SA"/>
        </w:rPr>
      </w:pPr>
      <w:r>
        <w:rPr>
          <w:rFonts w:ascii="arial" w:eastAsia="arial" w:hAnsi="arial" w:cs="arial"/>
          <w:color w:val="000000"/>
          <w:sz w:val="20"/>
          <w:lang w:val="en-US" w:eastAsia="en-US" w:bidi="ar-SA"/>
        </w:rPr>
        <w:t>The April 2008 Alter Ego Trust:</w:t>
      </w:r>
    </w:p>
    <w:p>
      <w:pPr>
        <w:spacing w:before="120" w:line="260" w:lineRule="atLeast"/>
        <w:ind w:left="1080"/>
        <w:rPr>
          <w:rFonts w:ascii="arial" w:eastAsia="arial" w:hAnsi="arial" w:cs="arial"/>
          <w:sz w:val="18"/>
          <w:lang w:val="en-US" w:eastAsia="en-US" w:bidi="ar-SA"/>
        </w:rPr>
      </w:pPr>
      <w:r>
        <w:rPr>
          <w:rFonts w:ascii="arial" w:eastAsia="arial" w:hAnsi="arial" w:cs="arial"/>
          <w:color w:val="000000"/>
          <w:sz w:val="20"/>
          <w:lang w:val="en-US" w:eastAsia="en-US" w:bidi="ar-SA"/>
        </w:rPr>
        <w:t>Jack Cewe's main assets (including his shareholdings in JCL) were transferred to the April 2008 Alter Ego Trust which provided that:</w:t>
      </w:r>
    </w:p>
    <w:p>
      <w:pPr>
        <w:numPr>
          <w:numId w:val="74"/>
        </w:numPr>
        <w:tabs>
          <w:tab w:val="num" w:pos="1480"/>
          <w:tab w:val="clear" w:pos="2560"/>
        </w:tabs>
        <w:spacing w:before="120" w:line="260" w:lineRule="atLeast"/>
        <w:ind w:left="1480"/>
        <w:jc w:val="both"/>
        <w:rPr>
          <w:rFonts w:ascii="arial" w:eastAsia="arial" w:hAnsi="arial" w:cs="arial"/>
          <w:sz w:val="18"/>
          <w:lang w:val="en-US" w:eastAsia="en-US" w:bidi="ar-SA"/>
        </w:rPr>
      </w:pPr>
      <w:r>
        <w:rPr>
          <w:rFonts w:ascii="arial" w:eastAsia="arial" w:hAnsi="arial" w:cs="arial"/>
          <w:color w:val="000000"/>
          <w:sz w:val="20"/>
          <w:lang w:val="en-US" w:eastAsia="en-US" w:bidi="ar-SA"/>
        </w:rPr>
        <w:t>It was irrevocable;</w:t>
      </w:r>
    </w:p>
    <w:p>
      <w:pPr>
        <w:numPr>
          <w:numId w:val="75"/>
        </w:numPr>
        <w:tabs>
          <w:tab w:val="num" w:pos="1480"/>
          <w:tab w:val="clear" w:pos="2560"/>
        </w:tabs>
        <w:spacing w:before="120" w:line="260" w:lineRule="atLeast"/>
        <w:ind w:left="1480"/>
        <w:jc w:val="both"/>
        <w:rPr>
          <w:rFonts w:ascii="arial" w:eastAsia="arial" w:hAnsi="arial" w:cs="arial"/>
          <w:sz w:val="18"/>
          <w:lang w:val="en-US" w:eastAsia="en-US" w:bidi="ar-SA"/>
        </w:rPr>
      </w:pPr>
      <w:r>
        <w:rPr>
          <w:rFonts w:ascii="arial" w:eastAsia="arial" w:hAnsi="arial" w:cs="arial"/>
          <w:color w:val="000000"/>
          <w:sz w:val="20"/>
          <w:lang w:val="en-US" w:eastAsia="en-US" w:bidi="ar-SA"/>
        </w:rPr>
        <w:t>On Jack Cewe's death, Home was to be appointed as "Trustee Appointer" under the trust with the power to appoint all trustees; provided however that if Home did not appoint trustees within 15 days of Jack Cewe's death, the trustees were to be Home and Gibson;</w:t>
      </w:r>
    </w:p>
    <w:p>
      <w:pPr>
        <w:numPr>
          <w:numId w:val="76"/>
        </w:numPr>
        <w:tabs>
          <w:tab w:val="num" w:pos="1480"/>
          <w:tab w:val="clear" w:pos="2200"/>
        </w:tabs>
        <w:spacing w:before="120" w:line="260" w:lineRule="atLeast"/>
        <w:ind w:left="1480"/>
        <w:jc w:val="both"/>
        <w:rPr>
          <w:rFonts w:ascii="arial" w:eastAsia="arial" w:hAnsi="arial" w:cs="arial"/>
          <w:sz w:val="18"/>
          <w:lang w:val="en-US" w:eastAsia="en-US" w:bidi="ar-SA"/>
        </w:rPr>
      </w:pPr>
      <w:r>
        <w:rPr>
          <w:rFonts w:ascii="arial" w:eastAsia="arial" w:hAnsi="arial" w:cs="arial"/>
          <w:color w:val="000000"/>
          <w:sz w:val="20"/>
          <w:lang w:val="en-US" w:eastAsia="en-US" w:bidi="ar-SA"/>
        </w:rPr>
        <w:t>On Jack Cewe's death each of Home and Gibson was to receive a gift of $2,000,000 from the Trust; and</w:t>
      </w:r>
    </w:p>
    <w:p>
      <w:pPr>
        <w:numPr>
          <w:numId w:val="77"/>
        </w:numPr>
        <w:tabs>
          <w:tab w:val="num" w:pos="1480"/>
          <w:tab w:val="clear" w:pos="2560"/>
        </w:tabs>
        <w:spacing w:before="120" w:line="260" w:lineRule="atLeast"/>
        <w:ind w:left="1480"/>
        <w:jc w:val="both"/>
        <w:rPr>
          <w:rFonts w:ascii="arial" w:eastAsia="arial" w:hAnsi="arial" w:cs="arial"/>
          <w:sz w:val="18"/>
          <w:lang w:val="en-US" w:eastAsia="en-US" w:bidi="ar-SA"/>
        </w:rPr>
      </w:pPr>
      <w:r>
        <w:rPr>
          <w:rFonts w:ascii="arial" w:eastAsia="arial" w:hAnsi="arial" w:cs="arial"/>
          <w:color w:val="000000"/>
          <w:sz w:val="20"/>
          <w:lang w:val="en-US" w:eastAsia="en-US" w:bidi="ar-SA"/>
        </w:rPr>
        <w:t>On Jack Cewe's death, the trustees were to pay the remainder of all trust property to the persons or charity or charities decided by the trustees, and if the trustees so decided, to themselves in whatever proportions they should decide.</w:t>
      </w:r>
    </w:p>
    <w:p>
      <w:pPr>
        <w:numPr>
          <w:numId w:val="78"/>
        </w:numPr>
        <w:tabs>
          <w:tab w:val="num" w:pos="1120"/>
          <w:tab w:val="clear" w:pos="2560"/>
        </w:tabs>
        <w:spacing w:before="120" w:line="260" w:lineRule="atLeast"/>
        <w:ind w:left="1120"/>
        <w:jc w:val="both"/>
        <w:rPr>
          <w:rFonts w:ascii="arial" w:eastAsia="arial" w:hAnsi="arial" w:cs="arial"/>
          <w:sz w:val="18"/>
          <w:lang w:val="en-US" w:eastAsia="en-US" w:bidi="ar-SA"/>
        </w:rPr>
      </w:pPr>
      <w:r>
        <w:rPr>
          <w:rFonts w:ascii="arial" w:eastAsia="arial" w:hAnsi="arial" w:cs="arial"/>
          <w:color w:val="000000"/>
          <w:sz w:val="20"/>
          <w:lang w:val="en-US" w:eastAsia="en-US" w:bidi="ar-SA"/>
        </w:rPr>
        <w:t>The Jack Cewe Alter Ego Trust:</w:t>
      </w:r>
    </w:p>
    <w:p>
      <w:pPr>
        <w:numPr>
          <w:numId w:val="79"/>
        </w:numPr>
        <w:tabs>
          <w:tab w:val="num" w:pos="1480"/>
          <w:tab w:val="clear" w:pos="1840"/>
        </w:tabs>
        <w:spacing w:before="120" w:line="260" w:lineRule="atLeast"/>
        <w:ind w:left="1480"/>
        <w:jc w:val="both"/>
        <w:rPr>
          <w:rFonts w:ascii="arial" w:eastAsia="arial" w:hAnsi="arial" w:cs="arial"/>
          <w:sz w:val="18"/>
          <w:lang w:val="en-US" w:eastAsia="en-US" w:bidi="ar-SA"/>
        </w:rPr>
      </w:pPr>
      <w:r>
        <w:rPr>
          <w:rFonts w:ascii="arial" w:eastAsia="arial" w:hAnsi="arial" w:cs="arial"/>
          <w:color w:val="000000"/>
          <w:sz w:val="20"/>
          <w:lang w:val="en-US" w:eastAsia="en-US" w:bidi="ar-SA"/>
        </w:rPr>
        <w:t>Despite the irrevocability of the April 2008 Alter Ego Trust, the Jack Cewe Alter Ego Trust was executed in May 2008. It revoked and unwound the April 2008 Alter Ego Trust; and</w:t>
      </w:r>
    </w:p>
    <w:p>
      <w:pPr>
        <w:numPr>
          <w:numId w:val="80"/>
        </w:numPr>
        <w:tabs>
          <w:tab w:val="num" w:pos="1480"/>
          <w:tab w:val="clear" w:pos="2200"/>
        </w:tabs>
        <w:spacing w:before="120" w:line="260" w:lineRule="atLeast"/>
        <w:ind w:left="1480"/>
        <w:jc w:val="both"/>
        <w:rPr>
          <w:rFonts w:ascii="arial" w:eastAsia="arial" w:hAnsi="arial" w:cs="arial"/>
          <w:sz w:val="18"/>
          <w:lang w:val="en-US" w:eastAsia="en-US" w:bidi="ar-SA"/>
        </w:rPr>
      </w:pPr>
      <w:r>
        <w:rPr>
          <w:rFonts w:ascii="arial" w:eastAsia="arial" w:hAnsi="arial" w:cs="arial"/>
          <w:color w:val="000000"/>
          <w:sz w:val="20"/>
          <w:lang w:val="en-US" w:eastAsia="en-US" w:bidi="ar-SA"/>
        </w:rPr>
        <w:t>Specifically provided that Home and Gibson might keep all of the assets of the Jack Cewe Alter Ego Trust personally, in addition to the $2,000,000 gifts they were specifically to receive from that trust.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Jack Cewe died on June 7, 2008. Before he died, Ms. Mide-Wilson was unaware that her grandfather had executed any of the New Instruments. She believed she would inherit her grandfather's estate and, more importantly, take over her grandfather's businesses on his death. Ms. Mide-Wilson was extremely surprised to find out about the New Instruments and their terms. In fact, in this hearing I was told that only minutes after Jack Cewe died, Gibson informed Ms. Mide-Wilson outside Jack Cewe's hospital room that Home and Gibson were the executors of Jack Cewe's estate and that Ms. Mide-Wilson would only get his Port Moody house and nothing else. This information caused Ms. Mide-Wilson great distress.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If the New Instruments had not been signed and Jack Cewe had executed no other testamentary documents, Ms. Mide-Wilson would have become the sole beneficiary of her grandfather's estate under the 1994 Will as the contingent residual beneficiary thereunder, as all other potential beneficiaries (Mabel Cewe, Judith Mide and Christopher Mide) had predeceased Jack Cewe.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Mide-Wilson worked in various capacities in her grandfather's businesses from an early age. In 1994 she graduated with a business degree from Simon Fraser University. Upon graduation, she began working full-time at JCL. She continued to work at JCL, taking on an increasingly larger and more significant role in the company, until March 2005 (shortly after the birth of her third child).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Christopher Mide, Ms. Mide-Wilson's brother, also worked at JCL from a young age until his death.</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Mide-Wilson had always understood from comments Jack Cewe made during his lifetime that her grandfather intended the company to remain within the family and to continue to operate.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Mide-Wilson's departure from the company was precipitated by an incident in March 2005 wherein she and her grandfather engaged in a very public and heated argument about some aspects of the business. In her testimony at this hearing, Ms. Mide-Wilson admitted to having sworn at her grandfather during this argument and that, following the argument, she left the office and never returned to work at JCL.</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Mide-Wilson also told me during her testimony that she reconciled with her grandfather privately after this fight and he had visited with her, her husband and their three children many times between March 2005 and his death.</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Mide-Wilson is married to Ryan Wilson, a reasonably sophisticated businessman with some experience as a negotiator. Mr. Wilson has a B.A. in Economics, an M.B.A. and is currently a senior vice-president with the Canadian arm of ThyssenKrupp, a large multi-national corporation. Ryan Wilson and his father (James Wilson, a physician) are directors of a medical services corporation (Ultima Medical) which provides medical services to large corporations.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Carsten Mide is also a businessman. He has been involved in the construction industry and in property development, including developing intermediate care facilities for the elderly, particularly in Alberta, through Summit Care Corporation. Carsten Mide was involved in large-scale litigation (with Owen Bird as his counsel) in relation to his investment in Summit Care Corporation.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When Ms. Mide-Wilson became aware of the New Instruments, she suspected Home and Gibson had somehow unduly influenced Jack Cewe to sign them. She asked Home to provide her with a copy of Jack Cewe's last will and testament but one was not forthcoming. Ms. Mide-Wilson then sought legal advice regarding her options. She made an appointment to see Ms. Dardi, now Madam Justice Dardi, at Legacy Tax + Trust Lawyers. Before they met, Ms. Dardi was appointed as a justice of this court. Consequently, Ms. Mide-Wilson met with Ms. Genevieve Taylor of the same firm, a lawyer with (then) some eight or nine years at the Bar.</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Following that meeting, Ms. Taylor provided Ms. Mide-Wilson with a detailed letter regarding her options and a proposed course of action with respect to her grandfather's estate including:</w:t>
      </w:r>
      <w:r>
        <w:rPr>
          <w:rFonts w:ascii="arial" w:eastAsia="arial" w:hAnsi="arial" w:cs="arial"/>
          <w:sz w:val="18"/>
          <w:lang w:val="en-US" w:eastAsia="en-US" w:bidi="ar-SA"/>
        </w:rPr>
        <w:cr/>
      </w:r>
    </w:p>
    <w:p>
      <w:pPr>
        <w:numPr>
          <w:numId w:val="81"/>
        </w:numPr>
        <w:tabs>
          <w:tab w:val="num" w:pos="1120"/>
          <w:tab w:val="clear" w:pos="2200"/>
        </w:tabs>
        <w:spacing w:before="120" w:line="260" w:lineRule="atLeast"/>
        <w:ind w:left="1120"/>
        <w:jc w:val="both"/>
        <w:rPr>
          <w:rFonts w:ascii="arial" w:eastAsia="arial" w:hAnsi="arial" w:cs="arial"/>
          <w:sz w:val="18"/>
          <w:lang w:val="en-US" w:eastAsia="en-US" w:bidi="ar-SA"/>
        </w:rPr>
      </w:pPr>
      <w:r>
        <w:rPr>
          <w:rFonts w:ascii="arial" w:eastAsia="arial" w:hAnsi="arial" w:cs="arial"/>
          <w:color w:val="000000"/>
          <w:sz w:val="20"/>
          <w:lang w:val="en-US" w:eastAsia="en-US" w:bidi="ar-SA"/>
        </w:rPr>
        <w:t>filing a caveat querying the validity of the April 2008 Will (which I understand was the Will sought to be admitted to probate);</w:t>
      </w:r>
    </w:p>
    <w:p>
      <w:pPr>
        <w:numPr>
          <w:numId w:val="82"/>
        </w:numPr>
        <w:tabs>
          <w:tab w:val="num" w:pos="1840"/>
          <w:tab w:val="clear" w:pos="2200"/>
        </w:tabs>
        <w:spacing w:before="120" w:line="260" w:lineRule="atLeast"/>
        <w:ind w:left="1840"/>
        <w:jc w:val="both"/>
        <w:rPr>
          <w:rFonts w:ascii="arial" w:eastAsia="arial" w:hAnsi="arial" w:cs="arial"/>
          <w:sz w:val="18"/>
          <w:lang w:val="en-US" w:eastAsia="en-US" w:bidi="ar-SA"/>
        </w:rPr>
      </w:pPr>
      <w:r>
        <w:rPr>
          <w:rFonts w:ascii="arial" w:eastAsia="arial" w:hAnsi="arial" w:cs="arial"/>
          <w:color w:val="000000"/>
          <w:sz w:val="20"/>
          <w:lang w:val="en-US" w:eastAsia="en-US" w:bidi="ar-SA"/>
        </w:rPr>
        <w:t>seeking information from Mary Hamilton concerning Jack Cewe's estate plan; and</w:t>
      </w:r>
    </w:p>
    <w:p>
      <w:pPr>
        <w:numPr>
          <w:numId w:val="83"/>
        </w:numPr>
        <w:tabs>
          <w:tab w:val="num" w:pos="1840"/>
          <w:tab w:val="clear" w:pos="2560"/>
        </w:tabs>
        <w:spacing w:before="120" w:line="260" w:lineRule="atLeast"/>
        <w:ind w:left="1840"/>
        <w:jc w:val="both"/>
        <w:rPr>
          <w:rFonts w:ascii="arial" w:eastAsia="arial" w:hAnsi="arial" w:cs="arial"/>
          <w:sz w:val="18"/>
          <w:lang w:val="en-US" w:eastAsia="en-US" w:bidi="ar-SA"/>
        </w:rPr>
      </w:pPr>
      <w:r>
        <w:rPr>
          <w:rFonts w:ascii="arial" w:eastAsia="arial" w:hAnsi="arial" w:cs="arial"/>
          <w:color w:val="000000"/>
          <w:sz w:val="20"/>
          <w:lang w:val="en-US" w:eastAsia="en-US" w:bidi="ar-SA"/>
        </w:rPr>
        <w:t>failing (a) and (b), commencing a lawsuit with respect to the April 2008 Will or the Jack Cewe Alter Ego Trust or both.</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Interestingly, Ms. Taylor notes in her letter to Ms. Mide-Wilson:</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You can expect that if a matter were to proceed to trial on the issue of the validity of the [April 2008] Will that your legal costs would be no less than $50,000. There is no guarantee that these costs would be payable out of the estate and if you are unsuccessful there is a risk that you would pay some or all of the costs of the other parties. A trial with respect to the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[Jack Cewe Alter Ego] trust would add additional costs and if they are dealt with separately, may duplicate the costs in this regard.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Mide-Wilson decided not to retain Ms. Taylor. On the advice of Linda Brown, a friend of hers and a partner at McCarthy Tétrault, she retained Mr. Herman Van Ommen, also a partner at McCarthy Tétrault, on July 16, 2008. I understand Ms. Mide-Wilson agreed to pay Mr. Van Ommen's fees on an hourly rate basis at his (then) hourly rate of $500 per hour.</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Van Ommen prepared a draft statement of defence to the writ of summons and statement of claim filed by Rhys Davies, Q.C. of Davis LLP, on behalf of Home and Gibson (as plaintiffs) to pronounce for the form and validity of the April 2008 Will in solemn form (</w:t>
      </w:r>
      <w:r>
        <w:rPr>
          <w:rFonts w:ascii="arial" w:eastAsia="arial" w:hAnsi="arial" w:cs="arial"/>
          <w:i/>
          <w:color w:val="000000"/>
          <w:sz w:val="20"/>
          <w:lang w:val="en-US" w:eastAsia="en-US" w:bidi="ar-SA"/>
        </w:rPr>
        <w:t>Home v. Mide-Wilson</w:t>
      </w:r>
      <w:r>
        <w:rPr>
          <w:rFonts w:ascii="arial" w:eastAsia="arial" w:hAnsi="arial" w:cs="arial"/>
          <w:color w:val="000000"/>
          <w:sz w:val="20"/>
          <w:lang w:val="en-US" w:eastAsia="en-US" w:bidi="ar-SA"/>
        </w:rPr>
        <w:t xml:space="preserve">, </w:t>
      </w:r>
      <w:hyperlink r:id="rId721" w:history="1">
        <w:r>
          <w:rPr>
            <w:rFonts w:ascii="arial" w:eastAsia="arial" w:hAnsi="arial" w:cs="arial"/>
            <w:i/>
            <w:color w:val="0077CC"/>
            <w:sz w:val="20"/>
            <w:u w:val="single"/>
            <w:shd w:val="clear" w:color="auto" w:fill="FFFFFF"/>
            <w:lang w:val="en-US" w:eastAsia="en-US" w:bidi="ar-SA"/>
          </w:rPr>
          <w:t>[2009] B.C.J. No. 1445</w:t>
        </w:r>
      </w:hyperlink>
      <w:r>
        <w:rPr>
          <w:rFonts w:ascii="arial" w:eastAsia="arial" w:hAnsi="arial" w:cs="arial"/>
          <w:color w:val="000000"/>
          <w:sz w:val="20"/>
          <w:lang w:val="en-US" w:eastAsia="en-US" w:bidi="ar-SA"/>
        </w:rPr>
        <w:t>, BCSC Docket No. S086553, Vancouver Registry (the "Action")). It is important to this proceeding to know that Carsten Mide was named as a defendant in the Action.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By late September 2008, Ms. Mide-Wilson began to feel that Mr. Van Ommen was not moving the litigation along quickly enough. Mr. Dave Rennie, a chartered accountant and long time advisor to Carsten Mide, suggested the names of a few lawyers to Ms. Mide-Wilson as potential counsel to act on her behalf in defending the Action, including Messrs. Crickmore and Tomyn (of HTLN) and Mr. Gary Wilson, a lawyer at Borden Ladner Gervais. Ms. Mide-Wilson did not know Mr. Rennie well, but she knew of him because of his ongoing business relationship with her father. Mr. Rennie also knew Home as they were both Chartered Accountants and were relatively close in age. Ms. Mide-Wilson was advised by her father that Mr. Rennie had some skills in negotiating. She hoped Mr. Rennie might be able to assist in pressuring Home to settle the Action and/or to negotiate a settlement directly with Home.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Ryan Wilson spoke with Randy Hordo, Q.C. about taking over from Mr. Van Ommen. Mr. Hordo agreed to take the case on if Ms. Mide-Wilson was interested in retaining him. Mr. Hordo estimated that legal fees in the Action could reach as high as $2,000,000 if the case went through to the Supreme Court of Canada.</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Rennie met with Messrs. Crickmore and Tomyn on September 30, 2008 to provide background information in advance of a meeting with Ms. Mide-Wilson set for October 1, 2008. Mr. Rennie was Mr. Tomyn's personal accountant and had worked with both Mr. Tomyn and Mr. Crickmore in the past. He was of the opinion that Mr. Crickmore was a talented litigator and might be good counsel for the Client in the Action.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Mide-Wilson, Mr. Rennie and Carsten Mide all attended a meeting with Messrs. Tomyn and Crickmore on October 1, 2008 to discuss the possibility of HTLN taking over the defence of the Action for Ms. Mide-Wilson. Following that meeting, the Client forwarded some documents to Mr. Crickmore for review.</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Ryan Wilson had a good feeling about Mr. Hordo and thought Ms. Mide-Wilson ought to retain him. Ms. Mide-Wilson wanted Ryan to meet with HTLN to see what he thought of them as an option. On October 9, 2008 Ms. Mide-Wilson, Ryan Wilson and Mr. Rennie met with Tomyn and Crickmore. At that meeting Mr. Wilson told the Solicitors two things he thought were important to the Action.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Firstly, he related a discussion he had with Jack Cewe on May 8, 2008 during which Jack Cewe told him, "the die is cast; the die is cast" and also that, "Kirsten has nothing to worry about. She is going to be a very wealthy lady and the kids will be looked after forever." Jack Cewe also allegedly told Mr. Wilson during that meeting that, "George will handle things. I trust him."</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Secondly, Mr. Wilson described a meeting he had with Home during that summer (of 2008) at the Vancouver Golf Club. Mr. Tomyn's notes of the October 9 meeting indicate that Mr. Wilson reiterated that during that meeting Home told Mr. Wilson that he expected JCL "would go under because of tax payable on death". Mr. Tomyn's notes also record a comment Mr. Wilson related Home made to him about JCL's debt as "$6 million in debt in company now. Company never had debt before now."</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At the end of that October 9 meeting, Mr. Wilson was impressed with Crickmore but no decision was made, as yet, to retain HTLN.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October 15, 2008, Mr. Van Ommen filed an appearance to the Action on Ms. Mide-Wilson's behalf.</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Rennie met with Home on October 17, 2008 at the Vancouver Golf Club. It was hoped that Mr. Rennie might be able to "talk some sense" into Home during that meeting and suggest to him that he (and Gibson) should renounce their interests in the Jack Cewe Estate and the Jack Cewe Alter Ego Trust and, instead, turn the assets over to Ms. Mide-Wilson. That meeting was not successful. Specifically, during that meeting, Home told Mr. Rennie that while he might have earlier been prepared to give Ms. Mide-Wilson some $5 to $10 million dollars, he no longer intended to do so. She would simply receive the share of her grandfather's estate that had been provided to her in the April 2008 Will.</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Mide-Wilson and her father next met with HTLN on October 28, 2008.</w:t>
      </w:r>
      <w:bookmarkStart w:id="273" w:name="Backward_fnref_fnr-3"/>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273"/>
      <w:r>
        <w:rPr>
          <w:rFonts w:ascii="arial" w:eastAsia="arial" w:hAnsi="arial" w:cs="arial"/>
          <w:color w:val="000000"/>
          <w:sz w:val="20"/>
          <w:lang w:val="en-US" w:eastAsia="en-US" w:bidi="ar-SA"/>
        </w:rPr>
        <w:t xml:space="preserve"> Ms. Teetaert, a junior lawyer at HTLN, also attended this meeting. It is undisputed that the Client agreed to retain HTLN on the basis of a contingent fee retainer at this meeting. Following confirmation that HTLN was to be retained, on November 3, 2008, Mr. Crickmore filed a notice of change of solicitor in the Action and became counsel of record for Ms. Mide-Wilson.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During October and November, Mr. Crickmore and Ms. Mide-Wilson spent time crafting her statement of defence. To do this, they needed to spend time getting to know each other. Specifically, Mr. Crickmore wanted to know and understand Ms. Mide-Wilson's "life story" as it was his intention to create a narrative pleading which would essentially tell her story and "set the stage" for setting aside the New Instruments on the basis of suspicious circumstances and undue influence (most particularly by Home) in respect of the making and execution of the New Instruments.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Teetaert interviewed Jack Cewe's caretaker, Soledad Solanga ("Soli") on November 3 and 5, 2008. Both meetings were lengthy and took place in the HTLN boardroom. Ms. Mide-Wilson attended the first interview but not the second as Ms. Teetaert felt that Soli might be more forthcoming if Ms. Mide-Wilson did not attend the interview.</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Teetaert prepared a comprehensive memorandum setting out the results of the interview with Soli and Soli's take on some of the things that could be in issue and would have to be proved (or disproved) by the client in the Action if she hoped to set aside the New Instruments.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 December 5, 2008 the Client, Carsten Mide and Mr. Rennie met with Messrs. Tomyn and Crickmore to review the pleadings Mr. Crickmore had drafted and to confirm the retainer arrangements between Ms. Mide-Wilson and HTLN. During that meeting, HTLN (Mr. Tomyn) provided Ms. Mide-Wilson with a draft contingency fee agreement. That draft agreement noted that the Client had requested, and the law firm had agreed, that HTLN be retained to act for the Client in the Action on the basis of a contingency fee arrangement. The draft agreement set out the proposed contingency arrangements as:</w:t>
      </w:r>
      <w:r>
        <w:rPr>
          <w:rFonts w:ascii="arial" w:eastAsia="arial" w:hAnsi="arial" w:cs="arial"/>
          <w:sz w:val="18"/>
          <w:lang w:val="en-US" w:eastAsia="en-US" w:bidi="ar-SA"/>
        </w:rPr>
        <w:cr/>
      </w:r>
    </w:p>
    <w:p>
      <w:pPr>
        <w:numPr>
          <w:numId w:val="84"/>
        </w:numPr>
        <w:tabs>
          <w:tab w:val="num" w:pos="1120"/>
          <w:tab w:val="clear" w:pos="2560"/>
        </w:tabs>
        <w:spacing w:before="120" w:line="260" w:lineRule="atLeast"/>
        <w:ind w:left="1120"/>
        <w:jc w:val="both"/>
        <w:rPr>
          <w:rFonts w:ascii="arial" w:eastAsia="arial" w:hAnsi="arial" w:cs="arial"/>
          <w:sz w:val="18"/>
          <w:lang w:val="en-US" w:eastAsia="en-US" w:bidi="ar-SA"/>
        </w:rPr>
      </w:pPr>
      <w:r>
        <w:rPr>
          <w:rFonts w:ascii="arial" w:eastAsia="arial" w:hAnsi="arial" w:cs="arial"/>
          <w:color w:val="000000"/>
          <w:sz w:val="20"/>
          <w:lang w:val="en-US" w:eastAsia="en-US" w:bidi="ar-SA"/>
        </w:rPr>
        <w:t>20% of the first $4,000,000 of any settlement, plus</w:t>
      </w:r>
    </w:p>
    <w:p>
      <w:pPr>
        <w:numPr>
          <w:numId w:val="85"/>
        </w:numPr>
        <w:tabs>
          <w:tab w:val="num" w:pos="1120"/>
          <w:tab w:val="clear" w:pos="2560"/>
        </w:tabs>
        <w:spacing w:before="120" w:line="260" w:lineRule="atLeast"/>
        <w:ind w:left="1120"/>
        <w:jc w:val="both"/>
        <w:rPr>
          <w:rFonts w:ascii="arial" w:eastAsia="arial" w:hAnsi="arial" w:cs="arial"/>
          <w:sz w:val="18"/>
          <w:lang w:val="en-US" w:eastAsia="en-US" w:bidi="ar-SA"/>
        </w:rPr>
      </w:pPr>
      <w:r>
        <w:rPr>
          <w:rFonts w:ascii="arial" w:eastAsia="arial" w:hAnsi="arial" w:cs="arial"/>
          <w:color w:val="000000"/>
          <w:sz w:val="20"/>
          <w:lang w:val="en-US" w:eastAsia="en-US" w:bidi="ar-SA"/>
        </w:rPr>
        <w:t>33.33% of the balance of any settlement.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Mide-Wilson did not sign any fee agreement at that meeting. She took the draft agreement home with her over the weekend to review it. On December 8 she again met with Messrs. Crickmore and Tomyn. Accompanying her to that meeting were Mr. Rennie and Mr. Wilson. Carsten Mide had left that weekend to spend time in Hawaii and so did not come along on this occasion.</w:t>
      </w:r>
      <w:bookmarkStart w:id="274" w:name="Backward_fnref_fnr-4"/>
      <w:hyperlink w:anchor="Forward_fnref_fnr-4" w:history="1">
        <w:r>
          <w:rPr>
            <w:rFonts w:ascii="arial" w:eastAsia="arial" w:hAnsi="arial" w:cs="arial"/>
            <w:b/>
            <w:color w:val="BE161D"/>
            <w:sz w:val="20"/>
            <w:shd w:val="clear" w:color="auto" w:fill="FFFFFF"/>
            <w:vertAlign w:val="superscript"/>
            <w:lang w:val="en-US" w:eastAsia="en-US" w:bidi="ar-SA"/>
          </w:rPr>
          <w:t>4</w:t>
        </w:r>
      </w:hyperlink>
      <w:bookmarkEnd w:id="274"/>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After discussing the fee contract, Ms. Mide-Wilson and Mr. Wilson went to a coffee shop located in the lobby of the building where HTLN has its offices. They were gone for some time.</w:t>
      </w:r>
      <w:bookmarkStart w:id="275" w:name="Backward_fnref_fnr-5"/>
      <w:hyperlink w:anchor="Forward_fnref_fnr-5" w:history="1">
        <w:r>
          <w:rPr>
            <w:rFonts w:ascii="arial" w:eastAsia="arial" w:hAnsi="arial" w:cs="arial"/>
            <w:b/>
            <w:color w:val="BE161D"/>
            <w:sz w:val="20"/>
            <w:shd w:val="clear" w:color="auto" w:fill="FFFFFF"/>
            <w:vertAlign w:val="superscript"/>
            <w:lang w:val="en-US" w:eastAsia="en-US" w:bidi="ar-SA"/>
          </w:rPr>
          <w:t>5</w:t>
        </w:r>
      </w:hyperlink>
      <w:bookmarkEnd w:id="275"/>
      <w:r>
        <w:rPr>
          <w:rFonts w:ascii="arial" w:eastAsia="arial" w:hAnsi="arial" w:cs="arial"/>
          <w:color w:val="000000"/>
          <w:sz w:val="20"/>
          <w:lang w:val="en-US" w:eastAsia="en-US" w:bidi="ar-SA"/>
        </w:rPr>
        <w:t xml:space="preserve"> While in the coffee shop, they spoke to Mr. Rennie, although he was not with them the whole time. When the Client and Mr. Wilson returned to HTLN's offices, they negotiated four changes to the draft contingency fee agreement and, once the requested changes were made, Ms. Mide-Wilson signed it.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CFA as signed provided that HTLN would act for the Client with fees to be billed on a contingency fee basis. Specifically, HTLN's fees were to be:</w:t>
      </w:r>
      <w:r>
        <w:rPr>
          <w:rFonts w:ascii="arial" w:eastAsia="arial" w:hAnsi="arial" w:cs="arial"/>
          <w:sz w:val="18"/>
          <w:lang w:val="en-US" w:eastAsia="en-US" w:bidi="ar-SA"/>
        </w:rPr>
        <w:cr/>
      </w:r>
    </w:p>
    <w:p>
      <w:pPr>
        <w:numPr>
          <w:numId w:val="86"/>
        </w:numPr>
        <w:tabs>
          <w:tab w:val="num" w:pos="1120"/>
          <w:tab w:val="clear" w:pos="1840"/>
        </w:tabs>
        <w:spacing w:before="120" w:line="260" w:lineRule="atLeast"/>
        <w:ind w:left="1120"/>
        <w:jc w:val="both"/>
        <w:rPr>
          <w:rFonts w:ascii="arial" w:eastAsia="arial" w:hAnsi="arial" w:cs="arial"/>
          <w:sz w:val="18"/>
          <w:lang w:val="en-US" w:eastAsia="en-US" w:bidi="ar-SA"/>
        </w:rPr>
      </w:pPr>
      <w:r>
        <w:rPr>
          <w:rFonts w:ascii="arial" w:eastAsia="arial" w:hAnsi="arial" w:cs="arial"/>
          <w:color w:val="000000"/>
          <w:sz w:val="20"/>
          <w:lang w:val="en-US" w:eastAsia="en-US" w:bidi="ar-SA"/>
        </w:rPr>
        <w:t>20% of any settlement entered into before December 9, 2009; or</w:t>
      </w:r>
    </w:p>
    <w:p>
      <w:pPr>
        <w:numPr>
          <w:numId w:val="87"/>
        </w:numPr>
        <w:tabs>
          <w:tab w:val="num" w:pos="1120"/>
          <w:tab w:val="clear" w:pos="1840"/>
        </w:tabs>
        <w:spacing w:before="120" w:line="260" w:lineRule="atLeast"/>
        <w:ind w:left="1120"/>
        <w:jc w:val="both"/>
        <w:rPr>
          <w:rFonts w:ascii="arial" w:eastAsia="arial" w:hAnsi="arial" w:cs="arial"/>
          <w:sz w:val="18"/>
          <w:lang w:val="en-US" w:eastAsia="en-US" w:bidi="ar-SA"/>
        </w:rPr>
      </w:pPr>
      <w:r>
        <w:rPr>
          <w:rFonts w:ascii="arial" w:eastAsia="arial" w:hAnsi="arial" w:cs="arial"/>
          <w:color w:val="000000"/>
          <w:sz w:val="20"/>
          <w:lang w:val="en-US" w:eastAsia="en-US" w:bidi="ar-SA"/>
        </w:rPr>
        <w:t>25% of any settlement entered into after December 8, 2009 and before December 9, 2011; or</w:t>
      </w:r>
    </w:p>
    <w:p>
      <w:pPr>
        <w:numPr>
          <w:numId w:val="88"/>
        </w:numPr>
        <w:tabs>
          <w:tab w:val="clear" w:pos="1120"/>
          <w:tab w:val="num" w:pos="1480"/>
        </w:tabs>
        <w:spacing w:before="120" w:line="260" w:lineRule="atLeast"/>
        <w:ind w:left="1480"/>
        <w:jc w:val="both"/>
        <w:rPr>
          <w:rFonts w:ascii="arial" w:eastAsia="arial" w:hAnsi="arial" w:cs="arial"/>
          <w:sz w:val="18"/>
          <w:lang w:val="en-US" w:eastAsia="en-US" w:bidi="ar-SA"/>
        </w:rPr>
      </w:pPr>
      <w:r>
        <w:rPr>
          <w:rFonts w:ascii="arial" w:eastAsia="arial" w:hAnsi="arial" w:cs="arial"/>
          <w:color w:val="000000"/>
          <w:sz w:val="20"/>
          <w:lang w:val="en-US" w:eastAsia="en-US" w:bidi="ar-SA"/>
        </w:rPr>
        <w:t>one-third of any settlement entered into on the earlier of:</w:t>
      </w:r>
    </w:p>
    <w:p>
      <w:pPr>
        <w:numPr>
          <w:numId w:val="89"/>
        </w:numPr>
        <w:tabs>
          <w:tab w:val="num" w:pos="1480"/>
          <w:tab w:val="clear" w:pos="1840"/>
        </w:tabs>
        <w:spacing w:before="120" w:line="260" w:lineRule="atLeast"/>
        <w:ind w:left="1480"/>
        <w:jc w:val="both"/>
        <w:rPr>
          <w:rFonts w:ascii="arial" w:eastAsia="arial" w:hAnsi="arial" w:cs="arial"/>
          <w:sz w:val="18"/>
          <w:lang w:val="en-US" w:eastAsia="en-US" w:bidi="ar-SA"/>
        </w:rPr>
      </w:pPr>
      <w:r>
        <w:rPr>
          <w:rFonts w:ascii="arial" w:eastAsia="arial" w:hAnsi="arial" w:cs="arial"/>
          <w:color w:val="000000"/>
          <w:sz w:val="20"/>
          <w:lang w:val="en-US" w:eastAsia="en-US" w:bidi="ar-SA"/>
        </w:rPr>
        <w:t>December 9, 2011 or thereafter; and</w:t>
      </w:r>
    </w:p>
    <w:p>
      <w:pPr>
        <w:numPr>
          <w:numId w:val="89"/>
        </w:numPr>
        <w:tabs>
          <w:tab w:val="num" w:pos="1480"/>
          <w:tab w:val="clear" w:pos="1840"/>
        </w:tabs>
        <w:spacing w:before="120" w:line="260" w:lineRule="atLeast"/>
        <w:ind w:left="1480"/>
        <w:jc w:val="both"/>
        <w:rPr>
          <w:rFonts w:ascii="arial" w:eastAsia="arial" w:hAnsi="arial" w:cs="arial"/>
          <w:sz w:val="18"/>
          <w:lang w:val="en-US" w:eastAsia="en-US" w:bidi="ar-SA"/>
        </w:rPr>
      </w:pPr>
      <w:r>
        <w:rPr>
          <w:rFonts w:ascii="arial" w:eastAsia="arial" w:hAnsi="arial" w:cs="arial"/>
          <w:color w:val="000000"/>
          <w:sz w:val="20"/>
          <w:lang w:val="en-US" w:eastAsia="en-US" w:bidi="ar-SA"/>
        </w:rPr>
        <w:t>six weeks before the first day of trial of any issue; or</w:t>
      </w:r>
    </w:p>
    <w:p>
      <w:pPr>
        <w:numPr>
          <w:numId w:val="90"/>
        </w:numPr>
        <w:tabs>
          <w:tab w:val="clear" w:pos="1120"/>
          <w:tab w:val="num" w:pos="1480"/>
        </w:tabs>
        <w:spacing w:before="120" w:line="260" w:lineRule="atLeast"/>
        <w:ind w:left="1480"/>
        <w:jc w:val="both"/>
        <w:rPr>
          <w:rFonts w:ascii="arial" w:eastAsia="arial" w:hAnsi="arial" w:cs="arial"/>
          <w:sz w:val="18"/>
          <w:lang w:val="en-US" w:eastAsia="en-US" w:bidi="ar-SA"/>
        </w:rPr>
      </w:pPr>
      <w:r>
        <w:rPr>
          <w:rFonts w:ascii="arial" w:eastAsia="arial" w:hAnsi="arial" w:cs="arial"/>
          <w:color w:val="000000"/>
          <w:sz w:val="20"/>
          <w:lang w:val="en-US" w:eastAsia="en-US" w:bidi="ar-SA"/>
        </w:rPr>
        <w:t>one-third of any judgment.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December 9, 2008 Mr. Crickmore filed the Client's statement of defence to the Action, together with a counterclaim naming Davis LLP (particularly Ms. Hamilton), as well as Home and Gibson as defendants. The statement of defence claims that Jack Cewe's estate is worth in excess of $100,000,000.</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December 15, 2008, Davis LLP filed an application under (then) Rule 19(24) seeking to have the Client's counterclaim against them struck. Davis LLP withdrew as counsel for Home and Gibson in the Action on or about December 17, 2008 and, virtually contemporaneously, Mr. Barry Kirkham, Q.C. of Owen Bird Law Corporation filed a notice of change of solicitor and became the solicitor of record for Home and Gibson in the Action.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Murray Smith of Smith Barristers filed an appearance on Carsten Mide's behalf in the Action. Mr. Smith was recommended to Carsten Mide by HTLN. On December 18, 2008, Mr. Smith wrote to Mr. Kirkham and noted that Owen Bird was in a conflict of interest in representing Home and Gibson in the Action while, at the same time, acting on Carsten Mide's behalf in the Alberta proceedings involving Summit Care Corporation.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mid-January 2009 HTLN received a letter from Emmett McGrath, one of the alternate executors and trustees of Jack Cewe's estate and the Jack Cewe Alter Ego Trust. In that letter, Mr. McGrath confirmed that Jack Cewe delegated most of JCL's financial and legal matters to Home and trusted Home completely. This letter would be helpful to the Client in proving undue influence and portraying Home as a fiduciary in relation to Jack Cewe in his personal capacity.</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Davis LLP's application to strike was heard by Curtis J. over two days, commencing March 6, 2009. On April 27, 2009 his Lordship issued reasons dismissing Davis LLP's application.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 number of applications were briefed between March and June 2009, including:</w:t>
      </w:r>
      <w:r>
        <w:rPr>
          <w:rFonts w:ascii="arial" w:eastAsia="arial" w:hAnsi="arial" w:cs="arial"/>
          <w:sz w:val="18"/>
          <w:lang w:val="en-US" w:eastAsia="en-US" w:bidi="ar-SA"/>
        </w:rPr>
        <w:cr/>
      </w:r>
    </w:p>
    <w:p>
      <w:pPr>
        <w:numPr>
          <w:numId w:val="91"/>
        </w:numPr>
        <w:tabs>
          <w:tab w:val="num" w:pos="1480"/>
          <w:tab w:val="clear" w:pos="1840"/>
        </w:tabs>
        <w:spacing w:before="120" w:line="260" w:lineRule="atLeast"/>
        <w:ind w:left="1480"/>
        <w:jc w:val="both"/>
        <w:rPr>
          <w:rFonts w:ascii="arial" w:eastAsia="arial" w:hAnsi="arial" w:cs="arial"/>
          <w:sz w:val="18"/>
          <w:lang w:val="en-US" w:eastAsia="en-US" w:bidi="ar-SA"/>
        </w:rPr>
      </w:pPr>
      <w:r>
        <w:rPr>
          <w:rFonts w:ascii="arial" w:eastAsia="arial" w:hAnsi="arial" w:cs="arial"/>
          <w:color w:val="000000"/>
          <w:sz w:val="20"/>
          <w:lang w:val="en-US" w:eastAsia="en-US" w:bidi="ar-SA"/>
        </w:rPr>
        <w:t>a medical documents motion;</w:t>
      </w:r>
    </w:p>
    <w:p>
      <w:pPr>
        <w:numPr>
          <w:numId w:val="92"/>
        </w:numPr>
        <w:tabs>
          <w:tab w:val="clear" w:pos="1120"/>
          <w:tab w:val="num" w:pos="1480"/>
        </w:tabs>
        <w:spacing w:before="120" w:line="260" w:lineRule="atLeast"/>
        <w:ind w:left="1480"/>
        <w:jc w:val="both"/>
        <w:rPr>
          <w:rFonts w:ascii="arial" w:eastAsia="arial" w:hAnsi="arial" w:cs="arial"/>
          <w:sz w:val="18"/>
          <w:lang w:val="en-US" w:eastAsia="en-US" w:bidi="ar-SA"/>
        </w:rPr>
      </w:pPr>
      <w:r>
        <w:rPr>
          <w:rFonts w:ascii="arial" w:eastAsia="arial" w:hAnsi="arial" w:cs="arial"/>
          <w:color w:val="000000"/>
          <w:sz w:val="20"/>
          <w:lang w:val="en-US" w:eastAsia="en-US" w:bidi="ar-SA"/>
        </w:rPr>
        <w:t>applications by Ms. Mide-Wilson to:</w:t>
      </w:r>
    </w:p>
    <w:p>
      <w:pPr>
        <w:numPr>
          <w:numId w:val="93"/>
        </w:numPr>
        <w:tabs>
          <w:tab w:val="num" w:pos="1480"/>
          <w:tab w:val="clear" w:pos="1840"/>
        </w:tabs>
        <w:spacing w:before="120" w:line="260" w:lineRule="atLeast"/>
        <w:ind w:left="1480"/>
        <w:jc w:val="both"/>
        <w:rPr>
          <w:rFonts w:ascii="arial" w:eastAsia="arial" w:hAnsi="arial" w:cs="arial"/>
          <w:sz w:val="18"/>
          <w:lang w:val="en-US" w:eastAsia="en-US" w:bidi="ar-SA"/>
        </w:rPr>
      </w:pPr>
      <w:r>
        <w:rPr>
          <w:rFonts w:ascii="arial" w:eastAsia="arial" w:hAnsi="arial" w:cs="arial"/>
          <w:color w:val="000000"/>
          <w:sz w:val="20"/>
          <w:lang w:val="en-US" w:eastAsia="en-US" w:bidi="ar-SA"/>
        </w:rPr>
        <w:t>amend her pleadings;</w:t>
      </w:r>
    </w:p>
    <w:p>
      <w:pPr>
        <w:numPr>
          <w:numId w:val="94"/>
        </w:numPr>
        <w:tabs>
          <w:tab w:val="clear" w:pos="1120"/>
          <w:tab w:val="num" w:pos="1840"/>
        </w:tabs>
        <w:spacing w:before="120" w:line="260" w:lineRule="atLeast"/>
        <w:ind w:left="1840"/>
        <w:jc w:val="both"/>
        <w:rPr>
          <w:rFonts w:ascii="arial" w:eastAsia="arial" w:hAnsi="arial" w:cs="arial"/>
          <w:sz w:val="18"/>
          <w:lang w:val="en-US" w:eastAsia="en-US" w:bidi="ar-SA"/>
        </w:rPr>
      </w:pPr>
      <w:r>
        <w:rPr>
          <w:rFonts w:ascii="arial" w:eastAsia="arial" w:hAnsi="arial" w:cs="arial"/>
          <w:color w:val="000000"/>
          <w:sz w:val="20"/>
          <w:lang w:val="en-US" w:eastAsia="en-US" w:bidi="ar-SA"/>
        </w:rPr>
        <w:t>have Owen Bird removed as counsel of record for Home and Gibson based on their (alleged) conflict of interest in respect of Carsten Mide;</w:t>
      </w:r>
    </w:p>
    <w:p>
      <w:pPr>
        <w:numPr>
          <w:numId w:val="95"/>
        </w:numPr>
        <w:tabs>
          <w:tab w:val="clear" w:pos="1120"/>
          <w:tab w:val="num" w:pos="1840"/>
        </w:tabs>
        <w:spacing w:before="120" w:line="260" w:lineRule="atLeast"/>
        <w:ind w:left="1840"/>
        <w:jc w:val="both"/>
        <w:rPr>
          <w:rFonts w:ascii="arial" w:eastAsia="arial" w:hAnsi="arial" w:cs="arial"/>
          <w:sz w:val="18"/>
          <w:lang w:val="en-US" w:eastAsia="en-US" w:bidi="ar-SA"/>
        </w:rPr>
      </w:pPr>
      <w:r>
        <w:rPr>
          <w:rFonts w:ascii="arial" w:eastAsia="arial" w:hAnsi="arial" w:cs="arial"/>
          <w:color w:val="000000"/>
          <w:sz w:val="20"/>
          <w:lang w:val="en-US" w:eastAsia="en-US" w:bidi="ar-SA"/>
        </w:rPr>
        <w:t>an application by Carsten Mide to have Owen Bird removed as counsel of record for Home and Gibson based on the (alleged) conflict of interest;</w:t>
      </w:r>
    </w:p>
    <w:p>
      <w:pPr>
        <w:numPr>
          <w:numId w:val="96"/>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applications by each of Davis LLP and Home and Gibson to strike, sever or stay certain of Ms. Mide-Wilson's claims;</w:t>
      </w:r>
    </w:p>
    <w:p>
      <w:pPr>
        <w:numPr>
          <w:numId w:val="97"/>
        </w:numPr>
        <w:tabs>
          <w:tab w:val="clear" w:pos="1120"/>
          <w:tab w:val="num" w:pos="2200"/>
        </w:tabs>
        <w:spacing w:before="120" w:line="260" w:lineRule="atLeast"/>
        <w:ind w:left="2200"/>
        <w:jc w:val="both"/>
        <w:rPr>
          <w:rFonts w:ascii="arial" w:eastAsia="arial" w:hAnsi="arial" w:cs="arial"/>
          <w:sz w:val="18"/>
          <w:lang w:val="en-US" w:eastAsia="en-US" w:bidi="ar-SA"/>
        </w:rPr>
      </w:pPr>
      <w:r>
        <w:rPr>
          <w:rFonts w:ascii="arial" w:eastAsia="arial" w:hAnsi="arial" w:cs="arial"/>
          <w:color w:val="000000"/>
          <w:sz w:val="20"/>
          <w:lang w:val="en-US" w:eastAsia="en-US" w:bidi="ar-SA"/>
        </w:rPr>
        <w:t>an application to strike Carsten Mide's statement of defence to the Action (later amended to include an application to strike the counterclaim); and</w:t>
      </w:r>
    </w:p>
    <w:p>
      <w:pPr>
        <w:numPr>
          <w:numId w:val="105"/>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an application for leave to appeal Curtis J.'s decision on the application to strike.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Dillon J., case manager in the Action, directed that all of the applications be briefed but made no directions as to when the applications might be heard or in what order.</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All of the motions were scheduled for hearing before Hinkson J. on June 19, 2009. His Lordship decided to first hear the conflicts motions in respect of Owen Bird. His Lordship heard those applications over four days (June 19, 22, 23 and 25). He reserved his decision.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July 2, 2009 Owen Bird sent HTLN an offer to settle the Action for the sum of $22,000,000, broken down as follows:</w:t>
      </w:r>
      <w:r>
        <w:rPr>
          <w:rFonts w:ascii="arial" w:eastAsia="arial" w:hAnsi="arial" w:cs="arial"/>
          <w:sz w:val="18"/>
          <w:lang w:val="en-US" w:eastAsia="en-US" w:bidi="ar-SA"/>
        </w:rPr>
        <w:cr/>
      </w:r>
    </w:p>
    <w:p>
      <w:pPr>
        <w:numPr>
          <w:numId w:val="106"/>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$5,000,000 to be paid to each of Home and Gibson (which sum included the specific bequests of $2,000,000 to each of them under the Jack Cewe Alter Ego Trust);</w:t>
      </w:r>
    </w:p>
    <w:p>
      <w:pPr>
        <w:numPr>
          <w:numId w:val="107"/>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$1,000,000 to be paid to each of Eagle Ridge Hospital Foundation and the Douglas College Foundation; and</w:t>
      </w:r>
    </w:p>
    <w:p>
      <w:pPr>
        <w:numPr>
          <w:numId w:val="108"/>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$10,000,000 to be paid to Home in trust for him to distribute among employees of JCL (the so-called "widows and orphans").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It is important to note that the effect of this offer was that the Client would receive the bulk of Jack Cewe's estate and that she would become the trustee of the Jack Cewe Alter Ego Trust. It was not an offer whereby Home and Gibson sought to pay Ms. Mide-Wilson money in lieu of her receiving the estate or becoming a trustee of Jack Cewe Alter Ego Trust.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letter from Owen Bird contained numerous assertions as to the strength of Home and Gibson's position in the Action. Specifically Owen Bird noted that the New Instruments had been drafted and witnessed by a leading wills and estates practitioner (Ms. Hamilton) whom they said:</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will give powerful evidence on capacity and her effective handling of Mr. Cewe's eyesight limitations in confirming he clearly understood the instruments.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Included with Owen Bird's letter was an expert report, authored by Dr. Wiebe, Jack Cewe's principal physician, which confirmed Jack Cewe's capacity, according to Owen Bird, "beyond any doubt". Further, the letter stipulated (although no decision had yet been released by Hinkson J.) that continued meaningful settlement negotiations would require that Owen Bird continue to represent Home and Gibson throughout any such negotiations.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After receiving the offer from Home and Gibson, Ms. Mide-Wilson instructed HTLN to make a counteroffer to settle the matter with her paying Home and Gibson (collectively) the sum of $5,000,000. Included with the counteroffer was an expert opinion by a Dr. Shulman (commissioned by HTLN on the Client's behalf), which specifically responded to Dr. Wiebe's report. Dr. Shulman has apparently written extensively on assessing testamentary capacity. His theory is that the more complex the disposition of an estate, the less mental impairment is necessary to oust testamentary capacity. It was thought that Dr. Shulman's opinion might be invaluable in confirming Jack Cewe's testamentary capacity (or lack thereof) and bolster the case for setting aside the New Instruments.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July 15, 2009 Davis LLP's application for leave to appeal Curtis J.'s decision was denied by Low J.A. On July 16, 2009 HTLN was advised that Hinkson J.'s decision on the Owen Bird conflict motion was to be released on July 17, 2009. Prior to receipt of Hinkson J.'s decision, Owen Bird provided a counteroffer on behalf of Home and Gibson, this time for $16,000,000: $4,000,000 to be paid by the Client to each of Home and Gibson; $500,000 to each of Eagle Ridge Hospital and Douglas College Foundations; and $7,000,000 to be paid to Home to distribute to the JCL employees.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Hinkson J.'s decision was released later that day. His Lordship granted the relief sought by Carsten Mide (supported by the Client) and ordered that Owen Bird cease to act on Home and Gibson's behalf in the Action because of their conflict in acting for Carsten Mide in the Alberta action.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Messrs. Crickmore, Tomyn and Robert Hungerford, another partner in HTLN, met with Mr. Rennie, the Client and Carsten Mide</w:t>
      </w:r>
      <w:bookmarkStart w:id="276" w:name="Backward_fnref_fnr-6"/>
      <w:hyperlink w:anchor="Forward_fnref_fnr-6" w:history="1">
        <w:r>
          <w:rPr>
            <w:rFonts w:ascii="arial" w:eastAsia="arial" w:hAnsi="arial" w:cs="arial"/>
            <w:b/>
            <w:color w:val="BE161D"/>
            <w:sz w:val="20"/>
            <w:shd w:val="clear" w:color="auto" w:fill="FFFFFF"/>
            <w:vertAlign w:val="superscript"/>
            <w:lang w:val="en-US" w:eastAsia="en-US" w:bidi="ar-SA"/>
          </w:rPr>
          <w:t>6</w:t>
        </w:r>
      </w:hyperlink>
      <w:bookmarkEnd w:id="276"/>
      <w:r>
        <w:rPr>
          <w:rFonts w:ascii="arial" w:eastAsia="arial" w:hAnsi="arial" w:cs="arial"/>
          <w:color w:val="000000"/>
          <w:sz w:val="20"/>
          <w:lang w:val="en-US" w:eastAsia="en-US" w:bidi="ar-SA"/>
        </w:rPr>
        <w:t xml:space="preserve"> on July 17 to discuss the Client's next steps in the Action. HTLN suggested that mediation might be in order to try and settle the matter. Although Mr. Rennie and Carsten Mide were not initially in favour of mediation, at the end of that meeting, it was agreed that Mr. Crickmore would canvas with Mr. Kirkham if mediation was a possibility.</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Crickmore spoke with Mr. Kirkham who agreed that mediation might resolve matters (provided Owen Bird did not have to withdraw as counsel for Home and Gibson in accordance with Hinkson J.'s order) and also agreed to participate in mediation to attempt to resolve all of the issues. Mr. Kirkham and Mr. Crickmore settled on Bill Everett, Q.C. as mediator.</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mediation was held over two days (with one day in between) on July 28 and 30, 2009. The client attended both days of the mediation, as did Mr. Rennie and Carsten Mide. Ryan Wilson was there on July 28 but not on July 30. Davis LLP did not participate in the mediation. On the first day of the mediation the Client did not move from her original offer to pay $5,000,000 to Home and Gibson in exchange for the estate and becoming the trustee of the Jack Cewe Alter Ego Trust. Because of this, Mr. Kirkham threatened to withdraw early in the mediation, but was persuaded not to do so by Mr. Hungerford and Mr. Rennie.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Several times during the first day of mediation Mr. Rennie and Home had one-on-one discussions about the matter during a number of cigarette breaks they apparently took at the same time. Towards the end of the day, Mr. Rennie reported to the Client and HTLN that he had proposed a settlement figure of $10,000,000 (paid by the client to Home and Gibson) while Home was looking for payment in the $12,000,000 range. Ryan Wilson was apparently not happy with that number - he felt the $5,000,000 offer already made by Ms. Mide-Wilson was sufficient.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Somewhat to everyone's surprise Home left the mediation at 4:30 p.m. on July 28.</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 July 29, Mr. Rennie met directly with Home at the Vancouver Golf Club to see if an agreement might be reached. During their meeting, Home suggested that the matter might be settled if the Client offered to pay him and Gibson some $8,000,000, although he told Mr. Rennie that he intended, when the mediation resumed the next day, to open the negotiations at $10,000,000 and then (likely) settle at the $8,000,000 level.</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Early in the morning on July 30, Home and Gibson agreed to settle the Action in exchange for payment to them of the sum of $8,000,000. The rest of the day was used to negotiate the details of the settlement. Mr. Tomyn spent his time drafting an agreement. Mr. Crickmore spent time reviewing it with the Client and with Home, and resolving their various concerns. A final settlement agreement was reached and signed on July 30, 2009 whereby the Client agreed to pay Home and Gibson $4,000,000 each.</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Throughout August 2009, Mr. Tomyn set to work "papering" the deal. Mr. Tomyn's list of "Closing Documents" sets out 64 documents or categories of documents necessary to close the deal. The closing involved, among other things, the transfer of the trusteeship of the Jack Cewe Alter Ego Trust, the transfer of several pieces of real estate, the redemption of shares and the declaration of a dividend.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settlement funds came from JCL and not Ms. Mide-Wilson's personal resources. There were some difficulties securing the funds but, in the end, the settlement closed on August 31, 2009.</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mid-September Hinkson J. made an order (by consent) in the Action granting letters of administration of Jack Cewe's estate to Ms. Mide-Wilson.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On September 30, Ms. Mide-Wilson came to HTLN to discuss their fees. She met with Messrs. Tomyn and Crickmore on that date. No agreement was made as to an appropriate amount for the fees. The parties met again on October 7, 2009. At that meeting Mr. Tomyn suggested a fee of $12,000,000 based on a net value of the Jack Cewe estate (including the assets in the Jack Cewe Alter Ego Trust) in the $100,000,000 range, from which amount was to be subtracted the $8,000,000 paid to Home and Gibson and some $12,000,000 in taxes to be paid in respect of the Jack Cewe Alter Ego Trust resulting in fees of $16,000,000 which Mr. Tomyn said he (HTLN) was prepared to discount to $12,000,000. Ms. Mide-Wilson was upset at the amount of fees proposed and left that meeting without any resolution regarding what fee she would pay HTLN for their work on her behalf in the Action.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On October 19, Ms. Mide-Wilson and Mr. Wilson met Mr. Crickmore at a restaurant in Burnaby to try and resolve (or at least discuss) HTLN's fees. At some point during that meeting Mr. Crickmore suggested that some "adult supervision" might be in order. He then told the Client that HTLN had consulted counsel about the fee issue. He suggested to Ms. Mide-Wilson that she do the same and even recommended Mr. Macintosh, Q.C. to her as potential counsel.</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Throughout October, November and December, HTLN continued to act on Mide-Wilson's behalf in the Action (filing probate documents, for example).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On January 27, 2010, Ms. Mide-Wilson formally ended the solicitor-client relationship. On that same date, Mr. Macintosh, Q.C. filed the appointment to examine the agreement made between Ms. Mide-Wilson and HTLN.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HTLN did not issue a bill to the Client for their services until June 30, 2010 on which date they prepared a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 xml:space="preserve"> bill seeking 20% of the net value of the Jack Cewe estate and Jack Cewe Alter Ego Trust, including personalty, real estate holdings and corporate holdings, including JCL, Cewe Holdings Ltd., Ridge Gravel &amp; Paving Ltd., Heather Construction Co. Ltd., Shoshone Construction Ltd. and Jack Cewe Inc.</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HTLN issued a final bill (the "Bill") to the Client pursuant to the CFA on March 25, 2011 (based on 20% of the value of the Jack Cewe estate and the Trust Assets following completion of valuation reports prepared by Mr. Keith McCandlish and Ms. Margaret McFarlane valuing the "Pipeline Road and Treat Creek Sand and Gravel Operations" of JCL and the "Jack Cewe Group of Companies", respectively). In the Bill, HTLN seeks payment of fees of $16,971,015 based on:</w:t>
      </w:r>
      <w:r>
        <w:rPr>
          <w:rFonts w:ascii="arial" w:eastAsia="arial" w:hAnsi="arial" w:cs="arial"/>
          <w:sz w:val="18"/>
          <w:lang w:val="en-US" w:eastAsia="en-US" w:bidi="ar-SA"/>
        </w:rPr>
        <w:cr/>
      </w:r>
    </w:p>
    <w:p>
      <w:pPr>
        <w:numPr>
          <w:numId w:val="109"/>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total value of the settlement achieved by the solicitors for the client of $117,210,432 being the value of the Personal Property ($1,360,432) plus the Business Value ($115,850,00) less deductions (settlement funds of $8,000,000 paid to Home and Gibson plus income taxes payable of $12,180,625.55 as per the 2008 T3 Trust Income Tax and Information Return for the Jack Cewe Alter Ego Trust 2008, plus income taxes of $12,134,732.03 that would be payable on a sale of the business assets as at August 31, 2009) of $32,315,357 = $84,895,075 x 20% = $16,979,015; PLUS</w:t>
      </w:r>
    </w:p>
    <w:p>
      <w:pPr>
        <w:numPr>
          <w:numId w:val="110"/>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HST on the proposed fee amount in $2,037,481.80; PLUS</w:t>
      </w:r>
    </w:p>
    <w:p>
      <w:pPr>
        <w:numPr>
          <w:numId w:val="111"/>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Disbursements (which on the final day of the hearing I was told were not disputed) totalling $26,895.22 plus taxes on such disbursements of $1,157.76.</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total fee requested and at issue in this proceeding is therefore $19,044,549.78 (fees: $16,979,015; plus disbursements: $26,895.22; plus HST/GST on fee and taxable disbursements: $2,038,639.56).</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Client has not paid HTLN any amount to date for their work on her behalf in the Action.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now turn to my discussion and analysis of the issues in this proceeding. I note that while I do not discuss every submission made by the Client and the Solicitors, I have considered all written and oral submissions and have not mentioned unsupported submissions or discussed disputed facts that I do not find to have a bearing on the issues I must decide.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u w:val="single"/>
          <w:lang w:val="en-US" w:eastAsia="en-US" w:bidi="ar-SA"/>
        </w:rPr>
        <w:t>Does the CFA Apply?</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Since 1908, British Columbia has authorized solicitors to enter into fee agreements with their clients. Contingent fee agreements have, however, only been permitted since 1969. In general, contingent fee agreements were permitted to allow persons who might not otherwise have the financial means to hire counsel to have access to justice. In </w:t>
      </w:r>
      <w:r>
        <w:rPr>
          <w:rFonts w:ascii="arial" w:eastAsia="arial" w:hAnsi="arial" w:cs="arial"/>
          <w:i/>
          <w:color w:val="000000"/>
          <w:sz w:val="20"/>
          <w:lang w:val="en-US" w:eastAsia="en-US" w:bidi="ar-SA"/>
        </w:rPr>
        <w:t>Usipuik v. Jensen, Mitchell &amp; Co.</w:t>
      </w:r>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(1986), 3 B.C.L.R. (2d) 283</w:t>
        </w:r>
      </w:hyperlink>
      <w:r>
        <w:rPr>
          <w:rFonts w:ascii="arial" w:eastAsia="arial" w:hAnsi="arial" w:cs="arial"/>
          <w:color w:val="000000"/>
          <w:sz w:val="20"/>
          <w:lang w:val="en-US" w:eastAsia="en-US" w:bidi="ar-SA"/>
        </w:rPr>
        <w:t xml:space="preserve"> (S.C.), Southin J. (as she then was) confirmed at p. 292 that the onus of proving the terms of a retainer and the specifics of a fee agreement is on the solicitor.</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Anderson v. Elliott</w:t>
      </w:r>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(1998), 60 B.C.L.R. (3d) 131</w:t>
        </w:r>
      </w:hyperlink>
      <w:r>
        <w:rPr>
          <w:rFonts w:ascii="arial" w:eastAsia="arial" w:hAnsi="arial" w:cs="arial"/>
          <w:color w:val="000000"/>
          <w:sz w:val="20"/>
          <w:lang w:val="en-US" w:eastAsia="en-US" w:bidi="ar-SA"/>
        </w:rPr>
        <w:t xml:space="preserve"> (S.C.), Sigurdson J. explained the nature of contingent fee agreements, at paras. 67-68:</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Under a contingent fee agreement, the lawyer and the client enter a type of joint venture where they will either share in the fruits of the action or suffer the defeat together. Normally, I would expect that it is not a joint venture of equals, in that the law firm, generally, has a more thorough understanding of the law, the legal process and the potential outcomes of litigation than the client.</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But this imbalance is tempered by the fact that the relationship is a fiduciary one; the law firm owes a number of duties to their client, not the least of which is the duty to act only in their client's best interests.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In addition to common law protections, the Legislature protects clients in s. 68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a client who has entered into a fee agreement with a solicitor may apply to the registrar to have the agreement examined and, on such application, the registrar must review the agreement for fairness and reasonableness.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Pursuant to that section, when a client files an appointment to have a registrar examine an agreement made between her and her solicitor, the registrar is tasked with determining if the agreement is fair and reasonable. If she finds the agreement to be unfair or unreasonable, the registrar may cancel or modify it.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Commonwealth Investors Syndicate Ltd. v. Laxton</w:t>
      </w:r>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(1990), 50 B.C.L.R. (2d) 186</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Commonwealth No. 1</w:t>
      </w:r>
      <w:r>
        <w:rPr>
          <w:rFonts w:ascii="arial" w:eastAsia="arial" w:hAnsi="arial" w:cs="arial"/>
          <w:color w:val="000000"/>
          <w:sz w:val="20"/>
          <w:lang w:val="en-US" w:eastAsia="en-US" w:bidi="ar-SA"/>
        </w:rPr>
        <w:t>], the British Columbia Court of Appeal established that the enquiry into whether a retainer agreement is unfair or unreasonable is done in two steps. The Court explained at pp. 198-199:</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The first step investigates the mode of obtaining the contract and whether the client understood and appreciated its contents. The enquiry would include whether, at the time the contract was entered into, there was any lack of capacity on the part of the client, whether there was any undue influence exercised or unfair advantage taken by the solicitor, whether any mistake was made, or whether any other flaw arose in the formation of the contract which would indicate that the client did not understand and appreciate its content. The onus would be upon the solicitor to satisfy the foregoing requirements of the enquiry. Should any of those be found, the contract would not be "fair" in the sense of the statute and </w:t>
      </w:r>
      <w:r>
        <w:rPr>
          <w:rFonts w:ascii="arial" w:eastAsia="arial" w:hAnsi="arial" w:cs="arial"/>
          <w:i/>
          <w:color w:val="000000"/>
          <w:sz w:val="20"/>
          <w:lang w:val="en-US" w:eastAsia="en-US" w:bidi="ar-SA"/>
        </w:rPr>
        <w:t>Re Stuart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 Stuart: ex parte Cathcart</w:t>
      </w:r>
      <w:r>
        <w:rPr>
          <w:rFonts w:ascii="arial" w:eastAsia="arial" w:hAnsi="arial" w:cs="arial"/>
          <w:color w:val="000000"/>
          <w:sz w:val="20"/>
          <w:lang w:val="en-US" w:eastAsia="en-US" w:bidi="ar-SA"/>
        </w:rPr>
        <w:t>, [1893] 2 Q.B. 201]. The court would declare the contract cancelled, or would modify it, or the bill could be remitted for taxation.</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The second enquiry, assuming the contract is found to be "fair" involves an investigation of the "reasonableness" of the contract. On this investigation, extending from the time of the making of the contract until its termination or its completion, all of the ordinary factors which are involved in the determination of the amount a lawyer may charge a client are to be considered, and each factor may be the subject of professional evidence to assist the judge in determining the reasonableness of the fee in the particular circumstances.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Their Lordships continue at p. 202:</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To summarize: close examination should be made of the words of </w:t>
      </w:r>
      <w:r>
        <w:rPr>
          <w:rFonts w:ascii="arial" w:eastAsia="arial" w:hAnsi="arial" w:cs="arial"/>
          <w:i/>
          <w:color w:val="000000"/>
          <w:sz w:val="20"/>
          <w:lang w:val="en-US" w:eastAsia="en-US" w:bidi="ar-SA"/>
        </w:rPr>
        <w:t>Re Stuart</w:t>
      </w:r>
      <w:r>
        <w:rPr>
          <w:rFonts w:ascii="arial" w:eastAsia="arial" w:hAnsi="arial" w:cs="arial"/>
          <w:color w:val="000000"/>
          <w:sz w:val="20"/>
          <w:lang w:val="en-US" w:eastAsia="en-US" w:bidi="ar-SA"/>
        </w:rPr>
        <w:t>. It says very distinctly that the solicitor must not only satisfy the Court that (a) the agreement was fair with regards to the way it was obtained; but (b) must also satisfy the Court that the terms are reasonable; and (c) the matters covered by the expression "fair" cannot be re-introduced in the "reasonable" consideration. Conversely, the matters covered by the expression "reasonable" cannot be considered in the "fairness" enquiry.</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In our view the two enquiries are in nearly watertight compartments. One compartment investigates the mode of obtaining the contract and whether the client understood and appreciated its content. The second enquiry involves the reasonableness of the amount of the fee.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Commonwealth No. 1</w:t>
      </w:r>
      <w:r>
        <w:rPr>
          <w:rFonts w:ascii="arial" w:eastAsia="arial" w:hAnsi="arial" w:cs="arial"/>
          <w:color w:val="000000"/>
          <w:sz w:val="20"/>
          <w:lang w:val="en-US" w:eastAsia="en-US" w:bidi="ar-SA"/>
        </w:rPr>
        <w:t xml:space="preserve"> was decided under the </w:t>
      </w:r>
      <w:r>
        <w:rPr>
          <w:rFonts w:ascii="arial" w:eastAsia="arial" w:hAnsi="arial" w:cs="arial"/>
          <w:i/>
          <w:color w:val="000000"/>
          <w:sz w:val="20"/>
          <w:lang w:val="en-US" w:eastAsia="en-US" w:bidi="ar-SA"/>
        </w:rPr>
        <w:t>Barristers and Solicitors Act</w:t>
      </w:r>
      <w:r>
        <w:rPr>
          <w:rFonts w:ascii="arial" w:eastAsia="arial" w:hAnsi="arial" w:cs="arial"/>
          <w:color w:val="000000"/>
          <w:sz w:val="20"/>
          <w:lang w:val="en-US" w:eastAsia="en-US" w:bidi="ar-SA"/>
        </w:rPr>
        <w:t xml:space="preserve">, R.S.B.C. 1979, c. 26. In </w:t>
      </w:r>
      <w:r>
        <w:rPr>
          <w:rFonts w:ascii="arial" w:eastAsia="arial" w:hAnsi="arial" w:cs="arial"/>
          <w:i/>
          <w:color w:val="000000"/>
          <w:sz w:val="20"/>
          <w:lang w:val="en-US" w:eastAsia="en-US" w:bidi="ar-SA"/>
        </w:rPr>
        <w:t>Randall &amp; Co. v. Hope</w:t>
      </w:r>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(1996), 13 E.T.R. (2d) 257</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Randall</w:t>
      </w:r>
      <w:r>
        <w:rPr>
          <w:rFonts w:ascii="arial" w:eastAsia="arial" w:hAnsi="arial" w:cs="arial"/>
          <w:color w:val="000000"/>
          <w:sz w:val="20"/>
          <w:lang w:val="en-US" w:eastAsia="en-US" w:bidi="ar-SA"/>
        </w:rPr>
        <w:t xml:space="preserve">], Levine J. (as she then was) considered the fairness and reasonableness of a contingent fee agreement under ss. 78(8) and (9) (now ss. 68(2) and (5)) of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xml:space="preserve">, S.B.C. 1987, c. 25, which sections slightly modified the provisions of the </w:t>
      </w:r>
      <w:r>
        <w:rPr>
          <w:rFonts w:ascii="arial" w:eastAsia="arial" w:hAnsi="arial" w:cs="arial"/>
          <w:i/>
          <w:color w:val="000000"/>
          <w:sz w:val="20"/>
          <w:lang w:val="en-US" w:eastAsia="en-US" w:bidi="ar-SA"/>
        </w:rPr>
        <w:t>Barristers and Solicitors Act</w:t>
      </w:r>
      <w:r>
        <w:rPr>
          <w:rFonts w:ascii="arial" w:eastAsia="arial" w:hAnsi="arial" w:cs="arial"/>
          <w:color w:val="000000"/>
          <w:sz w:val="20"/>
          <w:lang w:val="en-US" w:eastAsia="en-US" w:bidi="ar-SA"/>
        </w:rPr>
        <w:t xml:space="preserve"> considered by the Court of Appeal in </w:t>
      </w:r>
      <w:r>
        <w:rPr>
          <w:rFonts w:ascii="arial" w:eastAsia="arial" w:hAnsi="arial" w:cs="arial"/>
          <w:i/>
          <w:color w:val="000000"/>
          <w:sz w:val="20"/>
          <w:lang w:val="en-US" w:eastAsia="en-US" w:bidi="ar-SA"/>
        </w:rPr>
        <w:t>Commonwealth No. 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Randall</w:t>
      </w:r>
      <w:r>
        <w:rPr>
          <w:rFonts w:ascii="arial" w:eastAsia="arial" w:hAnsi="arial" w:cs="arial"/>
          <w:color w:val="000000"/>
          <w:sz w:val="20"/>
          <w:lang w:val="en-US" w:eastAsia="en-US" w:bidi="ar-SA"/>
        </w:rPr>
        <w:t>, Her Ladyship confirmed the two-step enquiry but noted that both stages of the enquiry were concerned with the circumstances existing at the time the contract was entered into. Specifically, Her Ladyship said, at para. 36:</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 The only change in the legislation from </w:t>
      </w:r>
      <w:r>
        <w:rPr>
          <w:rFonts w:ascii="arial" w:eastAsia="arial" w:hAnsi="arial" w:cs="arial"/>
          <w:i/>
          <w:color w:val="000000"/>
          <w:sz w:val="20"/>
          <w:lang w:val="en-US" w:eastAsia="en-US" w:bidi="ar-SA"/>
        </w:rPr>
        <w:t>the Barristers and Solicitors Act</w:t>
      </w:r>
      <w:r>
        <w:rPr>
          <w:rFonts w:ascii="arial" w:eastAsia="arial" w:hAnsi="arial" w:cs="arial"/>
          <w:color w:val="000000"/>
          <w:sz w:val="20"/>
          <w:lang w:val="en-US" w:eastAsia="en-US" w:bidi="ar-SA"/>
        </w:rPr>
        <w:t xml:space="preserve"> [R.S.B.C. 1979, c. 26] to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xml:space="preserve"> [S.B.C. 1987, c. 25] is with respect to the time at which the reasonableness of the agreement is to be determined. Both fairness and reasonableness are to be determined under the circumstances existing at the time the contract was entered into. This may change some of the questions asked, but not the matters to be determined: fairness still involves the mode of obtaining the contract and whether the client understood and appreciated its contents, and reasonableness still involves the amount of the fee.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It is important to note that, in addition to the legislative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applicable on this review, the Benchers (as is permitted under s. 66(2)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have also made rules regarding contingent fee agreements. Those rules include limitations on the amount, in certain cases, that can be charged by way of a contingency fee and the form and content of contingent fee agreements.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Specifically, Rule 8-1 of the Law Society of British Columbia Rules provides:</w:t>
      </w:r>
      <w:r>
        <w:rPr>
          <w:rFonts w:ascii="arial" w:eastAsia="arial" w:hAnsi="arial" w:cs="arial"/>
          <w:sz w:val="18"/>
          <w:lang w:val="en-US" w:eastAsia="en-US" w:bidi="ar-SA"/>
        </w:rPr>
        <w:cr/>
      </w:r>
    </w:p>
    <w:p>
      <w:pPr>
        <w:numPr>
          <w:numId w:val="112"/>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A lawyer who enters into a contingent fee agreement with a client must ensure that, under the circumstances existing at the time the agreement is entered into,</w:t>
      </w:r>
    </w:p>
    <w:p>
      <w:pPr>
        <w:numPr>
          <w:numId w:val="113"/>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agreement is fair, and</w:t>
      </w:r>
    </w:p>
    <w:p>
      <w:pPr>
        <w:numPr>
          <w:numId w:val="114"/>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lawyer's remuneration provided for in the agreement is reasonable.</w:t>
      </w:r>
    </w:p>
    <w:p>
      <w:pPr>
        <w:numPr>
          <w:numId w:val="115"/>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A lawyer who prepares a bill for fees earned under a contingent fee agreement must ensure that the total fee payable by the client</w:t>
      </w:r>
    </w:p>
    <w:p>
      <w:pPr>
        <w:numPr>
          <w:numId w:val="116"/>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does not exceed the remuneration provided for in the agreement, and</w:t>
      </w:r>
    </w:p>
    <w:p>
      <w:pPr>
        <w:numPr>
          <w:numId w:val="117"/>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is reasonable under the circumstances existing at the time the bill is prepared.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Accordingly, I must first consider if the CFA was "fair" at the time it was entered into and then whether it is "reasonable". The question of "reasonableness" is also to be considered as at the time the CFA was entered into.</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color w:val="000000"/>
          <w:sz w:val="20"/>
          <w:lang w:val="en-US" w:eastAsia="en-US" w:bidi="ar-SA"/>
        </w:rPr>
        <w:t>1. Was the CFA Fair at the Time It was Entered Into?</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Commonwealth No. 1</w:t>
      </w:r>
      <w:r>
        <w:rPr>
          <w:rFonts w:ascii="arial" w:eastAsia="arial" w:hAnsi="arial" w:cs="arial"/>
          <w:color w:val="000000"/>
          <w:sz w:val="20"/>
          <w:lang w:val="en-US" w:eastAsia="en-US" w:bidi="ar-SA"/>
        </w:rPr>
        <w:t xml:space="preserve"> confirms that, in inquiring into the fairness of the agreement between a solicitor and client, the registrar should give regard to (at p. 198):</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whether, at the time the contract was entered into, there was any lack of capacity on the part of the client, whether there was any undue influence exercised or unfair advantage taken by the solicitor, whether any mistake was made, or whether any other flaw arose in the formation of the contract which would indicate that the client did not understand and appreciate its content. ...</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In my view, the proper approach to deciding the fairness of the CFA is to consider, in the context of this matter, the questions posed by the Court of Appeal in </w:t>
      </w:r>
      <w:r>
        <w:rPr>
          <w:rFonts w:ascii="arial" w:eastAsia="arial" w:hAnsi="arial" w:cs="arial"/>
          <w:i/>
          <w:color w:val="000000"/>
          <w:sz w:val="20"/>
          <w:lang w:val="en-US" w:eastAsia="en-US" w:bidi="ar-SA"/>
        </w:rPr>
        <w:t>Commonwealth No. 1.</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i/>
          <w:color w:val="000000"/>
          <w:sz w:val="20"/>
          <w:lang w:val="en-US" w:eastAsia="en-US" w:bidi="ar-SA"/>
        </w:rPr>
        <w:t>a. Did Ms. Mide-Wilson Lack Capacity?</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Oxford English Dictionary defines capacity as, "the ability or power to do something, or a person's legal competence".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do not perceive the Client to suggest she lacked capacity to enter into the CFA and, even if she did, I could not accede to it. Ms. Mide-Wilson is clearly a well-educated, well-spoken and reasonably sophisticated businesswoman. She has a post-secondary education and considerable business experience. She presented herself in this hearing as competent and capable. Clearly she had the capacity to contract with the Solicitors.</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i/>
          <w:color w:val="000000"/>
          <w:sz w:val="20"/>
          <w:lang w:val="en-US" w:eastAsia="en-US" w:bidi="ar-SA"/>
        </w:rPr>
        <w:t>b. Did HTLN Exercise Undue Influence over the Client?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Client says the Solicitors exercised "undue influence" over her in relation to her execution of the CFA in a number of ways.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Firstly, she says that the Solicitors did not recommend that she obtain independent legal advice prior to entering into the CFA and that that failure, in and of itself, supports her contention that she was "unduly influenced" by the Solicitors to sign the CFA.</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Secondly, she says the Solicitors pressured her into signing the agreement. She claims the Solicitors said they would not file her statement of defence and counterclaim in the Action without a written agreement for fees between herself and HTLN.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Thirdly, she says the Solicitors convinced her that, if the Action settled quickly, they would not claim fees on the basis of the CFA; rather they would charge her a "fair fee" commensurate with the stage of the proceedings and the work done to the date of such settlement. More specifically she says that the Solicitors told her that, if the Action settled quickly, the CFA would not be worth the paper it was written 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Solicitors say lack of independent legal advice is not fatal to the fairness of the CFA. This, they say, is of even more significance in these circumstances when considering the sophistication of the client, her experience with lawyers, her access to counsel, and her husband's and father's experience in negotiating and dealing with lawyers as businessmen.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Solicitors deny there was ever any requirement that the CFA be signed before they would file the statement of defence and counterclaim.</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They also deny that there was any agreement with respect to fees, except as expressed in the CFA.</w:t>
      </w:r>
      <w:r>
        <w:rPr>
          <w:rFonts w:ascii="arial" w:eastAsia="arial" w:hAnsi="arial" w:cs="arial"/>
          <w:sz w:val="18"/>
          <w:lang w:val="en-US" w:eastAsia="en-US" w:bidi="ar-SA"/>
        </w:rPr>
        <w:cr/>
      </w:r>
    </w:p>
    <w:p>
      <w:pPr>
        <w:spacing w:line="260" w:lineRule="atLeast"/>
        <w:ind w:left="1080"/>
        <w:rPr>
          <w:rFonts w:ascii="arial" w:eastAsia="arial" w:hAnsi="arial" w:cs="arial"/>
          <w:sz w:val="18"/>
          <w:lang w:val="en-US" w:eastAsia="en-US" w:bidi="ar-SA"/>
        </w:rPr>
      </w:pPr>
      <w:r>
        <w:rPr>
          <w:rFonts w:ascii="arial" w:eastAsia="arial" w:hAnsi="arial" w:cs="arial"/>
          <w:i/>
          <w:color w:val="000000"/>
          <w:sz w:val="20"/>
          <w:lang w:val="en-US" w:eastAsia="en-US" w:bidi="ar-SA"/>
        </w:rPr>
        <w:t>(1) Were the Solicitors Required to Recommend that the Client Obtain Independent Legal Advice?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Georgialee Lang &amp; Associates v. Wigod</w:t>
      </w:r>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2003 BCSC 1178</w:t>
        </w:r>
      </w:hyperlink>
      <w:r>
        <w:rPr>
          <w:rFonts w:ascii="arial" w:eastAsia="arial" w:hAnsi="arial" w:cs="arial"/>
          <w:color w:val="000000"/>
          <w:sz w:val="20"/>
          <w:lang w:val="en-US" w:eastAsia="en-US" w:bidi="ar-SA"/>
        </w:rPr>
        <w:t>, Nielson J. (as she then was), in considering a client's argument that he had been unduly influenced to sign a certificate of fees in favour of his solicitor, explained that the foundation of undue influence is coercion and that there is a rebuttable presumption of undue influence in a solicitor-client relationship. Specifically she notes, at para. 40:</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It was not clear to me that the client was advancing undue influence as a claim distinct from duress. I will nevertheless deal with his arguments in that context as well. The foundation of undue influence, like duress, is coercion. Given the solicitor/client relationship, it falls to the solicitor to rebut a presumption of undue influence, </w:t>
      </w:r>
      <w:r>
        <w:rPr>
          <w:rFonts w:ascii="arial" w:eastAsia="arial" w:hAnsi="arial" w:cs="arial"/>
          <w:i/>
          <w:color w:val="000000"/>
          <w:sz w:val="20"/>
          <w:lang w:val="en-US" w:eastAsia="en-US" w:bidi="ar-SA"/>
        </w:rPr>
        <w:t>Geffen v. Goodman Estate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[1991] 2 S.C.R. 353</w:t>
      </w:r>
      <w:r>
        <w:rPr>
          <w:rFonts w:ascii="arial" w:eastAsia="arial" w:hAnsi="arial" w:cs="arial"/>
          <w:color w:val="000000"/>
          <w:sz w:val="20"/>
          <w:lang w:val="en-US" w:eastAsia="en-US" w:bidi="ar-SA"/>
        </w:rPr>
        <w:t xml:space="preserve">. The presumption may be rebutted by establishing that the weaker party had honest and competent independent legal advice: </w:t>
      </w:r>
      <w:r>
        <w:rPr>
          <w:rFonts w:ascii="arial" w:eastAsia="arial" w:hAnsi="arial" w:cs="arial"/>
          <w:i/>
          <w:color w:val="000000"/>
          <w:sz w:val="20"/>
          <w:lang w:val="en-US" w:eastAsia="en-US" w:bidi="ar-SA"/>
        </w:rPr>
        <w:t>Inche Noriah v. Shaik Allie bin Omar</w:t>
      </w:r>
      <w:r>
        <w:rPr>
          <w:rFonts w:ascii="arial" w:eastAsia="arial" w:hAnsi="arial" w:cs="arial"/>
          <w:color w:val="000000"/>
          <w:sz w:val="20"/>
          <w:lang w:val="en-US" w:eastAsia="en-US" w:bidi="ar-SA"/>
        </w:rPr>
        <w:t>, [1929] A.C. 127 (P.C.).</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Waldock v. Bissett</w:t>
      </w:r>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(1992), 67 B.C.L.R. (2d) 389</w:t>
        </w:r>
      </w:hyperlink>
      <w:r>
        <w:rPr>
          <w:rFonts w:ascii="arial" w:eastAsia="arial" w:hAnsi="arial" w:cs="arial"/>
          <w:color w:val="000000"/>
          <w:sz w:val="20"/>
          <w:lang w:val="en-US" w:eastAsia="en-US" w:bidi="ar-SA"/>
        </w:rPr>
        <w:t xml:space="preserve"> (C.A.), Southin, J.A. in considering this issue confirms that independent legal advice is not, however, a requirement. Her Ladyship said at para. 28:</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Here the difficulty is two-fold: (1) There is no rule of law or equity that a solicitor entering into an agreement with his client must advise the client to obtain independent advice. Such advice is often wise for the protection of the solicitor even if not for the client. But the true obligation is to advise the client, if as here the agreement will have the effect of depriving the client of his existing legal right to performance of the earlier contract, of that legal right. ...</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Ms. Mide-Wilson was not specifically advised by HTLN that she ought to get independent legal advice before signing the CFA. In my view, however, the lack of independent legal advice in the particular circumstances of this case is not sufficient to raise the spectre of "undue influence" in connection with the CFA for a number of reasons.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Client had experience with lawyers. She knew she was not required to retain HTLN. She had other lawyers prepared to take over if she was not satisfied with HTLN right up until the time she signed the CFA. The Client originally met with Ms. Taylor at Legacy Tax + Trust Lawyers, but decided not to retain her as she felt Ms. Taylor did not have the experience necessary to defend the Action. Instead, she hired Mr. Van Ommen, a barrister and solicitor with not inconsiderable experience. She later terminated that retainer as she felt Mr. Van Ommen was not progressing quickly enough. Mr. Wilson met with Randy Hordo, Q.C., also counsel with a great deal of experience. Mr. Wilson was in favour of retaining Mr. Hordo and Mr. Hordo was willing to be retained. Ms. Mide-Wilson chose not to meet with Mr. Hordo but she was aware (from her husband) that Mr. Hordo was prepared to help out with things at anytime, should the need arise.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As I noted earlier, the Client was introduced to HTLN by Mr. Rennie. At the same time Mr. Rennie proposed HTLN to Ms. Mide-Wilson as potential counsel, he also suggested she meet with Mr. Gary Wilson of Borden Ladner Gervais. Ms. Mide-Wilson met with HTLN on Mr. Rennie's recommendation. She did not pursue a meeting with Mr. Wilson.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Although Ms. Mide-Wilson suggested in her testimony that she felt she had to go with HTLN if she wanted to have Mr. Rennie as part of her "team", that is not borne out by the evidence, especially that of Mr. Rennie who testified that he was prepared to work with anybody Ms. Mide-Wilson wished to retain, including Mr. Van Ommen, Mr. Hordo or Mr. Gary Wilson.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his testimony, Mr. Crickmore described the initial meeting between HTLN and Ms. Mide-Wilson as a "beauty pageant", meaning, I suppose, that he and Mr. Tomyn were being judged by the Client as to whether she might hire them to take over from Mr. Van Ommen. Mr. Crickmore testified (and I believed him) that he understood HTLN to be in the "beauty pageant" until at least October 28, 2008 when it appears he was given the go-ahead to file a notice of change of solicitor. At any time during that period, Ms. Mide-Wilson could have retained other counsel or sought advice on her options from Mr. Van Ommen (including suggesting to him the possibility of naming Home as a fiduciary as a strategy in the Action). In fact, Mr. Crickmore said he believed, even after she told HTLN she wished to retain them, that if the Client was not happy with his pleadings she would not continue with the retainer.</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parties agree that at some point in time prior to signing the CFA, the Solicitors explained to the Client that there were four ways they could calculate and bill fees to the Client:</w:t>
      </w:r>
      <w:r>
        <w:rPr>
          <w:rFonts w:ascii="arial" w:eastAsia="arial" w:hAnsi="arial" w:cs="arial"/>
          <w:sz w:val="18"/>
          <w:lang w:val="en-US" w:eastAsia="en-US" w:bidi="ar-SA"/>
        </w:rPr>
        <w:cr/>
      </w:r>
    </w:p>
    <w:p>
      <w:pPr>
        <w:numPr>
          <w:numId w:val="118"/>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hourly rates times hours spent;</w:t>
      </w:r>
    </w:p>
    <w:p>
      <w:pPr>
        <w:numPr>
          <w:numId w:val="119"/>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hourly rates plus a bonus for success;</w:t>
      </w:r>
    </w:p>
    <w:p>
      <w:pPr>
        <w:numPr>
          <w:numId w:val="120"/>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a contingent fee based on a percentage of settlement or recovery; and</w:t>
      </w:r>
    </w:p>
    <w:p>
      <w:pPr>
        <w:numPr>
          <w:numId w:val="121"/>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a hybrid of a contingent fee and hourly rate retainer.</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Rennie, in his testimony, recalled Mr. Tomyn specifically reviewing these four methods with Ms. Mide-Wilson and Mr. Wilson. Mr. Rennie also testified that he thought Mr. Tomyn took a very professional view in explaining to the Client the nature of a contingency fee agreement and comparing it against a fee for service agreement.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testimony is unequivocal: Carsten Mide was adamant that HTLN take on the matter on the basis of a contingent fee arrangement. The parties are also </w:t>
      </w:r>
      <w:r>
        <w:rPr>
          <w:rFonts w:ascii="arial" w:eastAsia="arial" w:hAnsi="arial" w:cs="arial"/>
          <w:i/>
          <w:color w:val="000000"/>
          <w:sz w:val="20"/>
          <w:lang w:val="en-US" w:eastAsia="en-US" w:bidi="ar-SA"/>
        </w:rPr>
        <w:t>ad idem</w:t>
      </w:r>
      <w:r>
        <w:rPr>
          <w:rFonts w:ascii="arial" w:eastAsia="arial" w:hAnsi="arial" w:cs="arial"/>
          <w:color w:val="000000"/>
          <w:sz w:val="20"/>
          <w:lang w:val="en-US" w:eastAsia="en-US" w:bidi="ar-SA"/>
        </w:rPr>
        <w:t xml:space="preserve"> that, in the end, the Client chose to retain the Solicitors on the basis of a contingent fee arrangement. On cross-examination, Mr. Wilson confirmed that he, too, was in favour of a contingent fee type of retainer as it was more "palatable" to him not to write monthly cheques for legal fees. Although Ms. Mide-Wilson intimated that she wanted to appease her father and that, rather than suggesting an alternative billing method, she went along with his wish that the Solicitors be retained on the basis of a contingency fee arrangement, I find that she had ample opportunity to consider her options and decide for or against the CFA of her own volition.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Client had the opportunity to take the draft CFA home with her over the weekend and to review it with her husband. Even after she signed it, the Solicitors told her she could forward it to Carsten Mide to review. There was no suggestion after she signed the CFA that Carsten Mide wished additional changes or was not in favour of the form of agreement agreed to between the Client and the Solicitors.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find that the Client had adequate opportunity to seek independent legal advice about the CFA. She had experience with counsel (at least in relation to the Action). She knew Mr. Wilson had friends and acquaintances in the legal field who were prepared to assist (and who could have looked at the CFA), including Mr. Hordo, who is very senior counsel. She was given ample opportunity to review the agreement with counsel between the meeting of December 5 (when she was presented with the draft contingency fee agreement) and December 8 when she and Ryan Wilson met with HTLN and signed the CFA. She understood the nature of a contingency fee agreement and had a choice of retainer methods.</w:t>
      </w:r>
      <w:r>
        <w:rPr>
          <w:rFonts w:ascii="arial" w:eastAsia="arial" w:hAnsi="arial" w:cs="arial"/>
          <w:sz w:val="18"/>
          <w:lang w:val="en-US" w:eastAsia="en-US" w:bidi="ar-SA"/>
        </w:rPr>
        <w:cr/>
      </w:r>
    </w:p>
    <w:p>
      <w:pPr>
        <w:spacing w:line="260" w:lineRule="atLeast"/>
        <w:ind w:left="1080"/>
        <w:rPr>
          <w:rFonts w:ascii="arial" w:eastAsia="arial" w:hAnsi="arial" w:cs="arial"/>
          <w:sz w:val="18"/>
          <w:lang w:val="en-US" w:eastAsia="en-US" w:bidi="ar-SA"/>
        </w:rPr>
      </w:pPr>
      <w:r>
        <w:rPr>
          <w:rFonts w:ascii="arial" w:eastAsia="arial" w:hAnsi="arial" w:cs="arial"/>
          <w:i/>
          <w:color w:val="000000"/>
          <w:sz w:val="20"/>
          <w:lang w:val="en-US" w:eastAsia="en-US" w:bidi="ar-SA"/>
        </w:rPr>
        <w:t>(2) Did the Solicitors Pressure the Client into Signing the CFA?</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As noted, the Client suggests she felt "pressured" by HTLN to sign the CFA. In her second amended statement of position, in setting out the facts surrounding the December 5, 2008</w:t>
      </w:r>
      <w:bookmarkStart w:id="277" w:name="Backward_fnref_fnr-7"/>
      <w:hyperlink w:anchor="Forward_fnref_fnr-7" w:history="1">
        <w:r>
          <w:rPr>
            <w:rFonts w:ascii="arial" w:eastAsia="arial" w:hAnsi="arial" w:cs="arial"/>
            <w:b/>
            <w:color w:val="BE161D"/>
            <w:sz w:val="20"/>
            <w:shd w:val="clear" w:color="auto" w:fill="FFFFFF"/>
            <w:vertAlign w:val="superscript"/>
            <w:lang w:val="en-US" w:eastAsia="en-US" w:bidi="ar-SA"/>
          </w:rPr>
          <w:t>7</w:t>
        </w:r>
      </w:hyperlink>
      <w:bookmarkEnd w:id="277"/>
      <w:r>
        <w:rPr>
          <w:rFonts w:ascii="arial" w:eastAsia="arial" w:hAnsi="arial" w:cs="arial"/>
          <w:color w:val="000000"/>
          <w:sz w:val="20"/>
          <w:lang w:val="en-US" w:eastAsia="en-US" w:bidi="ar-SA"/>
        </w:rPr>
        <w:t xml:space="preserve"> meeting, she says:</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The main topic of the meeting was the counterclaim, which HTLN said needed to be filed prior to Christmas, so that it would be taken seriously. HTLN advised her that the matter of fees had to be settled before they could proceed to file the counterclaim.</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On cross-examination, the Client somewhat resiled from this position and, in her closing submissions in this hearing, says:</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December 5th was a Friday, and Ms. Wilson took the draft fee agreement home with her to consider. She felt a sense of urgency to have the pleadings filed, because her own sense was that the only way she could obtain the company and keep it operating was if George Home backed down quickly. She also believed that HTLN required the fee agreement to be signed prior to the pleadings being filed.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Despite Ms. Mide-Wilson's assertion that she was pressured to sign the CFA, I do not find that any actual pressure was asserted on her. The evidence instead supports the contention that it was the Client (or at least Mr. Wilson) who was pushing to get the pleadings in place, rather than the Solicitors. For example, on November 10, 2008 Mr. Wilson sent an email to Mr. Crickmore, stating in part as follows:</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Also, George's son is very ill in the hospital. We were hoping the pleadings would be filed this week. Do you think that is possible ...?</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On cross-examination, Mr. Wilson agreed that he was pushing Mr. Crickmore to get the pleadings done and filed. He explained that he felt the illness Home's son was suffering would put more pressure on Home in the circumstances.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Also, on November 18, 2008 Ms. Mide-Wilson emailed Mr. Crickmore asking, "How are we doing Gavin?" On cross-examination, she agreed that in that email, she was prompting Mr. Crickmore with respect to the pleadings.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On November 21, 2008 Mr. Tomyn sent Mr. Crickmore this email:</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Ryan, Kirsten's husband, called Dave [Rennie] today and spent an hour bending his ear about what we are or are not doing.</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Send me a draft of the pleading so that I can review it over the weekend and we can get it filed next week.</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We also need to get the fee agreement signed.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 Crickmore testified that Ms. Mide-Wilson and Mr. Wilson wanted the matter to move forward as quickly as possible because they wanted maximum pressure put on Home. Mr. Crickmore, however, was counselling patience, "because we wanted to make sure that the documents we were creating were perfect and that we stick-handled through the sort of legal minefield as carefully as possible."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On December 5, the Client was given the pleadings Mr. Crickmore drafted to review over the weekend. Once she had those pleadings in hand, it was possible for her to take those pleadings to any other solicitor of her choosing (including Mr. Hordo who told Mr. Wilson that he was happy to assist with the Action at anytime) and have that solicitor file them as her statement of defence to the Action.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On the basis of all of the above, I am satisfied that the Solicitors did not pressure the Client to sign the CFA.</w:t>
      </w:r>
      <w:r>
        <w:rPr>
          <w:rFonts w:ascii="arial" w:eastAsia="arial" w:hAnsi="arial" w:cs="arial"/>
          <w:sz w:val="18"/>
          <w:lang w:val="en-US" w:eastAsia="en-US" w:bidi="ar-SA"/>
        </w:rPr>
        <w:cr/>
      </w:r>
    </w:p>
    <w:p>
      <w:pPr>
        <w:spacing w:line="260" w:lineRule="atLeast"/>
        <w:ind w:left="1080"/>
        <w:rPr>
          <w:rFonts w:ascii="arial" w:eastAsia="arial" w:hAnsi="arial" w:cs="arial"/>
          <w:sz w:val="18"/>
          <w:lang w:val="en-US" w:eastAsia="en-US" w:bidi="ar-SA"/>
        </w:rPr>
      </w:pPr>
      <w:r>
        <w:rPr>
          <w:rFonts w:ascii="arial" w:eastAsia="arial" w:hAnsi="arial" w:cs="arial"/>
          <w:i/>
          <w:color w:val="000000"/>
          <w:sz w:val="20"/>
          <w:lang w:val="en-US" w:eastAsia="en-US" w:bidi="ar-SA"/>
        </w:rPr>
        <w:t>(3) Did the Solicitors Convince the Client to Sign the CFA on the Basis it Would Not Apply to an Early Settlement?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Client further claims, as mentioned above, that the Solicitors told her that if the Action settled quickly, the CFA would "not be worth the paper it's written on". In that regard, she feels the Solicitors unduly influenced her to enter into CFA because she was persuaded to sign it by these assurances by HTLN.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Client says it was always understood that the best case scenario would be to settle the Action quickly; otherwise it was extremely likely that Home and Gibson would sell the assets and either keep the proceeds for themselves, or distribute them to the "widows and orphans". Because of this belief, the Client says she was concerned with what fees she might pay if (as hoped) the Action settled quickly. She claims Mr. Tomyn's statement that if the Action settled quickly the fee agreement would not be worth the paper it was written on was said in response to her raising these concerns.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Solicitors, on the other hand, contend firstly that they did not tell the Client that the CFA would not be worth the paper it was written on; and secondly, rather than expecting a quick settlement, everyone felt from the beginning that they were in it for the long haul as it was highly unlikely, especially given Home's conversation with Mr. Rennie on October 17, that Home and Gibson would cave sooner rather than later, if at all.</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will deal with this latter assertion first.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evidence supports the Solicitor's contention that the matter was not likely to settle quickly. In several emails and voice mails from Mr. Wilson to HTLN, he mentions the "long, long process" and notes that the case might take years. In cross-examination, Ms. Mide-Wilson acknowledged that she understood "on some level" at least that the Action might take years to resolve. As well, her clear instructions to HTLN were to not ever initiate settlement negotiations with Home and Gibson (as she had no interest in settling for a monetary amount) but to keep the pressure on Home, as pressuring him was the key to making Home and Gibson cave. I find that there was no expectation at the time the CFA was signed that the Action was likely to settle quickly.</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Even if everyone was of the opinion that the Action was not likely to settle quickly, did the Solicitors still unduly influence the Client to sign the CFA by telling her that, if the Action settled quickly, it would not be worth the paper it was written 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parties do not agree when the issue of a contingency fee arrangement was first discussed. The Solicitors claim the matter of fees (and how they could be calculated) was first raised at a meeting at their offices on October 28, 2008 attended by the Client, Carsten Mide, Mr. Rennie, Mr. Tomyn, Mr. Crickmore, and Ms. Teetaert.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Crickmore testified that the issue of fees was first discussed at this meeting and that, after outlining the four bases on which the firm might be compensated, the Client (and Carsten Mide) expressed a preference for a contingent fee retainer. Ms. Mide-Wilson does not deny that it was at this meeting that the issue of how the Solicitors were to be paid was first raised. However, her recollection of the specifics of it was not very clear.</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Ms. Teetaert, on direct, confirmed that there had been a general discussion about fees at this meeting. She said: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And do you recall whether fees were discussed?</w:t>
            </w:r>
          </w:p>
        </w:tc>
        <w:tc>
          <w:tcPr>
            <w:tcW w:w="1024"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Yes. After sort of the introductory conversation and discussion about the estate and assets, et cetera, there was a fee discussion. And my recollection is that Mr. Crickmore led that discussion and indicated that there were a couple of options for fees; one was a straight hourly arrangement, hourly fee arrangement, the second was a straight contingency fee arrangement, and the third was some combination of the two of those. And my recollection then is that Carsten Mide was very adamant that it be a contingency arrangement only.</w:t>
            </w:r>
          </w:p>
        </w:tc>
        <w:tc>
          <w:tcPr>
            <w:tcW w:w="1024"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When questioned as to why she recalled the fee discussion, Ms. Teetaert said that, firstly, she remembered it specifically because of how adamant Carsten Mide was in his desire to proceed on the basis of a contingent fee arrangement and; secondly, because she was surprised that HTLN would take on such a large file with such significant risk given the size of the HTLN firm.</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 Tomyn's notes made at the meeting confirm that, on October 28, four fee options were outlined and discussed. They also confirm the Client's preference for a contingent fee arrangement ("Option 4").</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In my opinion, the evidence supports the Solicitor's contention that it was at this October 28 meeting when the Solicitors and the Client agreed to a retainer on the basis of a contingency fee. However, I find that no precise terms (other than that the retainer would be a contingent fee retainer) were discussed or agreed to at the meeting.</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next time the issue of fees was discussed between the parties was at the December 5 meeting. It was at that meeting that Mr. Tomyn presented a draft contingency fee agreement to the Client.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On December 3, 2008, Ms. Mide-Wilson emailed Mr. Crickmore:</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Hi Gavin, we are going to have to meet Friday to discuss fees as Carsten is leaving on Sunday for a month, and he needs to be there. Is it possible to meet Friday morning? It works best for Ryan and I as well. Let me know.</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Kirsten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her closing submissions, Ms. Mide-Wilson says:</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The primary purpose of the December 5 meeting was to review the draft Statement of Defence and Counterclaim. There was a brief discussion of different ways of billing lawyers' fees, and HTLN presented Ms. Wilson with a draft contingency agreement. In rough terms, that Fee Agreement would give HTLN 20% of the first $4,000,000 of any settlement plus one third of the balance, or one third of a judgment.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While I agree that one of the focuses of the December 5 meeting was to review the draft pleadings, the other was to deal with the fee arrangement and obtain a signed fee agreement with the Client. It was the Client herself (in the email I have reproduced) who confirmed the need to meet to deal with fees before Carsten Mide left for Hawaii.</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It is also the case that, on December 5, little was done in relation to the fee arrangements, other than HTLN presenting a draft of a fee agreement to the Client. It was really on December 8, 2008 that the issue was "resolved".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Each of Mr. Wilson, Ms. Mide-Wilson and Mr. Rennie testified that during the meeting on December 8, 2008 when discussing the CFA, Mr. Tomyn said that if the matter settled quickly, the CFA "would not be worth the paper it was written 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On cross-examination Mr. Tomyn denied having used those words: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First of all, I'm advised that Ms. Wilson, or Mr. Wilson asked you more than once, what if this settles quickly and that you reassured her that if this matter settles quickly or promptly, this agreement is not worth the paper it's written on. Do you recall an exchange like that?</w:t>
            </w:r>
          </w:p>
        </w:tc>
        <w:tc>
          <w:tcPr>
            <w:tcW w:w="1024"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There was no such exchange.</w:t>
            </w:r>
          </w:p>
        </w:tc>
        <w:tc>
          <w:tcPr>
            <w:tcW w:w="1024" w:type="dxa"/>
            <w:tcBorders>
              <w:bottom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So obviously you deny that?</w:t>
            </w:r>
          </w:p>
        </w:tc>
        <w:tc>
          <w:tcPr>
            <w:tcW w:w="1024" w:type="dxa"/>
            <w:tcBorders>
              <w:bottom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Mr. Tomyn did testify to an exchange between himself and the Client (and Mr. Wilson) wherein he advised both Ms. Mide-Wilson and Mr. Wilson that, if the fee charged by the Solicitors under a fee agreement between them was too high, the Client had the right to have the agreement and the fee itself reviewed by the court or a registrar.</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Based on the evidence before me, I think it is more likely than not that Mr. Tomyn told the Client that, if the matter settled quickly, the agreement would not be of any force and effect and that he likely used the colloquial expression "it's not worth the paper it's written 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That, however, in and of itself, does not then lead one to the conclusion sought by the Client: that that assurance makes HTLN "guilty" of unduly influencing the Client to sign the CFA or of taking unfair advantage of her. That determination is a question of fact that I must decide in considering </w:t>
      </w:r>
      <w:r>
        <w:rPr>
          <w:rFonts w:ascii="arial" w:eastAsia="arial" w:hAnsi="arial" w:cs="arial"/>
          <w:color w:val="000000"/>
          <w:sz w:val="20"/>
          <w:u w:val="single"/>
          <w:lang w:val="en-US" w:eastAsia="en-US" w:bidi="ar-SA"/>
        </w:rPr>
        <w:t>all</w:t>
      </w:r>
      <w:r>
        <w:rPr>
          <w:rFonts w:ascii="arial" w:eastAsia="arial" w:hAnsi="arial" w:cs="arial"/>
          <w:color w:val="000000"/>
          <w:sz w:val="20"/>
          <w:lang w:val="en-US" w:eastAsia="en-US" w:bidi="ar-SA"/>
        </w:rPr>
        <w:t xml:space="preserve"> of the circumstances leading up to and surrounding the signing of the CFA by the Client, some of which I have outlined above and others which are set out below.</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Following the exchange about the retainer arrangements, Ms. Mide-Wilson and Mr. Wilson went to the coffee shop on the main floor of the building in which HTLN's offices are located. During that meeting they spoke to Mr. Rennie (although the evidence is clear that Mr. Rennie was not with them for the entire time). Mr. Rennie's testimony on this point (which I preferred over that of Ms. Mide-Wilson) was that, when asked to provide advice on the CFA, he said, "Well, you heard what Harry [Tomyn] said, and if you can rely on those words, you should sign the contingency fee agreement and if you cannot, then you should not sign it." When questioned, Mr. Rennie noted that by "those words", he was referring to Mr. Tomyn's comment about the agreement not being worth the paper it was written on if the matter settled quickly.</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After their coffee, Ms. Mide-Wilson and Mr. Wilson returned to HTLN's offices. Mr. Wilson then negotiated some changes to the draft contingency fee agreement. All told, four substantive changes were made. The Solicitors have summarised these changes in their final written submissions as follows:</w:t>
      </w:r>
      <w:r>
        <w:rPr>
          <w:rFonts w:ascii="arial" w:eastAsia="arial" w:hAnsi="arial" w:cs="arial"/>
          <w:sz w:val="18"/>
          <w:lang w:val="en-US" w:eastAsia="en-US" w:bidi="ar-SA"/>
        </w:rPr>
        <w:cr/>
      </w:r>
    </w:p>
    <w:p>
      <w:pPr>
        <w:numPr>
          <w:numId w:val="122"/>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Appeals: while the original draft did not cover appeals, the final CFA covers all appeals except those from a trial which Kirsten Wilson lost and for which HTLN advised that HTLN did not wish to act;</w:t>
      </w:r>
    </w:p>
    <w:p>
      <w:pPr>
        <w:numPr>
          <w:numId w:val="123"/>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Contingency Percentages: Both the draft agreement and the signed CFA describe a contingency fee as involving a percentage of the recovery, and both contained these words: "You have asked us to act for you, and we agree to act, on a contingency fee basis." However, under the December 4 draft agreement, the contingency is 20% of the first $4 million of any settlement plus 1/3 of the balance, along with 1/3 of any settlement within 42 days of the first day of trial, and 1/3 of judgment. By contrast, in the signed CFA, the contingency is 20% of any settlement entered into before December 9, 2009, 25% of any settlement entered into the next two years, and 1/3 of any settlement entered into on the third anniversary, within six weeks of the first day of trial, or 1/3 of any judgment;</w:t>
      </w:r>
    </w:p>
    <w:p>
      <w:pPr>
        <w:numPr>
          <w:numId w:val="124"/>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Photocopying and Scanning: in the draft agreement, Kirsten Wilson is responsible for all photocopying and scanning costs. By contrast, in the signed CFA, HTLN commits that it will not charge Kirsten Wilson for photocopying and scanning costs unless and to the extent that they are included in any judgment;</w:t>
      </w:r>
    </w:p>
    <w:p>
      <w:pPr>
        <w:numPr>
          <w:numId w:val="125"/>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Expert Authorization: the draft agreement provides a blanket authorization to HTLN to hire such experts as HTLN considers appropriate. By contrast, the signed CFA states that HTLN will not incur a disbursement of more than $1,000 for an expert without Kirsten Wilson's prior authorization.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 note that the Client does not dispute that these changes were negotiated and made to the draft agreement between December 5 (when it was first presented to the Client) and December 8 (when the CFA was signed).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Before signing the CFA, the Client did not seek to have the basic terms of the retainer (that it was to be on the basis of a contingent fee) changed, even though there is no doubt that she had some concerns about what the fees might be if the matter settled quickly. She was aware of the possibility of paying her counsel on an hourly rate basis. She had an agreement to pay Mr. Van Ommen on that basis; she had a letter from Ms. Taylor of Legacy Tax + Trust Lawyers confirming that, if she retained that law firm, she would pay hourly fees (at $320 per hour). Ms. Mide-Wilson was also aware that Mr. Hordo had told Mr. Wilson that she could expect to pay fees in the range of $2 million if the matter went to trial, then appeal and (perhaps) to the Supreme Court of Canada. While I do believe Ms. Mide-Wilson understood that if she felt the fees were excessive in the end, she had the right to have them reviewed, that was not a determinative factor in her decision to proceed by way of a contingent fee and it cannot be used, in my view, as a basis for finding the CFA unfair.</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In her submissions on this point, the Client relied on </w:t>
      </w:r>
      <w:r>
        <w:rPr>
          <w:rFonts w:ascii="arial" w:eastAsia="arial" w:hAnsi="arial" w:cs="arial"/>
          <w:i/>
          <w:color w:val="000000"/>
          <w:sz w:val="20"/>
          <w:lang w:val="en-US" w:eastAsia="en-US" w:bidi="ar-SA"/>
        </w:rPr>
        <w:t>Zipchen v. Bainbridge</w:t>
      </w:r>
      <w:r>
        <w:rPr>
          <w:rFonts w:ascii="arial" w:eastAsia="arial" w:hAnsi="arial" w:cs="arial"/>
          <w:color w:val="000000"/>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2008 SKCA 87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Zipchen</w:t>
      </w:r>
      <w:r>
        <w:rPr>
          <w:rFonts w:ascii="arial" w:eastAsia="arial" w:hAnsi="arial" w:cs="arial"/>
          <w:color w:val="000000"/>
          <w:sz w:val="20"/>
          <w:lang w:val="en-US" w:eastAsia="en-US" w:bidi="ar-SA"/>
        </w:rPr>
        <w:t xml:space="preserve">]. In that case, in reviewing a contingent fee arrangement between a client and a solicitor, the Court of Appeal for Saskatchewan upheld a decision of the trial judge (who was the taxing officer) setting aside a fee agreement on the grounds that it was unfair. In </w:t>
      </w:r>
      <w:r>
        <w:rPr>
          <w:rFonts w:ascii="arial" w:eastAsia="arial" w:hAnsi="arial" w:cs="arial"/>
          <w:i/>
          <w:color w:val="000000"/>
          <w:sz w:val="20"/>
          <w:lang w:val="en-US" w:eastAsia="en-US" w:bidi="ar-SA"/>
        </w:rPr>
        <w:t>Zipchen</w:t>
      </w:r>
      <w:r>
        <w:rPr>
          <w:rFonts w:ascii="arial" w:eastAsia="arial" w:hAnsi="arial" w:cs="arial"/>
          <w:color w:val="000000"/>
          <w:sz w:val="20"/>
          <w:lang w:val="en-US" w:eastAsia="en-US" w:bidi="ar-SA"/>
        </w:rPr>
        <w:t xml:space="preserve">, the trial judge (see </w:t>
      </w:r>
      <w:hyperlink r:id="rId728" w:history="1">
        <w:r>
          <w:rPr>
            <w:rFonts w:ascii="arial" w:eastAsia="arial" w:hAnsi="arial" w:cs="arial"/>
            <w:i/>
            <w:color w:val="0077CC"/>
            <w:sz w:val="20"/>
            <w:u w:val="single"/>
            <w:shd w:val="clear" w:color="auto" w:fill="FFFFFF"/>
            <w:lang w:val="en-US" w:eastAsia="en-US" w:bidi="ar-SA"/>
          </w:rPr>
          <w:t>2005 SKQB 218</w:t>
        </w:r>
      </w:hyperlink>
      <w:r>
        <w:rPr>
          <w:rFonts w:ascii="arial" w:eastAsia="arial" w:hAnsi="arial" w:cs="arial"/>
          <w:color w:val="000000"/>
          <w:sz w:val="20"/>
          <w:lang w:val="en-US" w:eastAsia="en-US" w:bidi="ar-SA"/>
        </w:rPr>
        <w:t xml:space="preserve">) found that undue advantage had been taken by the solicitor in the circumstances, although it was inadvertent rather than deliberate. In reviewing the trial judge's findings in </w:t>
      </w:r>
      <w:r>
        <w:rPr>
          <w:rFonts w:ascii="arial" w:eastAsia="arial" w:hAnsi="arial" w:cs="arial"/>
          <w:i/>
          <w:color w:val="000000"/>
          <w:sz w:val="20"/>
          <w:lang w:val="en-US" w:eastAsia="en-US" w:bidi="ar-SA"/>
        </w:rPr>
        <w:t>Zipchen</w:t>
      </w:r>
      <w:r>
        <w:rPr>
          <w:rFonts w:ascii="arial" w:eastAsia="arial" w:hAnsi="arial" w:cs="arial"/>
          <w:color w:val="000000"/>
          <w:sz w:val="20"/>
          <w:lang w:val="en-US" w:eastAsia="en-US" w:bidi="ar-SA"/>
        </w:rPr>
        <w:t>, the Court of Appeal says, at para. 38:</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Another feature that struck a chord with the trial judge was the solicitor's attempt to mollify the client by indicating that a court could in any event review the agreement and substitute an hourly rate if the agreement was not fair or reasonable. This was seen by the trial judge as a significant inducement to the client.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In my view, however, the decision in </w:t>
      </w:r>
      <w:r>
        <w:rPr>
          <w:rFonts w:ascii="arial" w:eastAsia="arial" w:hAnsi="arial" w:cs="arial"/>
          <w:i/>
          <w:color w:val="000000"/>
          <w:sz w:val="20"/>
          <w:lang w:val="en-US" w:eastAsia="en-US" w:bidi="ar-SA"/>
        </w:rPr>
        <w:t>Zipchen</w:t>
      </w:r>
      <w:r>
        <w:rPr>
          <w:rFonts w:ascii="arial" w:eastAsia="arial" w:hAnsi="arial" w:cs="arial"/>
          <w:color w:val="000000"/>
          <w:sz w:val="20"/>
          <w:lang w:val="en-US" w:eastAsia="en-US" w:bidi="ar-SA"/>
        </w:rPr>
        <w:t xml:space="preserve"> is distinguishable. The suggestion made by the lawyer to the client in </w:t>
      </w:r>
      <w:r>
        <w:rPr>
          <w:rFonts w:ascii="arial" w:eastAsia="arial" w:hAnsi="arial" w:cs="arial"/>
          <w:i/>
          <w:color w:val="000000"/>
          <w:sz w:val="20"/>
          <w:lang w:val="en-US" w:eastAsia="en-US" w:bidi="ar-SA"/>
        </w:rPr>
        <w:t>Zipchen</w:t>
      </w:r>
      <w:r>
        <w:rPr>
          <w:rFonts w:ascii="arial" w:eastAsia="arial" w:hAnsi="arial" w:cs="arial"/>
          <w:color w:val="000000"/>
          <w:sz w:val="20"/>
          <w:lang w:val="en-US" w:eastAsia="en-US" w:bidi="ar-SA"/>
        </w:rPr>
        <w:t xml:space="preserve"> that the fee agreement was reviewable was part of the totality of the evidence relied on by the trial judge to set aside the agreement. In </w:t>
      </w:r>
      <w:r>
        <w:rPr>
          <w:rFonts w:ascii="arial" w:eastAsia="arial" w:hAnsi="arial" w:cs="arial"/>
          <w:i/>
          <w:color w:val="000000"/>
          <w:sz w:val="20"/>
          <w:lang w:val="en-US" w:eastAsia="en-US" w:bidi="ar-SA"/>
        </w:rPr>
        <w:t>Zipchen</w:t>
      </w:r>
      <w:r>
        <w:rPr>
          <w:rFonts w:ascii="arial" w:eastAsia="arial" w:hAnsi="arial" w:cs="arial"/>
          <w:color w:val="000000"/>
          <w:sz w:val="20"/>
          <w:lang w:val="en-US" w:eastAsia="en-US" w:bidi="ar-SA"/>
        </w:rPr>
        <w:t>, the Court of Appeal found at para. 57:</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The onus is upon the solicitor to satisfy the Court the agreement is fair. As the trial judge underscored, it was the solicitor pressing for a contingency arrangement at a point in time where he had the distinct advantage of being able to conduct a meaningful risk/reward assessment against an established backdrop of evidence. It was five years or more post-accident. Liability had been admitted. Much information had been amassed by the client herself. This stands in contrast to the common experience, where the contingency arrangement is concluded at the onset of litigation, and the risks and rewards of litigation are far less predictable.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 my view, considering the totality of the circumstances surrounding the signing of the CFA, HTLN's comments do not amount to "undue influence".</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i/>
          <w:color w:val="000000"/>
          <w:sz w:val="20"/>
          <w:lang w:val="en-US" w:eastAsia="en-US" w:bidi="ar-SA"/>
        </w:rPr>
        <w:t>c. Did HTLN take Unfair Advantage of the Client?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At the time she signed the CFA, the Client was aware of the risks inherent in the Action. She had also had the benefit of many meetings with Mr. Crickmore wherein she told him her life story and he advised her of his opinion on the merits of her claim. She had the benefit of discussing the provisions of the proposed contingency fee agreement with her father on December 5, and with Mr. Wilson both over the weekend and again on December 8, as he attended the meeting at HTLN with her. She asked Mr. Rennie (whom she claims to have relied on) his opinion about it. The Solicitors did tell her that they would treat her fairly in relation to their fees, and no doubt that was a factor in her signing the CFA, but I cannot say that the Solicitors took "unfair advantage" of her by telling her this. They had a legal obligation to impart to their Client the methodology for calculating their fees and to advise her of her rights to have the fee agreement (and the ultimate) fees reviewed if she wished. They fulfilled that obligation. Accordingly, I find that the Solicitors did not, in any way, take unfair advantage of Ms. Mide-Wilson in respect of the CFA.</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i/>
          <w:color w:val="000000"/>
          <w:sz w:val="20"/>
          <w:lang w:val="en-US" w:eastAsia="en-US" w:bidi="ar-SA"/>
        </w:rPr>
        <w:t>d. Was a Mistake Made in the Formation of the Contract?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Both Ms. Mide-Wilson and Mr. Wilson testified that they believed the CFA would not apply if the Client were successful in the Action and gained control of JCL. In fact, Ms. Mide-Wilson specifically said she thought the CFA would only apply if she received a cash settlement from Home and Gibson. She also says that the Solicitors never enlightened her as to their understanding of the CFA as they assert it; which is that the CFA applies to any settlement, including a settlement under which she gained control of JCL and became the trustee of the Jack Cewe Alter Ego Trust.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On the other hand, the Solicitors state that there can be no mistake made in the formation of the CFA as Ms. Mide-Wilson:</w:t>
      </w:r>
      <w:r>
        <w:rPr>
          <w:rFonts w:ascii="arial" w:eastAsia="arial" w:hAnsi="arial" w:cs="arial"/>
          <w:sz w:val="18"/>
          <w:lang w:val="en-US" w:eastAsia="en-US" w:bidi="ar-SA"/>
        </w:rPr>
        <w:cr/>
      </w:r>
    </w:p>
    <w:p>
      <w:pPr>
        <w:numPr>
          <w:numId w:val="126"/>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was informed of all aspects of the CFA on a clause by clause basis; and</w:t>
      </w:r>
    </w:p>
    <w:p>
      <w:pPr>
        <w:numPr>
          <w:numId w:val="127"/>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understood the contents of the CFA and fully appreciated its nature.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They say as well that:</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When the CFA is viewed from the perspective of the unequivocal instructions given to HTLN, all of the now supported and subjectively stated "misunderstandings" on the part of Ms. Wilson as to the applicability of the CFA are patently absurd.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Solicitors have the onus of proving the retainer and, where there is a dispute between a solicitor and his client about the terms of the retainer, the words of the client are generally to be given more weight:</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the word of the client is to be accepted, or at least given more weight, unless there is some evidence to corroborate the word of the solicitor, or which tends to support the solicitor's evidence.</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Any ambiguity in the fee contract will be resolved against the lawyer on the basis of the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rule...</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[Allan J. in </w:t>
      </w:r>
      <w:r>
        <w:rPr>
          <w:rFonts w:ascii="arial" w:eastAsia="arial" w:hAnsi="arial" w:cs="arial"/>
          <w:i/>
          <w:color w:val="000000"/>
          <w:sz w:val="20"/>
          <w:lang w:val="en-US" w:eastAsia="en-US" w:bidi="ar-SA"/>
        </w:rPr>
        <w:t>380876 British Columbia Ltd. v. Ron Perrick Law Corp</w:t>
      </w:r>
      <w:r>
        <w:rPr>
          <w:rFonts w:ascii="arial" w:eastAsia="arial" w:hAnsi="arial" w:cs="arial"/>
          <w:color w:val="000000"/>
          <w:sz w:val="20"/>
          <w:lang w:val="en-US" w:eastAsia="en-US" w:bidi="ar-SA"/>
        </w:rPr>
        <w:t xml:space="preserve">, </w:t>
      </w:r>
      <w:hyperlink r:id="rId729" w:history="1">
        <w:r>
          <w:rPr>
            <w:rFonts w:ascii="arial" w:eastAsia="arial" w:hAnsi="arial" w:cs="arial"/>
            <w:i/>
            <w:color w:val="0077CC"/>
            <w:sz w:val="20"/>
            <w:u w:val="single"/>
            <w:shd w:val="clear" w:color="auto" w:fill="FFFFFF"/>
            <w:lang w:val="en-US" w:eastAsia="en-US" w:bidi="ar-SA"/>
          </w:rPr>
          <w:t>2009 BCSC 601</w:t>
        </w:r>
      </w:hyperlink>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Ron Perrick</w:t>
      </w:r>
      <w:r>
        <w:rPr>
          <w:rFonts w:ascii="arial" w:eastAsia="arial" w:hAnsi="arial" w:cs="arial"/>
          <w:color w:val="000000"/>
          <w:sz w:val="20"/>
          <w:lang w:val="en-US" w:eastAsia="en-US" w:bidi="ar-SA"/>
        </w:rPr>
        <w:t xml:space="preserve">] at para. 133, citing Master Halbert in </w:t>
      </w:r>
      <w:r>
        <w:rPr>
          <w:rFonts w:ascii="arial" w:eastAsia="arial" w:hAnsi="arial" w:cs="arial"/>
          <w:i/>
          <w:color w:val="000000"/>
          <w:sz w:val="20"/>
          <w:lang w:val="en-US" w:eastAsia="en-US" w:bidi="ar-SA"/>
        </w:rPr>
        <w:t>Coates v. Buchholz and Arbutus Bay Estates Ltd.</w:t>
      </w:r>
      <w:r>
        <w:rPr>
          <w:rFonts w:ascii="arial" w:eastAsia="arial" w:hAnsi="arial" w:cs="arial"/>
          <w:color w:val="000000"/>
          <w:sz w:val="20"/>
          <w:lang w:val="en-US" w:eastAsia="en-US" w:bidi="ar-SA"/>
        </w:rPr>
        <w:t xml:space="preserve"> (9 September 1991), Victoria 903846 at 3 (B.C.S.C.)]</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relevant provisions of the CFA are:</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u w:val="single"/>
          <w:lang w:val="en-US" w:eastAsia="en-US" w:bidi="ar-SA"/>
        </w:rPr>
        <w:t>FEES</w:t>
      </w:r>
    </w:p>
    <w:p>
      <w:pPr>
        <w:spacing w:before="120" w:line="260" w:lineRule="atLeast"/>
        <w:ind w:left="720"/>
        <w:rPr>
          <w:rFonts w:ascii="arial" w:eastAsia="arial" w:hAnsi="arial" w:cs="arial"/>
          <w:sz w:val="18"/>
          <w:lang w:val="en-US" w:eastAsia="en-US" w:bidi="ar-SA"/>
        </w:rPr>
      </w:pPr>
      <w:r>
        <w:rPr>
          <w:rFonts w:ascii="arial" w:eastAsia="arial" w:hAnsi="arial" w:cs="arial"/>
          <w:i/>
          <w:color w:val="000000"/>
          <w:sz w:val="20"/>
          <w:lang w:val="en-US" w:eastAsia="en-US" w:bidi="ar-SA"/>
        </w:rPr>
        <w:t>Contingency Fee</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Legal fees may be billed in the following ways or a combination of the following ways: (a) by hourly rates multiplied by time spent, which fee is payable regardless of the outcome of the case; (b) a reasonable fee with reference to factors set out in the Legal Profession Act, which fee is payable regardless of the outcome of the case; and (c) as a percentage of the recovery, which is called a contingency fee.</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You have asked us to act for you, and we agree to act, on a contingency fee basis.</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Our fee will be whichever of the following is applicable:</w:t>
      </w:r>
    </w:p>
    <w:p>
      <w:pPr>
        <w:numPr>
          <w:numId w:val="128"/>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20% of any settlement entered into before December 9, 2009; or</w:t>
      </w:r>
    </w:p>
    <w:p>
      <w:pPr>
        <w:numPr>
          <w:numId w:val="129"/>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25% of any settlement entered into after December 8, 2009 and before December 9, 2011; or</w:t>
      </w:r>
    </w:p>
    <w:p>
      <w:pPr>
        <w:numPr>
          <w:numId w:val="130"/>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one-third of any settlement entered into on the earlier of:</w:t>
      </w:r>
    </w:p>
    <w:p>
      <w:pPr>
        <w:numPr>
          <w:numId w:val="131"/>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December 9, 2011 or thereafter; and</w:t>
      </w:r>
    </w:p>
    <w:p>
      <w:pPr>
        <w:numPr>
          <w:numId w:val="131"/>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six weeks before the first day of trial of any issue; or</w:t>
      </w:r>
    </w:p>
    <w:p>
      <w:pPr>
        <w:numPr>
          <w:numId w:val="132"/>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one-third of any judgment.</w:t>
      </w:r>
    </w:p>
    <w:p>
      <w:pPr>
        <w:spacing w:before="120" w:line="260" w:lineRule="atLeast"/>
        <w:ind w:left="720"/>
        <w:rPr>
          <w:rFonts w:ascii="arial" w:eastAsia="arial" w:hAnsi="arial" w:cs="arial"/>
          <w:sz w:val="18"/>
          <w:lang w:val="en-US" w:eastAsia="en-US" w:bidi="ar-SA"/>
        </w:rPr>
      </w:pPr>
      <w:r>
        <w:rPr>
          <w:rFonts w:ascii="arial" w:eastAsia="arial" w:hAnsi="arial" w:cs="arial"/>
          <w:i/>
          <w:color w:val="000000"/>
          <w:sz w:val="20"/>
          <w:lang w:val="en-US" w:eastAsia="en-US" w:bidi="ar-SA"/>
        </w:rPr>
        <w:t>Party and Party Costs</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If we successfully settle your claim or win at trial, we will seek "costs" from the other parties to help cover some of our legal fees and disbursements.</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If we win at trial, you will receive the full amount of such costs that are recovered, since they are not included in the calculation of our fee. However, the costs amount is relatively small and cannot be counted on as any significant reimbursement to you for your actual legal costs.</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Also, a settlement often ends up being one lump sum amount inclusive of all amounts claimed including legal costs and disbursements, and in such a case our percentage fee will be calculated on the settlement amount less our disbursements.</w:t>
      </w:r>
    </w:p>
    <w:p>
      <w:pPr>
        <w:spacing w:before="120" w:line="260" w:lineRule="atLeast"/>
        <w:ind w:left="720"/>
        <w:rPr>
          <w:rFonts w:ascii="arial" w:eastAsia="arial" w:hAnsi="arial" w:cs="arial"/>
          <w:sz w:val="18"/>
          <w:lang w:val="en-US" w:eastAsia="en-US" w:bidi="ar-SA"/>
        </w:rPr>
      </w:pPr>
      <w:r>
        <w:rPr>
          <w:rFonts w:ascii="arial" w:eastAsia="arial" w:hAnsi="arial" w:cs="arial"/>
          <w:b/>
          <w:color w:val="000000"/>
          <w:sz w:val="20"/>
          <w:u w:val="single"/>
          <w:lang w:val="en-US" w:eastAsia="en-US" w:bidi="ar-SA"/>
        </w:rPr>
        <w:t>Payment of Settlement or Judgment</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Any money from a settlement or judgment, including costs, will be paid directly to us in trust. We will deduct our fee, our disbursements, GST, and PST from any such amount.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Solicitors argue that "settlement" can only mean what actually happened here and that the Client's "interpretation" is absurd. In her testimony, the Client confirmed that Mr. Tomyn reviewed the CFA with her and that she read it before signing it. There is no doubt on the evidence that the Client understood that the CFA provided for fees to be paid to HTLN on the basis of a contingency fee (i.e. as a percentage of the recovery). She had experience with lawyers in the past (Van Ommen) who billed on an hourly basis. She could afford to pay hourly rates if she wished to. She was told by Mr. Tomyn the alternatives for billing and she chose the contingent arrangement.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Client agreed that at the time she signed the CFA she was not interested in a monetary settlement. The Action was not about money. Her primary focus was the company. In fact during her cross-examination she said :</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I wanted George [Home] and Alice [Gibson] gone, and I wanted them to get out of our family affairs.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Client signed the CFA on December 8. The last page of the CFA (above the Client's signature) contains the statement:</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I have carefully read, fully understand and agree to the above terms.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Solicitors submit it is "unpalatable" for the Client to seek to have the CFA set aside as unreasonable or unfair in the circumstances of this case. I agree with the Solicitor's submissions. Here, the balance of the evidence supports the Solicitors. In my view, it would create a commercial absurdity if I were to find that the CFA was not intended to apply if the Solicitors were completely successful in carrying out the exact terms of their retainer in circumstances where, as here, the Client understood the basic nature of a contingent fee arrangement in general and in the face of her testimony that she had one goal and one goal only: to get the company back. Her interpretation simply cannot be upheld.</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i/>
          <w:color w:val="000000"/>
          <w:sz w:val="20"/>
          <w:lang w:val="en-US" w:eastAsia="en-US" w:bidi="ar-SA"/>
        </w:rPr>
        <w:t>e. Was There any Other Flaw in the Formation of the Contract?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Finally, the Client submits that the CFA must be found to be unfair as, if it were to apply to the circumstances where she gained control of the company, the CFA itself would negate the very objective for which she retained the Solicitors. Specifically she says:</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If the Fee Agreement applied to the value of the company, then the company would have to be sold to pay the lawyers, thereby triggering the very event she was seeking to avoid. Ms. Wilson simply did not believe that her lawyers would seek to have her enter into a Fee Agreement that could itself prevent her from attaining her objective.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In this regard the Client submits that if the CFA is construed in such a manner as to have it apply to the situation where she gained control of the company, then she was mistaken when she signed the CFA as she did not understand the CFA to apply in those circumstances.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Solicitors, on the other hand, reiterate that the Client's contention (that the CFA would not apply if the Solicitors achieved the Client's ultimate goal of regaining control of the company) would render the CFA a commercial absurdity. To give heed to the Client's submission on this would render the CFA meaningless as, in the Client's eyes, there was no other "settlement" possible than a settlement in which she regained control of the company.</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As I noted earlier, there is no doubt that it was the Client who chose a contingent fee arrangement. Mr. Rennie (who testified that he had "no dog in this fight") confirmed that Mr. Tomyn had, very professionally, reviewed with Ms. Mide-Wilson her options in respect of retaining counsel. Mr. Tomyn's notes of the October 28, 2008 meeting note:</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They prefer a pure contingency fee ("Option 4").</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At the time a contingency fee retainer was first discussed, the Client knew she had one goal and only one goal: get the company back. This is supported by her email to Mr. Crickmore of November 26, 2008 wherein she said (among other things):</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The other thing, and I don't know anything about how the actual pleadings go, but can it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possible to stress our desire and ability to keep the company going as per Jack's intentions contrary to George's and Alice's? Do you get into my, Ryan's or my Dad's credentials? Such as I set up at least a $1M+ worth of business systems there and know the business intimately (save dealing with the accountants and the lawyers or lack thereof), as per my grandfather's perspective. Ryan would be willing to leave a $700G job (for your info only please) to keep things running, and my Dad is currently trying to rid himself of a $60M project in Alberta ...</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Certainly before the CFA was signed, the Client had expressed a preference to HTLN to retain them on a contingent fee basis and, at the time she expressed that preference, she had an intention to keep the company going. She was aware what a contingent fee meant (and the meaning is expressed in the CFA itself as a "percentage of the recovery", not as a percentage of any settlement monies that might be paid to her). "Recovery" was anticipated (and hoped) to be recovery of the company as a going concern. To hold otherwise makes no sense in the context of this particular retainer.</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As to the Client's ability (or lack of ability) to pay the Solicitors if she succeeded in getting the company back, the Client advised HTLN that she could pay fees on an hourly basis but she preferred a contingent fee arrangement. The Client and Mr. Wilson own a substantial home of their own in Burnaby. Mr. Wilson's income is significant. Carsten Mide is a man of some means. The Client had an idea (from Mr. Hordo) that to take the Action to the Supreme Court of Canada might cost in the neighbourhood of $2,000,000. She was paying Mr. Van Ommen on an hourly basis at $500 per hour. She certainly understood the potential cost of the litigation. At the time she signed the CFA she anticipated that if she was successful in the Action she would receive assets worth approximately $100,000,000, including some more "liquid" assets such as Jack Cewe's home in Port Moody worth some $2-3 million, plus cash of $500,000 from the Jack Cewe Estate.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Ms. Mide-Wilson told HTLN on more than one occasion that she did not need the money; that the Action was not about money; rather, it was about regaining her legacy. I expect however, that Ms. Mide-Wilson did not turn her mind to the actual amount that she might pay if HTLN were successful on their retainer (i.e. she did not do the math to determine that 20% of $100,000, 000 - the amount the parties all seemed to assume was the value of the company - would be $20,000,000) but that was always open to her.</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In my view, the Client's argument on this issue must also fail for the reasons outlined above. Accordingly, I find that there was no "other flaw" in the formation of the contract.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Having reviewed all of the factors that I must consider in respect of the "fairness" of the CFA, I must conclude that, at the time it was entered into, the CFA was fair.</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color w:val="000000"/>
          <w:sz w:val="20"/>
          <w:lang w:val="en-US" w:eastAsia="en-US" w:bidi="ar-SA"/>
        </w:rPr>
        <w:t>2. Was the CFA Reasonable at the Time It was Entered Into?</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Having determined the CFA is fair; I now must consider whether it is reasonable. In </w:t>
      </w:r>
      <w:r>
        <w:rPr>
          <w:rFonts w:ascii="arial" w:eastAsia="arial" w:hAnsi="arial" w:cs="arial"/>
          <w:i/>
          <w:color w:val="000000"/>
          <w:sz w:val="20"/>
          <w:lang w:val="en-US" w:eastAsia="en-US" w:bidi="ar-SA"/>
        </w:rPr>
        <w:t>Commonwealth No. 1</w:t>
      </w:r>
      <w:r>
        <w:rPr>
          <w:rFonts w:ascii="arial" w:eastAsia="arial" w:hAnsi="arial" w:cs="arial"/>
          <w:color w:val="000000"/>
          <w:sz w:val="20"/>
          <w:lang w:val="en-US" w:eastAsia="en-US" w:bidi="ar-SA"/>
        </w:rPr>
        <w:t xml:space="preserve"> the Court of Appeal held, at p. 19:</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The second enquiry, assuming the contract is found to be "fair" involves an investigation of the "reasonableness" of the contract. On this investigation, extending from the time of the making of the contract until its termination or its completion, all of the ordinary factors which are involved in the determination of the amount a lawyer may charge a client are to be considered, and each factor may be the subject of professional evidence to assist the judge in determining the reasonableness of the fee in the particular circumstances.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As I have already noted, the timing for embarking on a review of the "reasonableness" of the contract between a lawyer and his client was confirmed but somewhat modified by Levine J. in </w:t>
      </w:r>
      <w:r>
        <w:rPr>
          <w:rFonts w:ascii="arial" w:eastAsia="arial" w:hAnsi="arial" w:cs="arial"/>
          <w:i/>
          <w:color w:val="000000"/>
          <w:sz w:val="20"/>
          <w:lang w:val="en-US" w:eastAsia="en-US" w:bidi="ar-SA"/>
        </w:rPr>
        <w:t>Randall</w:t>
      </w:r>
      <w:r>
        <w:rPr>
          <w:rFonts w:ascii="arial" w:eastAsia="arial" w:hAnsi="arial" w:cs="arial"/>
          <w:color w:val="000000"/>
          <w:sz w:val="20"/>
          <w:lang w:val="en-US" w:eastAsia="en-US" w:bidi="ar-SA"/>
        </w:rPr>
        <w:t>. At paragraph 36, Her Ladyship notes:</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In my opinion, the two-step process outlined in </w:t>
      </w:r>
      <w:r>
        <w:rPr>
          <w:rFonts w:ascii="arial" w:eastAsia="arial" w:hAnsi="arial" w:cs="arial"/>
          <w:i/>
          <w:color w:val="000000"/>
          <w:sz w:val="20"/>
          <w:lang w:val="en-US" w:eastAsia="en-US" w:bidi="ar-SA"/>
        </w:rPr>
        <w:t>Commonwealth</w:t>
      </w:r>
      <w:r>
        <w:rPr>
          <w:rFonts w:ascii="arial" w:eastAsia="arial" w:hAnsi="arial" w:cs="arial"/>
          <w:color w:val="000000"/>
          <w:sz w:val="20"/>
          <w:lang w:val="en-US" w:eastAsia="en-US" w:bidi="ar-SA"/>
        </w:rPr>
        <w:t xml:space="preserve"> is still applicable to a review of a contingency fee agreement under section 78 of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xml:space="preserve">. The two matters on which the registrar must be satisfied are fairness and reasonableness, and the two-step inquiry clarifies the issues involved and the questions to be considered with respect to each. The only change in the legislation from the </w:t>
      </w:r>
      <w:r>
        <w:rPr>
          <w:rFonts w:ascii="arial" w:eastAsia="arial" w:hAnsi="arial" w:cs="arial"/>
          <w:i/>
          <w:color w:val="000000"/>
          <w:sz w:val="20"/>
          <w:lang w:val="en-US" w:eastAsia="en-US" w:bidi="ar-SA"/>
        </w:rPr>
        <w:t>Barristers and Solicitors Act</w:t>
      </w:r>
      <w:r>
        <w:rPr>
          <w:rFonts w:ascii="arial" w:eastAsia="arial" w:hAnsi="arial" w:cs="arial"/>
          <w:color w:val="000000"/>
          <w:sz w:val="20"/>
          <w:lang w:val="en-US" w:eastAsia="en-US" w:bidi="ar-SA"/>
        </w:rPr>
        <w:t xml:space="preserve"> to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xml:space="preserve"> is with respect to the time at which the reasonableness of the agreement is to be determined. Both fairness and reasonableness are to be determined under the circumstances existing at the time the contract was entered into. This may change some of the questions asked, but not the matters to be determined: fairness still involves the mode of obtaining the contract and whether the client understood and appreciated its content, and reasonableness still involves the amount of the fee.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Randall</w:t>
      </w:r>
      <w:r>
        <w:rPr>
          <w:rFonts w:ascii="arial" w:eastAsia="arial" w:hAnsi="arial" w:cs="arial"/>
          <w:color w:val="000000"/>
          <w:sz w:val="20"/>
          <w:lang w:val="en-US" w:eastAsia="en-US" w:bidi="ar-SA"/>
        </w:rPr>
        <w:t xml:space="preserve"> reviewed a number of cases dealing with the reasonableness of a contract and, more specifically, the factors a registrar must consider in determining the reasonableness of a contingency fee agreement. At paragraph 48, her Ladyship noted:</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The factors described in all of these cases are similar. They include considerations relating to the complexity of the case; the difficulty of establishing liability; an assessment of the amount that may be recovered; an assessment of the quantity and nature of the work to be undertaken to achieve recovery; the time that will be involved to completion of the case; the risk undertaken by the law firm, including whether it agreed to carry disbursements; the special skill or knowledge required of counsel. In this case it must be borne in mind that it is in the context of the circumstances at the time the contract is made that the application of these factors is relevant.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Long, Miller and Mullins v. Sawchuk</w:t>
      </w:r>
      <w:r>
        <w:rPr>
          <w:rFonts w:ascii="arial" w:eastAsia="arial" w:hAnsi="arial" w:cs="arial"/>
          <w:color w:val="000000"/>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2002 BCSC 542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Sawchuk</w:t>
      </w:r>
      <w:r>
        <w:rPr>
          <w:rFonts w:ascii="arial" w:eastAsia="arial" w:hAnsi="arial" w:cs="arial"/>
          <w:color w:val="000000"/>
          <w:sz w:val="20"/>
          <w:lang w:val="en-US" w:eastAsia="en-US" w:bidi="ar-SA"/>
        </w:rPr>
        <w:t>], Goepel J. explains how these factors should be applied at paras. 52-56:</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The New Oxford Dictionary of English defines "unreasonable" as "beyond the limits of acceptability or fairness". In my opinion, once it is determined that a contract has been fairly entered into, a registrar should be most reluctant, other than in an obvious case, to find a contract upon which the parties have relied to govern their relationship, to be unreasonable. The registrar should only do so if satisfied that the contract is beyond the limits of acceptability or fairness.</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In determining whether an agreement is beyond the limits of acceptability a registrar should apply with great caution the criteria by which a legal fee will ultimately be assessed. Applying such criteria at the outset of the retainer to find an agreement unreasonable can very easily lead to an unjust result. It will be the rare case that the course that litigation will take will be known at the outset. It will often be most difficult to know, at the time the contingency agreement is signed, with any degree of certainty how complex an action may become, whether liability will be issue, the amount that may be recovered, the risk to the law firm or the time it will take to bring the action to conclusion. As noted in Commonwealth it would cast an unfair and unrealistic burden on a solicitor to investigate a case in detail before entering into a contingency contract.</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An analysis of reasonableness, based on the criteria used to determine legal fees, if applied at the outset of the case, will in many cases, be little more than a speculative exercise that runs the risk that an otherwise valid contract will be set aside without consideration of what in fact has taken place during the course of the retainer. Such a result is the antithesis of what was intended by Commonwealth.</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There will, of course, be cases in which the agreement is unreasonable on its face, such as Randall, or cases when at the time that the contingency agreement is entered into there will be sufficient knowledge concerning the litigation and surrounding circumstances that the registrar hearing the matter will be able to safely determine whether or not the contingency agreement is beyond the limits of acceptability. Examples of such cases may include agreements in regards to appeals such as </w:t>
      </w:r>
      <w:r>
        <w:rPr>
          <w:rFonts w:ascii="arial" w:eastAsia="arial" w:hAnsi="arial" w:cs="arial"/>
          <w:i/>
          <w:color w:val="000000"/>
          <w:sz w:val="20"/>
          <w:lang w:val="en-US" w:eastAsia="en-US" w:bidi="ar-SA"/>
        </w:rPr>
        <w:t>Spraggs &amp; Co. Law Corporation v. Lopushinsky</w:t>
      </w:r>
      <w:r>
        <w:rPr>
          <w:rFonts w:ascii="arial" w:eastAsia="arial" w:hAnsi="arial" w:cs="arial"/>
          <w:color w:val="000000"/>
          <w:sz w:val="20"/>
          <w:lang w:val="en-US" w:eastAsia="en-US" w:bidi="ar-SA"/>
        </w:rPr>
        <w:t xml:space="preserve">, </w:t>
      </w:r>
      <w:hyperlink r:id="rId731" w:history="1">
        <w:r>
          <w:rPr>
            <w:rFonts w:ascii="arial" w:eastAsia="arial" w:hAnsi="arial" w:cs="arial"/>
            <w:i/>
            <w:color w:val="0077CC"/>
            <w:sz w:val="20"/>
            <w:u w:val="single"/>
            <w:shd w:val="clear" w:color="auto" w:fill="FFFFFF"/>
            <w:lang w:val="en-US" w:eastAsia="en-US" w:bidi="ar-SA"/>
          </w:rPr>
          <w:t>[2002] B.C.J. No. 444</w:t>
        </w:r>
      </w:hyperlink>
      <w:r>
        <w:rPr>
          <w:rFonts w:ascii="arial" w:eastAsia="arial" w:hAnsi="arial" w:cs="arial"/>
          <w:color w:val="000000"/>
          <w:sz w:val="20"/>
          <w:lang w:val="en-US" w:eastAsia="en-US" w:bidi="ar-SA"/>
        </w:rPr>
        <w:t xml:space="preserve"> (S.C.) or personal injury cases in which there is evidence of a serious injury and no liability issue such as </w:t>
      </w:r>
      <w:r>
        <w:rPr>
          <w:rFonts w:ascii="arial" w:eastAsia="arial" w:hAnsi="arial" w:cs="arial"/>
          <w:i/>
          <w:color w:val="000000"/>
          <w:sz w:val="20"/>
          <w:lang w:val="en-US" w:eastAsia="en-US" w:bidi="ar-SA"/>
        </w:rPr>
        <w:t>Kay v. Randell</w:t>
      </w:r>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[1997] B.C.J. No. 797</w:t>
        </w:r>
      </w:hyperlink>
      <w:r>
        <w:rPr>
          <w:rFonts w:ascii="arial" w:eastAsia="arial" w:hAnsi="arial" w:cs="arial"/>
          <w:color w:val="000000"/>
          <w:sz w:val="20"/>
          <w:lang w:val="en-US" w:eastAsia="en-US" w:bidi="ar-SA"/>
        </w:rPr>
        <w:t xml:space="preserve"> (S.C. Reg.).</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It is also to be remembered that when an agreement is not cancelled or modified under s. 68(6), it does not necessarily follow that the lawyer will in fact be paid pursuant to the terms of the contract. The lawyers account still remains subject to a review pursuant to s. 70 which review will determine whether the ultimate fee is in fact reasonable.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I will start by reviewing the expert opinions provided by Mr. John Hunter, Q.C. of Hunter Litigation Chambers and Mr. Darrell Roberts, Q.C. of Miller Thomson.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Mr. Hunter is senior litigation counsel at Hunter Litigation Chambers. He has a broad civil and commercial litigation and arbitration practice. He has been recognized</w:t>
      </w:r>
      <w:bookmarkStart w:id="278" w:name="Backward_fnref_fnr-8"/>
      <w:hyperlink w:anchor="Forward_fnref_fnr-8" w:history="1">
        <w:r>
          <w:rPr>
            <w:rFonts w:ascii="arial" w:eastAsia="arial" w:hAnsi="arial" w:cs="arial"/>
            <w:b/>
            <w:color w:val="BE161D"/>
            <w:sz w:val="20"/>
            <w:shd w:val="clear" w:color="auto" w:fill="FFFFFF"/>
            <w:vertAlign w:val="superscript"/>
            <w:lang w:val="en-US" w:eastAsia="en-US" w:bidi="ar-SA"/>
          </w:rPr>
          <w:t>8</w:t>
        </w:r>
      </w:hyperlink>
      <w:bookmarkEnd w:id="278"/>
      <w:r>
        <w:rPr>
          <w:rFonts w:ascii="arial" w:eastAsia="arial" w:hAnsi="arial" w:cs="arial"/>
          <w:color w:val="000000"/>
          <w:sz w:val="20"/>
          <w:lang w:val="en-US" w:eastAsia="en-US" w:bidi="ar-SA"/>
        </w:rPr>
        <w:t xml:space="preserve"> as a leading practitioner in corporate-commercial litigation. Mr. Hunter was appointed Queen's Counsel in 1994. He served as President of the Law Society of British Columbia in 2008 and is a Life Bencher of the Law Society. Mr. Hunter is currently the Vice President of the Federation of Law Societies.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Mr. Roberts has been litigation counsel since his call to the Bar of British Columbia in 1964 (except for a five-year hiatus for graduate study, teaching at law school and directing research at the Law Reform Commission of Canada). He has considerable courtroom experience in a wide variety of both criminal and civil cases, including litigation files with various fee/retainer arrangements including contingent fee arrangements. He has acted as counsel in a number of estate matters including issues of proof of a will in solemn form, undue influence, lack of testamentary capacity and conflicts of interest. Mr. Roberts has been qualified a number of times to give expert opinion evidence on solicitors fee matters, including contingent fees, and cases involving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In his opinion, Mr. Hunter undertook a "fair fee approach" rather than a determination </w:t>
      </w:r>
      <w:r>
        <w:rPr>
          <w:rFonts w:ascii="arial" w:eastAsia="arial" w:hAnsi="arial" w:cs="arial"/>
          <w:i/>
          <w:color w:val="000000"/>
          <w:sz w:val="20"/>
          <w:lang w:val="en-US" w:eastAsia="en-US" w:bidi="ar-SA"/>
        </w:rPr>
        <w:t>ab initio</w:t>
      </w:r>
      <w:r>
        <w:rPr>
          <w:rFonts w:ascii="arial" w:eastAsia="arial" w:hAnsi="arial" w:cs="arial"/>
          <w:color w:val="000000"/>
          <w:sz w:val="20"/>
          <w:lang w:val="en-US" w:eastAsia="en-US" w:bidi="ar-SA"/>
        </w:rPr>
        <w:t xml:space="preserve"> of whether the contingent fee agreement was reasonable. Mr. Hunter reviewed the factors set out in section 71(4)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(although he called them the "</w:t>
      </w:r>
      <w:r>
        <w:rPr>
          <w:rFonts w:ascii="arial" w:eastAsia="arial" w:hAnsi="arial" w:cs="arial"/>
          <w:i/>
          <w:color w:val="000000"/>
          <w:sz w:val="20"/>
          <w:lang w:val="en-US" w:eastAsia="en-US" w:bidi="ar-SA"/>
        </w:rPr>
        <w:t>Yule</w:t>
      </w:r>
      <w:r>
        <w:rPr>
          <w:rFonts w:ascii="arial" w:eastAsia="arial" w:hAnsi="arial" w:cs="arial"/>
          <w:color w:val="000000"/>
          <w:sz w:val="20"/>
          <w:lang w:val="en-US" w:eastAsia="en-US" w:bidi="ar-SA"/>
        </w:rPr>
        <w:t xml:space="preserve"> factors") and then applied his analysis of those factors to his assessment of the reasonableness of the CFA. At pages 9 and 10 of his opinion, under the heading "assessment of the reasonableness of the contingency fee agreement", Mr. Hunter says:</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Lee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Lee (Guardian ad litem of) v. Richmond Hospital Society</w:t>
      </w:r>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2005 BCCA 107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Commonwealth</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Commonwealth No. 1</w:t>
      </w:r>
      <w:r>
        <w:rPr>
          <w:rFonts w:ascii="arial" w:eastAsia="arial" w:hAnsi="arial" w:cs="arial"/>
          <w:color w:val="000000"/>
          <w:sz w:val="20"/>
          <w:lang w:val="en-US" w:eastAsia="en-US" w:bidi="ar-SA"/>
        </w:rPr>
        <w:t xml:space="preserve">] decisions of our Court of Appeal indicate that the reasonableness of a contingency fee agreement is also to be assessed by reference to the </w:t>
      </w:r>
      <w:r>
        <w:rPr>
          <w:rFonts w:ascii="arial" w:eastAsia="arial" w:hAnsi="arial" w:cs="arial"/>
          <w:i/>
          <w:color w:val="000000"/>
          <w:sz w:val="20"/>
          <w:lang w:val="en-US" w:eastAsia="en-US" w:bidi="ar-SA"/>
        </w:rPr>
        <w:t>Yule</w:t>
      </w:r>
      <w:bookmarkStart w:id="279" w:name="Backward_fnref_fnr-9"/>
      <w:hyperlink w:anchor="Forward_fnref_fnr-9" w:history="1">
        <w:r>
          <w:rPr>
            <w:rFonts w:ascii="arial" w:eastAsia="arial" w:hAnsi="arial" w:cs="arial"/>
            <w:b/>
            <w:color w:val="BE161D"/>
            <w:sz w:val="20"/>
            <w:shd w:val="clear" w:color="auto" w:fill="FFFFFF"/>
            <w:vertAlign w:val="superscript"/>
            <w:lang w:val="en-US" w:eastAsia="en-US" w:bidi="ar-SA"/>
          </w:rPr>
          <w:t>9</w:t>
        </w:r>
      </w:hyperlink>
      <w:bookmarkEnd w:id="279"/>
      <w:r>
        <w:rPr>
          <w:rFonts w:ascii="arial" w:eastAsia="arial" w:hAnsi="arial" w:cs="arial"/>
          <w:color w:val="000000"/>
          <w:sz w:val="20"/>
          <w:lang w:val="en-US" w:eastAsia="en-US" w:bidi="ar-SA"/>
        </w:rPr>
        <w:t xml:space="preserve"> factors, with particular emphasis given to two factors that are of particular importance in a contingency fee situation - the risk of no recovery and the expectation of a higher fee will [be] paid than on a conventional fee-for-services basis.</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The risk of no recovery seems to have been small, although should not be discounted entirely. The case itself seems to be fairly strong. The mediation brief filed by HTLN sets out a compelling case for Wilson. While HTLN should not be disadvantaged by the fact that they marshalled a strong argument, to do so before any exchange of documents or examinations for discovery supports the view that Wilson had a strong case. By the fall of 2008, Home had indicated that he would be willing to pay Wilson $10 million. She was able to pay for a fee for services agreement. The risk for non-recovery - that is, the contingency at stake - does not appear to be a factor that would support a significantly higher fee.</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There certainly an expectation in a contingency fee arrangement that a higher fee will be paid for a successful outcome than would be paid on a conventional fee-for-services basis. The reasonableness of the increase fee then becomes a matter of degree.</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In this case I understand that HTLN is taking the position that the contingency fee agreement yields a fee of $16 million, based on a value of the estate of $100 million and taking account of the required payments out to the plaintiffs and to tax authorities. In my opinion, a fee of $16 million for legal work having an opportunity cost of about $1 million and which involved drafting two pleadings, arguing two motions (plus a leave application) and assisting and setting a productive strategic course cannot be described as a reasonable fee.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Conversely, in his opinion Mr. Roberts reviewed the </w:t>
      </w:r>
      <w:r>
        <w:rPr>
          <w:rFonts w:ascii="arial" w:eastAsia="arial" w:hAnsi="arial" w:cs="arial"/>
          <w:i/>
          <w:color w:val="000000"/>
          <w:sz w:val="20"/>
          <w:lang w:val="en-US" w:eastAsia="en-US" w:bidi="ar-SA"/>
        </w:rPr>
        <w:t>Yule</w:t>
      </w:r>
      <w:r>
        <w:rPr>
          <w:rFonts w:ascii="arial" w:eastAsia="arial" w:hAnsi="arial" w:cs="arial"/>
          <w:color w:val="000000"/>
          <w:sz w:val="20"/>
          <w:lang w:val="en-US" w:eastAsia="en-US" w:bidi="ar-SA"/>
        </w:rPr>
        <w:t xml:space="preserve"> factors in the context of the Action as at the date the CFA was signed. He then proceeded to address the question of "whether the agreement operates reasonably in the context", quoting from </w:t>
      </w:r>
      <w:r>
        <w:rPr>
          <w:rFonts w:ascii="arial" w:eastAsia="arial" w:hAnsi="arial" w:cs="arial"/>
          <w:i/>
          <w:color w:val="000000"/>
          <w:sz w:val="20"/>
          <w:lang w:val="en-US" w:eastAsia="en-US" w:bidi="ar-SA"/>
        </w:rPr>
        <w:t>McEachern,</w:t>
      </w:r>
      <w:r>
        <w:rPr>
          <w:rFonts w:ascii="arial" w:eastAsia="arial" w:hAnsi="arial" w:cs="arial"/>
          <w:color w:val="000000"/>
          <w:sz w:val="20"/>
          <w:lang w:val="en-US" w:eastAsia="en-US" w:bidi="ar-SA"/>
        </w:rPr>
        <w:t xml:space="preserve"> C.J.B.C. in </w:t>
      </w:r>
      <w:r>
        <w:rPr>
          <w:rFonts w:ascii="arial" w:eastAsia="arial" w:hAnsi="arial" w:cs="arial"/>
          <w:i/>
          <w:color w:val="000000"/>
          <w:sz w:val="20"/>
          <w:lang w:val="en-US" w:eastAsia="en-US" w:bidi="ar-SA"/>
        </w:rPr>
        <w:t>Commonwealth Investors Syndicate Ltd. v. Laxton</w:t>
      </w:r>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(1994), 94 B.C.L.R. (2d) 177</w:t>
        </w:r>
      </w:hyperlink>
      <w:r>
        <w:rPr>
          <w:rFonts w:ascii="arial" w:eastAsia="arial" w:hAnsi="arial" w:cs="arial"/>
          <w:color w:val="000000"/>
          <w:sz w:val="20"/>
          <w:lang w:val="en-US" w:eastAsia="en-US" w:bidi="ar-SA"/>
        </w:rPr>
        <w:t xml:space="preserve"> (C.A.), at para. 47.</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Mr. Roberts then says:</w:t>
      </w:r>
      <w:r>
        <w:rPr>
          <w:rFonts w:ascii="arial" w:eastAsia="arial" w:hAnsi="arial" w:cs="arial"/>
          <w:sz w:val="18"/>
          <w:lang w:val="en-US" w:eastAsia="en-US" w:bidi="ar-SA"/>
        </w:rPr>
        <w:cr/>
      </w:r>
    </w:p>
    <w:p>
      <w:pPr>
        <w:numPr>
          <w:numId w:val="133"/>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In this part of my analysis the risks and expectations and the terms of the bargain weigh most heavily on the scales.</w:t>
      </w:r>
    </w:p>
    <w:p>
      <w:pPr>
        <w:numPr>
          <w:numId w:val="134"/>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I start by noting the obvious, that in this litigation over the Jack Cewe estate Kirsten Wilson was seeking something she did not have. The bulk of the large estate of Jack Cewe was not left to her; it was left to the plaintiffs. Nevertheless, as was her right, Kirsten Wilson decided to pursue the whole of the Cewe estate by challenging and attempting to have Jack Cewe's last will set aside. In this pursuit she chose to proceed with the services of HTLN without having to pay ongoing legal fees which, through her husband, Ryan Wilson, she had been advised another lawyer had estimated at about $2 million.</w:t>
      </w:r>
    </w:p>
    <w:p>
      <w:pPr>
        <w:numPr>
          <w:numId w:val="135"/>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Proceeding in this way, if Kirsten Wilson lost the case she would not be out-of-pocket for any legal expenses, other than expenses for experts, court costs and the like. She was not putting any serious money of her own at risk.</w:t>
      </w:r>
    </w:p>
    <w:p>
      <w:pPr>
        <w:numPr>
          <w:numId w:val="136"/>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On the other hand, HTLN agreed in the subject fee agreement to take all the risk. They agreed to gamble that unless they won they would receive nothing for their efforts; no legal fees were to be paid for a loss. This was a very big risk indeed. If Mr. Hordo's observation was correct HTLN was putting at risk anywhere up to $2 million in a very uncertain endeavour.</w:t>
      </w:r>
    </w:p>
    <w:p>
      <w:pPr>
        <w:numPr>
          <w:numId w:val="137"/>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Nevertheless, this is the bargain both parties made, eyes wide open, and as a matter of judgment and experience it is my opinion there is nothing to suggest that the fee fixed by Kirsten Wilson in the fee agreement is unreasonable or that it in any way undermines the integrity of the legal profession.</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99 Referring once again to the Reasons for Judgment of Mr. Justice Goepel in </w:t>
      </w:r>
      <w:r>
        <w:rPr>
          <w:rFonts w:ascii="arial" w:eastAsia="arial" w:hAnsi="arial" w:cs="arial"/>
          <w:i/>
          <w:color w:val="000000"/>
          <w:sz w:val="20"/>
          <w:lang w:val="en-US" w:eastAsia="en-US" w:bidi="ar-SA"/>
        </w:rPr>
        <w:t>Long, Miller &amp; Mullins v. Sawchuk, supra,</w:t>
      </w:r>
      <w:r>
        <w:rPr>
          <w:rFonts w:ascii="arial" w:eastAsia="arial" w:hAnsi="arial" w:cs="arial"/>
          <w:color w:val="000000"/>
          <w:sz w:val="20"/>
          <w:lang w:val="en-US" w:eastAsia="en-US" w:bidi="ar-SA"/>
        </w:rPr>
        <w:t xml:space="preserve"> at para 52, this is not a case to find unreasonable a contract upon which these parties have relied to govern their affairs.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At paragraph 100 of his opinion, Mr. Roberts concludes his discussion on "reasonableness" by saying:</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Based on the assumed facts, this is very clearly a case in which - at the time the fee agreement was entered into December 2008 - it would have been most reasonable for HTLN to have concluded that if the agreement was presented for court review under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xml:space="preserve"> the court would find it to be both fair and reasonable in the circumstances.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In my view it is imperative for me at this juncture to consider specifically the factors enumerated by Levine J. In </w:t>
      </w:r>
      <w:r>
        <w:rPr>
          <w:rFonts w:ascii="arial" w:eastAsia="arial" w:hAnsi="arial" w:cs="arial"/>
          <w:i/>
          <w:color w:val="000000"/>
          <w:sz w:val="20"/>
          <w:lang w:val="en-US" w:eastAsia="en-US" w:bidi="ar-SA"/>
        </w:rPr>
        <w:t>Randall,</w:t>
      </w:r>
      <w:r>
        <w:rPr>
          <w:rFonts w:ascii="arial" w:eastAsia="arial" w:hAnsi="arial" w:cs="arial"/>
          <w:color w:val="000000"/>
          <w:sz w:val="20"/>
          <w:lang w:val="en-US" w:eastAsia="en-US" w:bidi="ar-SA"/>
        </w:rPr>
        <w:t xml:space="preserve"> starting with the complexity of the case.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Solicitors commenced their closing argument with the sentence "in October 2008 a small law firm took on a very large challenge." No doubt they hold the view that the task they were facing was "formidable".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On the other hand, Mr. Hunter for the Client suggests that this was not a particularly complex matter. In fact, he characterised it as "average".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What then were the parties facing in December 2008 when the CFA was signed? Were they facing a "formidable" task, as the Solicitors claim; or an "average" case, as suggested by the Client?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In considering the question of the complexity of this Action, I think it helpful to reiterate a proposition stated by Dr. Cecil Wright, cited with approval by the Supreme Court of Canada in </w:t>
      </w:r>
      <w:r>
        <w:rPr>
          <w:rFonts w:ascii="arial" w:eastAsia="arial" w:hAnsi="arial" w:cs="arial"/>
          <w:i/>
          <w:color w:val="000000"/>
          <w:sz w:val="20"/>
          <w:lang w:val="en-US" w:eastAsia="en-US" w:bidi="ar-SA"/>
        </w:rPr>
        <w:t>Vout v. Hay,</w:t>
      </w:r>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[1995] 2 S.C.R. 876</w:t>
        </w:r>
      </w:hyperlink>
      <w:r>
        <w:rPr>
          <w:rFonts w:ascii="arial" w:eastAsia="arial" w:hAnsi="arial" w:cs="arial"/>
          <w:color w:val="000000"/>
          <w:sz w:val="20"/>
          <w:lang w:val="en-US" w:eastAsia="en-US" w:bidi="ar-SA"/>
        </w:rPr>
        <w:t xml:space="preserve"> at para. 16:</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Although superficially simple, problems involved in litigation concerning the establishment of a deceased person's will against attacks of lack of testamentary capacity, fraud and undue influence, are, in the writer's opinion, second to none in difficulty ...</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There is no doubt that when she first met with HTLN, Ms. Mide-Wilson had no inherent interest in her grandfather's estate. She had no right to bring an application pursuant to the provisions of the </w:t>
      </w:r>
      <w:r>
        <w:rPr>
          <w:rFonts w:ascii="arial" w:eastAsia="arial" w:hAnsi="arial" w:cs="arial"/>
          <w:i/>
          <w:color w:val="000000"/>
          <w:sz w:val="20"/>
          <w:lang w:val="en-US" w:eastAsia="en-US" w:bidi="ar-SA"/>
        </w:rPr>
        <w:t>Wills Variation Act</w:t>
      </w:r>
      <w:r>
        <w:rPr>
          <w:rFonts w:ascii="arial" w:eastAsia="arial" w:hAnsi="arial" w:cs="arial"/>
          <w:color w:val="000000"/>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R.S.B.C. 1996, c. 490</w:t>
        </w:r>
      </w:hyperlink>
      <w:r>
        <w:rPr>
          <w:rFonts w:ascii="arial" w:eastAsia="arial" w:hAnsi="arial" w:cs="arial"/>
          <w:color w:val="000000"/>
          <w:sz w:val="20"/>
          <w:lang w:val="en-US" w:eastAsia="en-US" w:bidi="ar-SA"/>
        </w:rPr>
        <w:t>. In order to become the primary beneficiary of the Jack Cewe estate, she would have to set aside the New Instruments on the basis that there were "suspicious circumstances" and potential undue influence in the creation of such. She would first have to show that Ms. Hamilton, a leading wills and estates practitioner, had failed in her duty as a solicitor to ensure that Jack Cewe had the capacity to enter into the New Instruments; and secondly that Home and/or Gibson had somehow unduly influenced Jack Cewe to make those New Instruments.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Prior to the signing of the CFA, the Solicitors had not interviewed many witnesses and, other than gathering information from Ms. Mide-Wilson, had not substantiated any other part of those claims except, possibly, based on the information gathered by Ms. Teetaert during her interviews with Soli.</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Mr. Crickmore thought some of Soli's evidence could be problematic to Ms. Mide-Wilson's theory of the case. The specific areas that concerned Mr. Crickmore were:</w:t>
      </w:r>
      <w:r>
        <w:rPr>
          <w:rFonts w:ascii="arial" w:eastAsia="arial" w:hAnsi="arial" w:cs="arial"/>
          <w:sz w:val="18"/>
          <w:lang w:val="en-US" w:eastAsia="en-US" w:bidi="ar-SA"/>
        </w:rPr>
        <w:cr/>
      </w:r>
    </w:p>
    <w:p>
      <w:pPr>
        <w:numPr>
          <w:numId w:val="138"/>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Jack Cewe had executed a patient representative agreement in October 2007 wherein he nominated Gibson and Soli as his patient representatives, not either of Ms. Mide-Wilson or Carsten Mide;</w:t>
      </w:r>
    </w:p>
    <w:p>
      <w:pPr>
        <w:numPr>
          <w:numId w:val="139"/>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Soli told Ms. Teetaert that, after Judith Wilson died, Jack Cewe told her that he wanted the house (his home in Port Moody) to go to Ms. Mide-Wilson; he wanted to donate some of his money to Eagle Ridge Hospital and Douglas College; he wanted some money to be given to employees who had been loyal to him for the last forty years; and that Gibson was going to get his life insurance.</w:t>
      </w:r>
    </w:p>
    <w:p>
      <w:pPr>
        <w:numPr>
          <w:numId w:val="140"/>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Jack Cewe did not tell Soli that he intended to leave the bulk of his estate to Ms. Mide-Wilson.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Soli's evidence, as well as that of Mr. Wilson and Ms. Mide-Wilson, was that, even though Jack Cewe's health was deteriorating and his macular degeneration was becoming more and more problematic, Jack Cewe's mental acuity remained the same. It was unlikely Ms. Mide-Wilson would be able to show that Jack Cewe lacked mental capacity to instruct counsel and to decide who ought to receive his estate.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Other challenges facing Ms. Mide-Wilson in the Action in early December 2008 were:</w:t>
      </w:r>
      <w:r>
        <w:rPr>
          <w:rFonts w:ascii="arial" w:eastAsia="arial" w:hAnsi="arial" w:cs="arial"/>
          <w:sz w:val="18"/>
          <w:lang w:val="en-US" w:eastAsia="en-US" w:bidi="ar-SA"/>
        </w:rPr>
        <w:cr/>
      </w:r>
    </w:p>
    <w:p>
      <w:pPr>
        <w:numPr>
          <w:numId w:val="141"/>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Ms. Mide-Wilson's rights as a beneficiary were pursuant to the 1994 Will under which she is an unnamed double contingent beneficiary as a "grandchild" of Jack Cewe;</w:t>
      </w:r>
    </w:p>
    <w:p>
      <w:pPr>
        <w:numPr>
          <w:numId w:val="142"/>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It was logical for Jack Cewe to change his will in October 2007 after Judith Wilson's death;</w:t>
      </w:r>
    </w:p>
    <w:p>
      <w:pPr>
        <w:numPr>
          <w:numId w:val="143"/>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Ms. Mide-Wilson and Jack Cewe had a significant altercation in March 2005. And, although Ms. Mide-Wilson told me she and her grandfather had reconciled their differences, no doubt, Home and Gibson (who knew of the altercation) would have used that altercation in their case for propoundance of the New Instruments;</w:t>
      </w:r>
    </w:p>
    <w:p>
      <w:pPr>
        <w:numPr>
          <w:numId w:val="144"/>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Jack Cewe did provide reasonably meaningful bequests to Ms. Mide-Wilson in the New Instruments: his waterfront home in Port Moody and $500,000 cash. This is in keeping with what Jack Cewe told Soli and what Soli recounted to Melanie Teetaert;</w:t>
      </w:r>
    </w:p>
    <w:p>
      <w:pPr>
        <w:numPr>
          <w:numId w:val="145"/>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Jack Cewe met with Ms. Hamilton, a leading wills and estates practitioner, on several occasions to execute various testamentary documents (the two October 2008 Wills, the April 2008 Will and April 2008 Trust, and the Jack Cewe Alter Ego Trust). As noted by the Solicitors in their closing argument, "why would Home steal the same estate five times, when each occasion put his larceny at risk of discovery?"; and</w:t>
      </w:r>
    </w:p>
    <w:p>
      <w:pPr>
        <w:numPr>
          <w:numId w:val="146"/>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Mr. Rennie had met with Home (October 17) who told him that he did not want to give Ms. Mide-Wilson any part of the estate.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Ms. Mide-Wilson would have to prove that Jack Cewe lacked testamentary capacity. The test for testamentary capacity is modest. In </w:t>
      </w:r>
      <w:r>
        <w:rPr>
          <w:rFonts w:ascii="arial" w:eastAsia="arial" w:hAnsi="arial" w:cs="arial"/>
          <w:i/>
          <w:color w:val="000000"/>
          <w:sz w:val="20"/>
          <w:lang w:val="en-US" w:eastAsia="en-US" w:bidi="ar-SA"/>
        </w:rPr>
        <w:t>Hix v. Ewachinuk</w:t>
      </w:r>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2008 BCSC 811</w:t>
        </w:r>
      </w:hyperlink>
      <w:r>
        <w:rPr>
          <w:rFonts w:ascii="arial" w:eastAsia="arial" w:hAnsi="arial" w:cs="arial"/>
          <w:color w:val="000000"/>
          <w:sz w:val="20"/>
          <w:lang w:val="en-US" w:eastAsia="en-US" w:bidi="ar-SA"/>
        </w:rPr>
        <w:t>, Hinkson J. (as he then was) set out the test at para. 74:</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To be of a sound and disposing mind and memory, a testator must:</w:t>
      </w:r>
    </w:p>
    <w:p>
      <w:pPr>
        <w:numPr>
          <w:numId w:val="147"/>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be aware they are making the will that takes effect on their death;</w:t>
      </w:r>
    </w:p>
    <w:p>
      <w:pPr>
        <w:numPr>
          <w:numId w:val="148"/>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understand the nature and extent of the estate to be disposed of by will;</w:t>
      </w:r>
    </w:p>
    <w:p>
      <w:pPr>
        <w:numPr>
          <w:numId w:val="149"/>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be aware of those having a claim to the estate;</w:t>
      </w:r>
    </w:p>
    <w:p>
      <w:pPr>
        <w:numPr>
          <w:numId w:val="150"/>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have no disorder of the mind.</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Banks v. Goodfellow</w:t>
      </w:r>
      <w:r>
        <w:rPr>
          <w:rFonts w:ascii="arial" w:eastAsia="arial" w:hAnsi="arial" w:cs="arial"/>
          <w:color w:val="000000"/>
          <w:sz w:val="20"/>
          <w:lang w:val="en-US" w:eastAsia="en-US" w:bidi="ar-SA"/>
        </w:rPr>
        <w:t xml:space="preserve"> (1870), L.R. 5 Q.B. 549 at 567.</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There is a presumption of capacity, knowledge and approval flowing from the fact that the New Instruments appear to have been duly executed by Jack Cewe with the requisite formalities. To counter and rebut this presumption, Ms. Mide-Wilson would be required to allege and establish, on a balance of probabilities, suspicious circumstances that would negate Jack Cewe's capacity, knowledge and approval of the New Instruments. To do so, it would be necessary to establish circumstances creating a specific and focussed suspicion that the testator may not have known and approved of the contents of the will: see, </w:t>
      </w:r>
      <w:r>
        <w:rPr>
          <w:rFonts w:ascii="arial" w:eastAsia="arial" w:hAnsi="arial" w:cs="arial"/>
          <w:i/>
          <w:color w:val="000000"/>
          <w:sz w:val="20"/>
          <w:lang w:val="en-US" w:eastAsia="en-US" w:bidi="ar-SA"/>
        </w:rPr>
        <w:t>Chang Estate v. Chang</w:t>
      </w:r>
      <w:r>
        <w:rPr>
          <w:rFonts w:ascii="arial" w:eastAsia="arial" w:hAnsi="arial" w:cs="arial"/>
          <w:color w:val="000000"/>
          <w:sz w:val="20"/>
          <w:lang w:val="en-US" w:eastAsia="en-US" w:bidi="ar-SA"/>
        </w:rPr>
        <w:t xml:space="preserve">, </w:t>
      </w:r>
      <w:hyperlink r:id="rId736" w:history="1">
        <w:r>
          <w:rPr>
            <w:rFonts w:ascii="arial" w:eastAsia="arial" w:hAnsi="arial" w:cs="arial"/>
            <w:i/>
            <w:color w:val="0077CC"/>
            <w:sz w:val="20"/>
            <w:u w:val="single"/>
            <w:shd w:val="clear" w:color="auto" w:fill="FFFFFF"/>
            <w:lang w:val="en-US" w:eastAsia="en-US" w:bidi="ar-SA"/>
          </w:rPr>
          <w:t>2009 BCSC 529</w:t>
        </w:r>
      </w:hyperlink>
      <w:r>
        <w:rPr>
          <w:rFonts w:ascii="arial" w:eastAsia="arial" w:hAnsi="arial" w:cs="arial"/>
          <w:color w:val="000000"/>
          <w:sz w:val="20"/>
          <w:lang w:val="en-US" w:eastAsia="en-US" w:bidi="ar-SA"/>
        </w:rPr>
        <w:t>, at para. 44. Mr. Crickmore was of the opinion that it would not likely be possible for Ms. Mide-Wilson to prevail on the basis of suspicious circumstances. It was his opinion that they would have to rely instead on undue influence.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burden of proof with respect to undue influence is generally on the party attacking the validity of a testamentary instrument on such grounds. However, if it could be shown that Home was fiduciary in so far as Jack Cewe was concerned, the onus would shift to Home and Gibson.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Although the Solicitors argue that proving Home was a fiduciary would be difficult, in my view, he would likely have been found to be so as far as Jack Cewe was concerned, thus reducing the complexity of that particular matter. Even though Mr. Van Ommen did not suggest naming Home as a fiduciary as a tactic, there is case law supportive of a finding that as a chartered accountant Home was a fiduciary vis-à-vis Jack Cewe: see, </w:t>
      </w:r>
      <w:r>
        <w:rPr>
          <w:rFonts w:ascii="arial" w:eastAsia="arial" w:hAnsi="arial" w:cs="arial"/>
          <w:i/>
          <w:color w:val="000000"/>
          <w:sz w:val="20"/>
          <w:lang w:val="en-US" w:eastAsia="en-US" w:bidi="ar-SA"/>
        </w:rPr>
        <w:t>Hodgkinson v. Simms,</w:t>
      </w:r>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If, as an accountant, Home was held to be a fiduciary, there is a presumption of undue influence. That presumption extends to gifts from clients to their accountants. Both Emmett McGrath and Soli would support the fact that Jack Cewe placed considerable trust in Home.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However, even if there was a presumption of undue influence by Home of Jack Cewe, the Client would be left to prove that Gibson had somehow unduly influenced Jack Cewe in relation to the New Instruments. Some evidence on that point was available from both Ms. Mide-Wilson and from Soli. I believe that both of them would have been able to testify that, after Judith Wilson's death, they were shut out of Jack Cewe's home and life by Gibson. In fact, Soli told Ms. Teetaert that after Judith's death Gibson summarily reduced Soli's hours to one day per week although she apparently continued to be called in to assist Jack Cewe an additional two or three days per week.</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Ms. Mide-Wilson would testify that she re-established her relationship with her grandfather; although I think she would say she did not spend much time with him at his residence but instead he more regularly visited her, her children and Mr. Wilson at their home.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Mr. Hunter, as I have already noted, suggested that the issues involved in this case could be described as "average" whereas Mr. Roberts referred to the legal services to be rendered as "formidable". I have considered the challenges and strengths of Ms. Mide-Wilson's case (as outlined above) and in my view, the matter lies somewhere in between. This case was neither average, nor formidable.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The next factor to be considered is the difficulty of establishing liability. Here there is no requirement,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to establish any liability. Neither Home nor Gibson had any pecuniary obligation (liability) to Ms. Mide-Wilson for any wrongdoing. Either the New Instruments were valid or they were not. It was not contemplated that Ms. Mide-Wilson would be paid money by Home and Gibson as compensation for her "loss" of her grandfather's estate. In fact, as I have noted earlier, she was not interested in a monetary payment. She only wanted to become the primary beneficiary of the Jack Cewe Estate and sole trustee of the Jack Cewe Alter Ego Trust.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next thing I must undertake is an assessment of the amount that may be recovered.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At the time the CFA was entered into, the parties appeared to be of the view that the assets making up the Jack Cewe estate and in the Jack Cewe Alter Ego Trust were valued in the neighbourhood of $100 million. I take this from several sources:</w:t>
      </w:r>
      <w:r>
        <w:rPr>
          <w:rFonts w:ascii="arial" w:eastAsia="arial" w:hAnsi="arial" w:cs="arial"/>
          <w:sz w:val="18"/>
          <w:lang w:val="en-US" w:eastAsia="en-US" w:bidi="ar-SA"/>
        </w:rPr>
        <w:cr/>
      </w:r>
    </w:p>
    <w:p>
      <w:pPr>
        <w:numPr>
          <w:numId w:val="151"/>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Mr. Tomyn's notes made during the initial meeting with Mr. Rennie of September 30, 2008 contain some cryptic notations such as "value of $20 - 30 M pits" and "office complex $150 M".</w:t>
      </w:r>
    </w:p>
    <w:p>
      <w:pPr>
        <w:numPr>
          <w:numId w:val="151"/>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Mr. Tomyn's notes of the October 1, 2008 meeting (the first meeting with the Client) contain the notation: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- 75 M Coquitlam</w:t>
            </w:r>
          </w:p>
        </w:tc>
        <w:tc>
          <w:tcPr>
            <w:tcW w:w="4096"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1024"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627"/>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u w:val="single"/>
                <w:lang w:val="en-US" w:eastAsia="en-US" w:bidi="ar-SA"/>
              </w:rPr>
              <w:t>- 40 M</w:t>
            </w:r>
            <w:r>
              <w:rPr>
                <w:rFonts w:ascii="arial" w:eastAsia="arial" w:hAnsi="arial" w:cs="arial"/>
                <w:color w:val="000000"/>
                <w:sz w:val="18"/>
                <w:lang w:val="en-US" w:eastAsia="en-US" w:bidi="ar-SA"/>
              </w:rPr>
              <w:t xml:space="preserve"> Jervis</w:t>
            </w:r>
          </w:p>
        </w:tc>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u w:val="single"/>
                <w:lang w:val="en-US" w:eastAsia="en-US" w:bidi="ar-SA"/>
              </w:rPr>
              <w:t>Values</w:t>
            </w:r>
          </w:p>
        </w:tc>
        <w:tc>
          <w:tcPr>
            <w:tcW w:w="1024"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ind w:left="1080"/>
        <w:rPr>
          <w:rFonts w:ascii="arial" w:eastAsia="arial" w:hAnsi="arial" w:cs="arial"/>
          <w:sz w:val="18"/>
          <w:lang w:val="en-US" w:eastAsia="en-US" w:bidi="ar-SA"/>
        </w:rPr>
      </w:pPr>
      <w:r>
        <w:rPr>
          <w:rFonts w:ascii="arial" w:eastAsia="arial" w:hAnsi="arial" w:cs="arial"/>
          <w:color w:val="000000"/>
          <w:sz w:val="20"/>
          <w:u w:val="single"/>
          <w:lang w:val="en-US" w:eastAsia="en-US" w:bidi="ar-SA"/>
        </w:rPr>
        <w:t>115 M</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statement of defence prepared by Mr. Crickmore for Ms. Mide-Wilson to be filed in the Action (and which she reviewed in depth over the weekend of December 6 and 7, 2008) notes at paragraph 8:</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As of the date of death of Mabel Cewe, the combined assets of Jack and Mabel Cewe had an estimated market value in excess of $100 million. The entirety of these assets was held by Jack Cewe, either personally or through his resulting sole shareholding interest in the Jack Cewe Group companies.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Prior to the execution of the CFA, all of the valuation "evidence" in respect of the Jack Cewe estate and Jack Cewe Alter Ego Trust came from Mr. Rennie and/or Ms. Mide-Wilson and Mr. Wilson. The Solicitors had no independent evidence expressing any value. It should be assumed then, that when the parties signed the CFA, they were all of the opinion that the value of the assets at issue in the Action was in the $100 million range.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next thing that I must undertake is "an assessment of the quantity and nature of the work to be undertaken to achieve recovery and the time that will be involved to completion of the case". There is no doubt that at the time the CFA was entered into, all parties were of the opinion that they were "in for the long-haul". On October 17 Home told Mr. Rennie that he was not predisposed to give Ms. Mide-Wilson anything in addition to what had been bequeathed to her under the April 2008 Will.</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As I have already noted, the instructions by Ms. Mide-Wilson to HTLN were clear: "Get me the company back". There was no alternative. There were no other instructions.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Prior to the execution of the CFA, the Solicitors had undertaken a great deal of work, mostly general in nature and related to gathering the evidence needed to draft the pleadings. Clearly at the time the CFA was entered into a lengthy trial would have been contemplated, as would have examinations for discovery and document disclosure, none of which had happened to this point. All of the "normal" matters that would be undertaken by solicitors in the conduct of litigation involving a substantial amount were on the table to be done by the Solicitors.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Also, the required work would be very technical in nature. An evidentiary foundation would have to be built to prove all of the facts set out in the narrative pleadings drafted by Mr. Crickmore. The pleadings themselves were lengthy and involved. It would have been necessary to establish on a factual basis, most, if not all of the facts set out in the pleadings in order for Ms. Mide-Wilson to be successful in the Action. No doubt this would have taken a substantial amount of solicitors' time. Ms. Teetaert had done a great deal of initial legal research but undoubtedly more would be necessary as the matter progressed. Messrs. Crickmore and Tomyn had been sending case law and articles on the legal issues back and forth. They put significant time into the matter before even confirming their retainer. In my view, this is partly because Mr. Crickmore, as he testified to, was very excited by the possibility of undertaking this litigation. He was not senior counsel at the time and this would likely have been one of his most difficult and large cases, particularly when considering the amount of the potential recovery for the Client. No doubt the work required by counsel to take the case to trial was considerable.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One of the factors that I must also consider (and which in my view has some precedence over the others) is "the risk undertaken by the law firm, including whether it agreed to carry disbursements".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Mr. Hunter says this regarding the risk undertaken by HTLN at page 7 of his opinion:</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Risk of non-payment seems to me a legitimate consideration in assessing a fair fee. The client may not be able to afford to pay for the services of the lawyer if the litigation is unsuccessful. This seems most significant in assessing the reasonableness of a contingency fee agreement. As the Court of Appeal stated in </w:t>
      </w:r>
      <w:r>
        <w:rPr>
          <w:rFonts w:ascii="arial" w:eastAsia="arial" w:hAnsi="arial" w:cs="arial"/>
          <w:i/>
          <w:color w:val="000000"/>
          <w:sz w:val="20"/>
          <w:lang w:val="en-US" w:eastAsia="en-US" w:bidi="ar-SA"/>
        </w:rPr>
        <w:t>Lee, supra</w:t>
      </w:r>
      <w:r>
        <w:rPr>
          <w:rFonts w:ascii="arial" w:eastAsia="arial" w:hAnsi="arial" w:cs="arial"/>
          <w:color w:val="000000"/>
          <w:sz w:val="20"/>
          <w:lang w:val="en-US" w:eastAsia="en-US" w:bidi="ar-SA"/>
        </w:rPr>
        <w:t>, "the ability of the client to pay (is) a factor that is critical in many, if not most, contingent fee agreements" (para. 32).</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Ability to pay does not appear to be a factor here. I understand that Wilson was in a position to pay on a fee for services basis.</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The questions of a risk and client expectations are complicated by the existence of the contingency fee agreement. Presumably the Law Firm would have been proceeding on the understanding that it would not be paid unless there was a successful result in the litigation.</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In the end, the issue is not likely a significant one as there seems to have been no real risk of a completely unsuccessful result. I understand that in the fall of 2008, Home advised Rennie that as executor he was prepared to sell the business and pay Wilson $10 million, which Wilson refused. There could not have been any real sense that the Law Firm was at material risk of non-payment by reason of unsuccessful litigation.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Mr. Hunter provided an addendum to his expert opinion by letter of April 21, 2011 specifically in respect of the last paragraph set out above. In his letter to counsel for the Client, Mr. Hunter states:</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At pages 8 and 10 of my March 15 letter I refer to my understanding that in the fall of 2008, Home advised Rennie that as executor he was prepared to sell the business and pay Wilson $10 million, which Wilson refused. Yesterday you advised me that this was not accurate and that I should assume for purposes of my opinion that in the fall of 2008, Home advised Rennie that he </w:t>
      </w:r>
      <w:r>
        <w:rPr>
          <w:rFonts w:ascii="arial" w:eastAsia="arial" w:hAnsi="arial" w:cs="arial"/>
          <w:i/>
          <w:color w:val="000000"/>
          <w:sz w:val="20"/>
          <w:lang w:val="en-US" w:eastAsia="en-US" w:bidi="ar-SA"/>
        </w:rPr>
        <w:t>had been</w:t>
      </w:r>
      <w:r>
        <w:rPr>
          <w:rFonts w:ascii="arial" w:eastAsia="arial" w:hAnsi="arial" w:cs="arial"/>
          <w:color w:val="000000"/>
          <w:sz w:val="20"/>
          <w:lang w:val="en-US" w:eastAsia="en-US" w:bidi="ar-SA"/>
        </w:rPr>
        <w:t xml:space="preserve"> prepared to sell the business and pay Wilson $5 or 10 million but was no longer prepared to do so.</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This does make a difference in my consideration of this matter. I was of the view that if Holt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were prepared to pay Wilson $10 million at a very early stage of the litigation the risk of complete lack of success was minimal. If that situation had changed by the time HTLN took conduct of the defence of the litigation such that there was a non-trivial risk of non-payment, that change affects my opinion of the fee that would be fair to HTLN under all the circumstances.</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In my earlier report, I expressed the opinion that a fee of $2 million would be a fair fee for the law firm. That opinion was based on the assumption that there was very little risk of non-payment in this case. On the understanding that there was in fact a risk of non-payment, it seems to me that this risk should be more fully reflected in the fee HTLN receives. Because the Court of Appeal has urged a "holistic" approach to this assessment, I cannot be analytically precise on the appropriate fee, but in my view the increased risk would support a fee in the $2.5 million range. By saying "in the $2.5 million range" I intend to convey that the fee could be somewhat higher or somewhat lower, but as an order of magnitude, such a fee would appear to me to be fair.</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Mr. Roberts did not specifically opine on the issue of risk.</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xml:space="preserve">  HTLN submit the assessment of risk should not be made with the benefit of hindsight. (i.e., I should not assess the risk knowing, as I do now, that the Action settled some nine months after the Solicitors were retained and without a trial or a lengthy, protracted process). In support of this proposition, HTLN rely on </w:t>
      </w:r>
      <w:r>
        <w:rPr>
          <w:rFonts w:ascii="arial" w:eastAsia="arial" w:hAnsi="arial" w:cs="arial"/>
          <w:i/>
          <w:color w:val="000000"/>
          <w:sz w:val="20"/>
          <w:lang w:val="en-US" w:eastAsia="en-US" w:bidi="ar-SA"/>
        </w:rPr>
        <w:t>Commonwealth Investors Syndicate Ltd. v. Laxton</w:t>
      </w:r>
      <w:r>
        <w:rPr>
          <w:rFonts w:ascii="arial" w:eastAsia="arial" w:hAnsi="arial" w:cs="arial"/>
          <w:color w:val="000000"/>
          <w:sz w:val="20"/>
          <w:lang w:val="en-US" w:eastAsia="en-US" w:bidi="ar-SA"/>
        </w:rPr>
        <w:t xml:space="preserve"> </w:t>
      </w:r>
      <w:hyperlink r:id="rId738" w:history="1">
        <w:r>
          <w:rPr>
            <w:rFonts w:ascii="arial" w:eastAsia="arial" w:hAnsi="arial" w:cs="arial"/>
            <w:i/>
            <w:color w:val="0077CC"/>
            <w:sz w:val="20"/>
            <w:u w:val="single"/>
            <w:shd w:val="clear" w:color="auto" w:fill="FFFFFF"/>
            <w:lang w:val="en-US" w:eastAsia="en-US" w:bidi="ar-SA"/>
          </w:rPr>
          <w:t>(1992), 76 B.C.L.R. (2d) 1</w:t>
        </w:r>
      </w:hyperlink>
      <w:r>
        <w:rPr>
          <w:rFonts w:ascii="arial" w:eastAsia="arial" w:hAnsi="arial" w:cs="arial"/>
          <w:color w:val="000000"/>
          <w:sz w:val="20"/>
          <w:lang w:val="en-US" w:eastAsia="en-US" w:bidi="ar-SA"/>
        </w:rPr>
        <w:t xml:space="preserve"> (S.C.). In this decision Hall, J. (as he then was) specifically confirms at para. 123 that, even in the face of very large fees one must consider the scope of the litigation (in that case considerable) and the task facing the respondent law firm (which Hall J. noted was "fraught with difficulty"). Specifically, his Lordship states, "[i]t is all too easy in hindsight to underestimate the task and the performance ..."</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xml:space="preserve">  The Solicitors also rely on the decision of Smith J. in </w:t>
      </w:r>
      <w:r>
        <w:rPr>
          <w:rFonts w:ascii="arial" w:eastAsia="arial" w:hAnsi="arial" w:cs="arial"/>
          <w:i/>
          <w:color w:val="000000"/>
          <w:sz w:val="20"/>
          <w:lang w:val="en-US" w:eastAsia="en-US" w:bidi="ar-SA"/>
        </w:rPr>
        <w:t>Endean v. The Canadian Red Cross Society; Mitchell v. CRCS</w:t>
      </w:r>
      <w:r>
        <w:rPr>
          <w:rFonts w:ascii="arial" w:eastAsia="arial" w:hAnsi="arial" w:cs="arial"/>
          <w:color w:val="000000"/>
          <w:sz w:val="20"/>
          <w:lang w:val="en-US" w:eastAsia="en-US" w:bidi="ar-SA"/>
        </w:rPr>
        <w:t xml:space="preserve">, </w:t>
      </w:r>
      <w:hyperlink r:id="rId553" w:history="1">
        <w:r>
          <w:rPr>
            <w:rFonts w:ascii="arial" w:eastAsia="arial" w:hAnsi="arial" w:cs="arial"/>
            <w:i/>
            <w:color w:val="0077CC"/>
            <w:sz w:val="20"/>
            <w:u w:val="single"/>
            <w:shd w:val="clear" w:color="auto" w:fill="FFFFFF"/>
            <w:lang w:val="en-US" w:eastAsia="en-US" w:bidi="ar-SA"/>
          </w:rPr>
          <w:t>2000 BCSC 971</w:t>
        </w:r>
      </w:hyperlink>
      <w:r>
        <w:rPr>
          <w:rFonts w:ascii="arial" w:eastAsia="arial" w:hAnsi="arial" w:cs="arial"/>
          <w:color w:val="000000"/>
          <w:sz w:val="20"/>
          <w:lang w:val="en-US" w:eastAsia="en-US" w:bidi="ar-SA"/>
        </w:rPr>
        <w:t>, wherein it was held at paragraph 28:</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The chance of success or failure at this stage was therefore a factor in the percentage fee initially agreed upon and, as well, by reason of the settlement agreement, in the lump sum fee that was later substituted for it. It would be wrong to use hindsight to give different weight to that risk than the lawyers and clients gave to it at the outset.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xml:space="preserve">  And, further, the Court of Appeal in </w:t>
      </w:r>
      <w:r>
        <w:rPr>
          <w:rFonts w:ascii="arial" w:eastAsia="arial" w:hAnsi="arial" w:cs="arial"/>
          <w:i/>
          <w:color w:val="000000"/>
          <w:sz w:val="20"/>
          <w:lang w:val="en-US" w:eastAsia="en-US" w:bidi="ar-SA"/>
        </w:rPr>
        <w:t>Sandbeck v. Glasner &amp; Schwartz</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(1989), 39 B.C.L.R. (2d) 69</w:t>
        </w:r>
      </w:hyperlink>
      <w:r>
        <w:rPr>
          <w:rFonts w:ascii="arial" w:eastAsia="arial" w:hAnsi="arial" w:cs="arial"/>
          <w:color w:val="000000"/>
          <w:sz w:val="20"/>
          <w:lang w:val="en-US" w:eastAsia="en-US" w:bidi="ar-SA"/>
        </w:rPr>
        <w:t>, specifically stated, at pp. 78-79:</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With respect to the issue of risk as to non-payment for work done, I would add that this issue should not be looked at in hindsight as though we were trying the issue of liability. In his argument on appeal on the liability issue, counsel for the appellant made submissions based on speed, distances, time sequences as to the traffic lights etc. The parties to the contract do not have the advantage of such a finely-tuned analysis and cannot be criticized for making a contract in respect of reasonable and honestly held beliefs as to risk, even though hindsight may point to a lesser degree of risk.</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As I have already noted, the retainer was an all or nothing proposition. If the Solicitors failed at trial to set aside the New Instruments, they (and the Client) would receive nothing. Further, the Client was not interested in any sort of monetary settlement. Given that, the risk to HTLN was considerable and should not be minimised.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In fact, to some extent, the negotiated reduction in the percentage amount payable to HTLN if the matter settled early (within the first year) shows some "consideration" given for a reduced risk, as it cannot have been contemplated that a trial could have been completed within one year of entering into the CFA.</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xml:space="preserve">  Finally, pursuant to </w:t>
      </w:r>
      <w:r>
        <w:rPr>
          <w:rFonts w:ascii="arial" w:eastAsia="arial" w:hAnsi="arial" w:cs="arial"/>
          <w:i/>
          <w:color w:val="000000"/>
          <w:sz w:val="20"/>
          <w:lang w:val="en-US" w:eastAsia="en-US" w:bidi="ar-SA"/>
        </w:rPr>
        <w:t>Randall,</w:t>
      </w:r>
      <w:r>
        <w:rPr>
          <w:rFonts w:ascii="arial" w:eastAsia="arial" w:hAnsi="arial" w:cs="arial"/>
          <w:color w:val="000000"/>
          <w:sz w:val="20"/>
          <w:lang w:val="en-US" w:eastAsia="en-US" w:bidi="ar-SA"/>
        </w:rPr>
        <w:t xml:space="preserve"> I must consider the "special skill or knowledge required of counsel". No doubt this litigation required reasonably skilled counsel with some expertise in estate matters. I have already noted that Mr. Crickmore is not so-called "senior" counsel, however, at the time the CFA was entered into, Ms. Mide-Wilson had at her disposal Mr. Van Ommen, Mr. Gary Wilson, Mr. Hordo as well as the other members of the HTLN firm including Mr. Hungerford who has considerable experience as a litigator.</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Mr. Crickmore testified that he was called to the Bar of British Columbia in 1995. He articled and then practiced with the law firm Campney and Murphy until August 2003 when he joined HTLN where he has practiced since. His practice focuses on litigation and he says that before being retained by the Client he had experience working on a number of very complex ligation files. He did admit on cross-examination that he did not have a great deal of experience with estate matters such as this. Mr. Rennie recommended Mr. Crickmore to Ms. Mide-Wilson because he thought Mr. Crickmore was a "talented litigator".</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Mr. Tomyn is currently a solicitor. He started his career in 1975. In the early stages of his practice he did mostly barristers' work including personal injury litigation which he took on the basis of contingency fees. In the 1990s he began taking on some solicitor's work and, over time, he became (mostly) a solicitor. As such, he has acted for a number of clients on sales and purchases of businesses, corporate organizations and some real estate work. He also has a wills and trusts practice and has drafted bare trusts, </w:t>
      </w:r>
      <w:r>
        <w:rPr>
          <w:rFonts w:ascii="arial" w:eastAsia="arial" w:hAnsi="arial" w:cs="arial"/>
          <w:i/>
          <w:color w:val="000000"/>
          <w:sz w:val="20"/>
          <w:lang w:val="en-US" w:eastAsia="en-US" w:bidi="ar-SA"/>
        </w:rPr>
        <w:t>inter vivos</w:t>
      </w:r>
      <w:r>
        <w:rPr>
          <w:rFonts w:ascii="arial" w:eastAsia="arial" w:hAnsi="arial" w:cs="arial"/>
          <w:color w:val="000000"/>
          <w:sz w:val="20"/>
          <w:lang w:val="en-US" w:eastAsia="en-US" w:bidi="ar-SA"/>
        </w:rPr>
        <w:t xml:space="preserve"> trusts, testamentary trusts, alter ego trusts and spousal trusts.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Ms. Teetaert was called to the Bar in Alberta in 2002. She articled and then practiced with Burnett Duckworth and Palmer in Calgary. In 2005 she moved to Vancouver and practiced as an associate lawyer with Stikeman Elliott until she moved to HTLN in February 2008. She was asked to get involved in the Action as she had been involved, while at Burnett Duckworth, in an estate case with a testator who had macular degeneration.</w:t>
      </w:r>
      <w:bookmarkStart w:id="280" w:name="Backward_fnref_fnr-10"/>
      <w:hyperlink w:anchor="Forward_fnref_fnr-10" w:history="1">
        <w:r>
          <w:rPr>
            <w:rFonts w:ascii="arial" w:eastAsia="arial" w:hAnsi="arial" w:cs="arial"/>
            <w:b/>
            <w:color w:val="BE161D"/>
            <w:sz w:val="20"/>
            <w:shd w:val="clear" w:color="auto" w:fill="FFFFFF"/>
            <w:vertAlign w:val="superscript"/>
            <w:lang w:val="en-US" w:eastAsia="en-US" w:bidi="ar-SA"/>
          </w:rPr>
          <w:t>10</w:t>
        </w:r>
      </w:hyperlink>
      <w:bookmarkEnd w:id="280"/>
      <w:r>
        <w:rPr>
          <w:rFonts w:ascii="arial" w:eastAsia="arial" w:hAnsi="arial" w:cs="arial"/>
          <w:color w:val="000000"/>
          <w:sz w:val="20"/>
          <w:lang w:val="en-US" w:eastAsia="en-US" w:bidi="ar-SA"/>
        </w:rPr>
        <w:t xml:space="preserve"> Ms. Teetaert described that case (on which she worked extensively) as a large estate file involving issues with testamentary capacity and issues over wills. Also involved, apparently, were claims against the estate by a mistress.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Mr. Manolis, who assisted with some research, was called to the Bar of British Columbia in 2002. His practice is focussed in the area of civil litigation. He has a Ph.D. in international maritime and commercial law.</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Both Ms. Mide-Wilson and Mr. Wilson testified they were impressed with the lawyers at HTLN; most specifically Mr. Crickmore. As have confirmed earlier, Mr. Rennie recommended HTLN based on his experience with both Mr. Tomyn and Mr. Crickmore, and because, in his view, Mr. Crickmore was a "talented litigator".</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In my view HTLN had the requisite skill and expertise to take on this matter for the Client and one of the reasons the Client chose HTLN was because she felt they had her best interests at heart; she trusted them; and she believed they would do a good job for her. Mr. Crickmore was passionate and excited about the prospect of taking on the Action.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xml:space="preserve">  As I have earlier noted, the parties seemed to be of the opinion, at the time that the CFA was entered into, that the value of the estate was some $100 million. If that proved to be the case and the matter settled in the first year, the Solicitors would be entitled to be paid fees of some $20 million. Mr. Hunter suggests that a fee of that size, whether actual or contemplated, would bring the legal profession into disrepute. He suggests that the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 68(5)) and of the Law Society Rules (specifically Part 8 which requires a lawyer to charge "reasonable remuneration") put a "cap" on fees. Particularly, in relation to the fee, Mr. Hunter says at page 10:</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The question then, assuming that the parties were working on the basis that the value of the estate was $100 million, is whether it was reasonable on December 8, 2008, that HTLN should be paid a fee of $20 million if the litigation was settled by December 9, 2009. It is difficult to see how such a huge fee could be justified for simply being the lawyer of record if the case happened to settle, independent of any consideration of the work done by the law firm.</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Mr. Roberts did not specifically deal with this issue in his opinion. On cross-examination he agreed that had the Action settled on December 9, 2008 it would likely be unreasonable for the law firm to request and be paid a fee in the $16-20 million range.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With the greatest of respect to both Mr. Hunter and Mr. Roberts, the question I must pose is not: If the Action settled on December 9, 2008 would the contemplated fee be reasonable? Rather, I must ask myself: Whether, on December 8, 2008, considering what the parties knew, were the contemplated fees as set out in the CFA reasonable?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 have described in great detail earlier in these reasons what the parties knew on December 8, 2008. I will not repeat all of those specifics in detail here but I will say this:</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On December 8, 2008:</w:t>
      </w:r>
    </w:p>
    <w:p>
      <w:pPr>
        <w:numPr>
          <w:numId w:val="152"/>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Everyone believed they were in the Action for the long-haul;</w:t>
      </w:r>
    </w:p>
    <w:p>
      <w:pPr>
        <w:numPr>
          <w:numId w:val="153"/>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Home had told Rennie on October 17 that he was not interested in paying Ms. Mide-Wilson anything;</w:t>
      </w:r>
    </w:p>
    <w:p>
      <w:pPr>
        <w:numPr>
          <w:numId w:val="154"/>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Ms. Mide-Wilson was not interested in a settlement wherein she was paid money by Home and Gibson; she wanted the company back;</w:t>
      </w:r>
    </w:p>
    <w:p>
      <w:pPr>
        <w:numPr>
          <w:numId w:val="155"/>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A significant amount of legal work would be necessary on a go forward basis; and</w:t>
      </w:r>
    </w:p>
    <w:p>
      <w:pPr>
        <w:numPr>
          <w:numId w:val="156"/>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value of the assets was somewhere in the $100 million range.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xml:space="preserve">  Considering all of these matters, I must ask myself (see </w:t>
      </w:r>
      <w:r>
        <w:rPr>
          <w:rFonts w:ascii="arial" w:eastAsia="arial" w:hAnsi="arial" w:cs="arial"/>
          <w:i/>
          <w:color w:val="000000"/>
          <w:sz w:val="20"/>
          <w:lang w:val="en-US" w:eastAsia="en-US" w:bidi="ar-SA"/>
        </w:rPr>
        <w:t>Commonwealth Investors Syndicate Ltd. v. Laxton</w:t>
      </w:r>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(1994) 94 B.C.L.R. (2d) 177</w:t>
        </w:r>
      </w:hyperlink>
      <w:r>
        <w:rPr>
          <w:rFonts w:ascii="arial" w:eastAsia="arial" w:hAnsi="arial" w:cs="arial"/>
          <w:color w:val="000000"/>
          <w:sz w:val="20"/>
          <w:lang w:val="en-US" w:eastAsia="en-US" w:bidi="ar-SA"/>
        </w:rPr>
        <w:t xml:space="preserve"> (C.A.), per McEachern C.J.B.C., at para. 47):</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as a matter of judgment, whether the fee fixed by the agreement is reasonable and maintains the integrity of the profession? In other words, I think the amount payable under the contract is the starting point for the application of the court's judgment.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There is no doubt that a fee of $20 million is significant. I do not believe that anyone could say otherwise. But was it "unreasonable"? I think not considering all of the circumstances of the Action and the specifics of the retainer between HTLN and Ms. Mide-Wilson on December 8.</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color w:val="000000"/>
          <w:sz w:val="20"/>
          <w:lang w:val="en-US" w:eastAsia="en-US" w:bidi="ar-SA"/>
        </w:rPr>
        <w:t>3. Are the Solicitors Estopped from Claiming Fees under the CFA?</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In her submissions, the Client argues that, even if I find the CFA to be "fair" and "reasonable", HTLN ought to be estopped from claiming under the CFA for four reasons:</w:t>
      </w:r>
      <w:r>
        <w:rPr>
          <w:rFonts w:ascii="arial" w:eastAsia="arial" w:hAnsi="arial" w:cs="arial"/>
          <w:sz w:val="18"/>
          <w:lang w:val="en-US" w:eastAsia="en-US" w:bidi="ar-SA"/>
        </w:rPr>
        <w:cr/>
      </w:r>
    </w:p>
    <w:p>
      <w:pPr>
        <w:numPr>
          <w:numId w:val="157"/>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HTLN's reassurances to the Client that, if the litigation settled quickly, the CFA wouldn't "be worth the paper it's written on";</w:t>
      </w:r>
    </w:p>
    <w:p>
      <w:pPr>
        <w:numPr>
          <w:numId w:val="158"/>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Solicitors' failure to advise the client on December 8, 2008 that those reassurances no longer applied in light of the changes to the contingency percentages (if that in fact was HTLN's view);</w:t>
      </w:r>
    </w:p>
    <w:p>
      <w:pPr>
        <w:numPr>
          <w:numId w:val="159"/>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Solicitors' failure to advise Ms. Mide-Wilson when the Home and Gibson settlement offers were received in July of 2009 that the CFA applied to a settlement of the nature proposed by Home and Gibson (whereby Ms. Mide-Wilson would receive the company in exchange for paying out money, as opposed to a settlement where Ms. Mide-Wilson received money); and</w:t>
      </w:r>
    </w:p>
    <w:p>
      <w:pPr>
        <w:numPr>
          <w:numId w:val="160"/>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Solicitors' failure to answer the client's questions during the mediation regarding the amount of HTLN's fee.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Nathanson, Schachter &amp; Thompson v. Inmet Mining Corp.,</w:t>
      </w:r>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2009 BCCA 385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Inmet</w:t>
      </w:r>
      <w:r>
        <w:rPr>
          <w:rFonts w:ascii="arial" w:eastAsia="arial" w:hAnsi="arial" w:cs="arial"/>
          <w:color w:val="000000"/>
          <w:sz w:val="20"/>
          <w:lang w:val="en-US" w:eastAsia="en-US" w:bidi="ar-SA"/>
        </w:rPr>
        <w:t>], held that in certain circumstances a law firm may be estopped from claiming fees based on conduct and more particularly for representations made by the law firm to a client. At paragraph 58 the Court said:</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The essence of estoppel in this context is a representation by words or conduct that induces detrimental reliance. However, the representation need not be a positive one. As the Supreme Court of Canada said in </w:t>
      </w:r>
      <w:r>
        <w:rPr>
          <w:rFonts w:ascii="arial" w:eastAsia="arial" w:hAnsi="arial" w:cs="arial"/>
          <w:i/>
          <w:color w:val="000000"/>
          <w:sz w:val="20"/>
          <w:lang w:val="en-US" w:eastAsia="en-US" w:bidi="ar-SA"/>
        </w:rPr>
        <w:t>Ryan v. Moore</w:t>
      </w:r>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2005 SCC 38</w:t>
        </w:r>
      </w:hyperlink>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[2005] 2 S.C.R. 53</w:t>
        </w:r>
      </w:hyperlink>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254 D.L.R. (4th) 1</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18"/>
          <w:lang w:val="en-US" w:eastAsia="en-US" w:bidi="ar-SA"/>
        </w:rPr>
      </w:pPr>
      <w:r>
        <w:rPr>
          <w:rFonts w:ascii="arial" w:eastAsia="arial" w:hAnsi="arial" w:cs="arial"/>
          <w:color w:val="000000"/>
          <w:sz w:val="20"/>
          <w:lang w:val="en-US" w:eastAsia="en-US" w:bidi="ar-SA"/>
        </w:rPr>
        <w:t>Silence or inaction will be considered a representation if a legal duty is owed by the representor to the representee to make a disclosure, or take steps, the omission of which is relied upon as creating an estoppels. [At para. 76.]</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Here, the Client suggests that she relied on Mr. Tomyn's statement to her detriment and thus, HTLN are estopped from claiming under the CFA.</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As I have earlier determined that the alleged "assurances" by HTLN that if the litigation settled quickly the CFA would not be worth the paper it was written on did not induce Ms. Mide-Wilson to sign the CFA, this argument must fail. If such assurances do not render the CFA unfair, in my view, it follows that the Solicitors should not be estopped from claiming under the CFA for making such assurances.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The same analysis applies to the second argument: that HTLN had an obligation to advise the Client that, having negotiated changes to the CFA, any prior statements made by them regarding the CFA not being worth the paper it was written on were no longer in force and effect. Regardless, I do not think the Solicitors here are taking the position that by negotiating changes to the CFA, the Client cannot rely on statements they may have made in respect of it.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In further response to this argument, the Solicitors contend that to deny them a fee when they have fully carried out their instructions and obtained the result sought by the Client is "draconian" and is a remedy that should be reserved only for cases of serious misconduct. Specifically they submit:</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In these circumstances, where the result achieved was so exceptional, and the fee so significant under either a contingency or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basis, to deny the fee would be perverse.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Chudy v. Merchant Law Group,</w:t>
      </w:r>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2008 BCCA 484</w:t>
        </w:r>
      </w:hyperlink>
      <w:r>
        <w:rPr>
          <w:rFonts w:ascii="arial" w:eastAsia="arial" w:hAnsi="arial" w:cs="arial"/>
          <w:color w:val="000000"/>
          <w:sz w:val="20"/>
          <w:lang w:val="en-US" w:eastAsia="en-US" w:bidi="ar-SA"/>
        </w:rPr>
        <w:t xml:space="preserve">, the Court of Appeal upheld a decision to deny a solicitor his fee on the basis of the solicitor's misconduct. The trial judge (see </w:t>
      </w:r>
      <w:hyperlink r:id="rId743" w:history="1">
        <w:r>
          <w:rPr>
            <w:rFonts w:ascii="arial" w:eastAsia="arial" w:hAnsi="arial" w:cs="arial"/>
            <w:i/>
            <w:color w:val="0077CC"/>
            <w:sz w:val="20"/>
            <w:u w:val="single"/>
            <w:shd w:val="clear" w:color="auto" w:fill="FFFFFF"/>
            <w:lang w:val="en-US" w:eastAsia="en-US" w:bidi="ar-SA"/>
          </w:rPr>
          <w:t>2007 BCSC 279</w:t>
        </w:r>
      </w:hyperlink>
      <w:r>
        <w:rPr>
          <w:rFonts w:ascii="arial" w:eastAsia="arial" w:hAnsi="arial" w:cs="arial"/>
          <w:color w:val="000000"/>
          <w:sz w:val="20"/>
          <w:lang w:val="en-US" w:eastAsia="en-US" w:bidi="ar-SA"/>
        </w:rPr>
        <w:t>) found that:</w:t>
      </w:r>
      <w:r>
        <w:rPr>
          <w:rFonts w:ascii="arial" w:eastAsia="arial" w:hAnsi="arial" w:cs="arial"/>
          <w:sz w:val="18"/>
          <w:lang w:val="en-US" w:eastAsia="en-US" w:bidi="ar-SA"/>
        </w:rPr>
        <w:cr/>
      </w:r>
    </w:p>
    <w:p>
      <w:pPr>
        <w:numPr>
          <w:numId w:val="161"/>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solicitor's evidence was not helpful;</w:t>
      </w:r>
    </w:p>
    <w:p>
      <w:pPr>
        <w:numPr>
          <w:numId w:val="162"/>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It was impossible to reconcile the solicitor's trust accountings with the monies received by him from his client;</w:t>
      </w:r>
    </w:p>
    <w:p>
      <w:pPr>
        <w:numPr>
          <w:numId w:val="163"/>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solicitor made misrepresentations to the client which induced the client to sign a contingent fee agreement with the solicitors; and</w:t>
      </w:r>
    </w:p>
    <w:p>
      <w:pPr>
        <w:numPr>
          <w:numId w:val="164"/>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To allow the solicitor to recover in any way for the services rendered to his client would sanction duplicitous actions taken by him.</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Ron Perrick</w:t>
      </w:r>
      <w:r>
        <w:rPr>
          <w:rFonts w:ascii="arial" w:eastAsia="arial" w:hAnsi="arial" w:cs="arial"/>
          <w:color w:val="000000"/>
          <w:sz w:val="20"/>
          <w:lang w:val="en-US" w:eastAsia="en-US" w:bidi="ar-SA"/>
        </w:rPr>
        <w:t xml:space="preserve">, Allan J. denied the law corporation fees on a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basis for misconduct which included:</w:t>
      </w:r>
      <w:r>
        <w:rPr>
          <w:rFonts w:ascii="arial" w:eastAsia="arial" w:hAnsi="arial" w:cs="arial"/>
          <w:sz w:val="18"/>
          <w:lang w:val="en-US" w:eastAsia="en-US" w:bidi="ar-SA"/>
        </w:rPr>
        <w:cr/>
      </w:r>
    </w:p>
    <w:p>
      <w:pPr>
        <w:numPr>
          <w:numId w:val="165"/>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Removing trust funds from trust without informing its client and without rendering an account;</w:t>
      </w:r>
    </w:p>
    <w:p>
      <w:pPr>
        <w:numPr>
          <w:numId w:val="166"/>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Refusing to provide an account to its client and; when an account was provided, backdating the account to predate litigation commenced by the clients; and</w:t>
      </w:r>
    </w:p>
    <w:p>
      <w:pPr>
        <w:numPr>
          <w:numId w:val="167"/>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Fabricating a story relating to the fee agreement which story was helpful to his case.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The Solicitors submit that the Client's allegations most certainly do not come close to the level of misconduct required to deny a solicitor his fees, such as that of Mr. Perrick or the Merchant Law Group. I agree and I would not deny the Solicitors fees for their failure (if any) to advise the Client that the negotiated changes to the fee agreement rendered prior statements inapplicable.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In respect to the third issue (HTLN's alleged failure to confirm to the Client upon receipt of the initial Home and Gibson offer and any offers thereafter that the CFA would apply in those circumstances), as I have found against the Client's contention that the CFA would not apply if she obtained what she had retained the Solicitors to obtain for her (the company), I cannot then find that the Solicitors had an obligation to advise Ms. Mide-Wilson when the settlement offers were made that they intended to collect their fee from the assets of the company or based on its value. Ms. Mide-Wilson must have known at the time she signed the CFA that "settlement" included a scenario where she received Jack Cewe's corporate assets, especially as those were her unequivocal instructions to the lawyers.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Lastly, the Client suggests that the Solicitors failed to properly answer her questions during the mediation as to the amount of their fees and therefore they are estopped from claiming any fee.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The parties' evidence differs in respect of what discussions they had (or did not have) about fees during the mediation. Mr. Hungerford testified that during the mediation he advised Ms. Mide-Wilson and Mr. Wilson to accept the $8 million offer from Home and Gibson. He also said that, in giving them this advice, he confirmed that by accepting the offer, the Client could "take advantage" of the lower percentage fee expressed in the CFA because, if the matter went to trial, HTLN's fee would be based on a higher percentage of the "recovery". Both Mr. Wilson and Ms. Mide-Wilson deny Mr. Hungerford told then any such thing.</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Mr. Wilson and Ms. Mide-Wilson also testified to an alleged conversation they had with Mr. Tomyn during the mediation. Both suggest that they specifically asked Mr. Tomyn what HTLN's fees might be but that Mr. Tomyn "deflected" their queries and told them rather to focus on getting a deal done with Home and Gibson; not on the amount of the fees they might be required to pay HTLN at the end of the day.</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xml:space="preserve">  In her submissions, the Client suggests that her evidence and that of Mr. Wilson's is more credible on these issues as it would make sense for them to want to know how much they might be expected to pay the lawyers (and, in fact, it would be strange for them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to want to know). She submits it would be much more natural for her to ask Mr. Tomyn and/or Mr. Crickmore (with whom she had a relationship) about this but that it would not be natural for either her or Mr. Wilson to discuss fees with Mr. Hungerford whom they met only at the mediation or shortly before.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On this point, in general, I preferred the evidence of Mr. Hungerford regarding his role and discussions with the Client and Mr. Wilson during the mediation to that of the Client and Mr. Wilson. Mr. Hungerford presented as a thoughtful and truthful witness in this hearing. It is telling that counsel for the Client was not prepared to suggest during his submissions that Mr. Hungerford was not being truthful about what he said to Ms. Mide-Wilson and Mr. Wilson during the mediation. The furthest he would go was to say that any comments Mr. Hungerford claims to have made about fees must have been made "in passing" and that such "in passing" comments failed to register with either Mr. Wilson or Ms. Mide-Wilson.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xml:space="preserve">  The Client's assertion that they asked Mr. Tomyn about the expected amount of the fee at the mediation was not put to Mr. Tomyn in cross-examination. This assertion is part of a very significant issue raised by the Client: she seeks to deny the Solicitors their fees based on their alleged failure to fulfill an obligation to her to answer her questions about fees at the mediation. In my view the Client's assertion on this point must not succeed based on the rule in </w:t>
      </w:r>
      <w:r>
        <w:rPr>
          <w:rFonts w:ascii="arial" w:eastAsia="arial" w:hAnsi="arial" w:cs="arial"/>
          <w:i/>
          <w:color w:val="000000"/>
          <w:sz w:val="20"/>
          <w:lang w:val="en-US" w:eastAsia="en-US" w:bidi="ar-SA"/>
        </w:rPr>
        <w:t>Browne v. Dunn</w:t>
      </w:r>
      <w:r>
        <w:rPr>
          <w:rFonts w:ascii="arial" w:eastAsia="arial" w:hAnsi="arial" w:cs="arial"/>
          <w:color w:val="000000"/>
          <w:sz w:val="20"/>
          <w:lang w:val="en-US" w:eastAsia="en-US" w:bidi="ar-SA"/>
        </w:rPr>
        <w:t xml:space="preserve"> (1893), 6 R. 67 (H.L.) [</w:t>
      </w:r>
      <w:r>
        <w:rPr>
          <w:rFonts w:ascii="arial" w:eastAsia="arial" w:hAnsi="arial" w:cs="arial"/>
          <w:i/>
          <w:color w:val="000000"/>
          <w:sz w:val="20"/>
          <w:lang w:val="en-US" w:eastAsia="en-US" w:bidi="ar-SA"/>
        </w:rPr>
        <w:t>Browne</w:t>
      </w:r>
      <w:r>
        <w:rPr>
          <w:rFonts w:ascii="arial" w:eastAsia="arial" w:hAnsi="arial" w:cs="arial"/>
          <w:color w:val="000000"/>
          <w:sz w:val="20"/>
          <w:lang w:val="en-US" w:eastAsia="en-US" w:bidi="ar-SA"/>
        </w:rPr>
        <w:t xml:space="preserve">], due to her failure to raise this point with Mr. Tomyn in cross-examination. In </w:t>
      </w:r>
      <w:r>
        <w:rPr>
          <w:rFonts w:ascii="arial" w:eastAsia="arial" w:hAnsi="arial" w:cs="arial"/>
          <w:i/>
          <w:color w:val="000000"/>
          <w:sz w:val="20"/>
          <w:lang w:val="en-US" w:eastAsia="en-US" w:bidi="ar-SA"/>
        </w:rPr>
        <w:t>Browne</w:t>
      </w:r>
      <w:r>
        <w:rPr>
          <w:rFonts w:ascii="arial" w:eastAsia="arial" w:hAnsi="arial" w:cs="arial"/>
          <w:color w:val="000000"/>
          <w:sz w:val="20"/>
          <w:lang w:val="en-US" w:eastAsia="en-US" w:bidi="ar-SA"/>
        </w:rPr>
        <w:t xml:space="preserve"> Lord Halsbury said, at pp. 76-77:</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To my mind nothing would be more absolutely unjust than not to cross-examine witnesses upon evidence which they have given, so as to give them notice, and to give them an opportunity of explanation, and an opportunity very often to defend their own character, and, not having given them such an opportunity to ask the jury afterwards to disbelieve what they have said, although not one question has been directed either to their credit or to the accuracy of the facts they have deposed to.</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Mr. Tomyn should have been given the opportunity to answer this allegation and, as he was not, I should not (and will not) find against the Solicitors based on this alleged failure, particularly where the remedy sought (denial of fees) based on the allegation is of so severe a consequence to the Solicitors.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In my view, the Client's assertion must fail for other reasons as well. The evidence shows that Mr. Crickmore was always available to the Client and Mr. Wilson during the mediation. If either of them had any questions about the amount of the fee they likely would have directed those questions to Mr. Crickmore, not to Mr. Tomyn. The Client, in her submissions, suggests that her relationship with Mr. Crickmore was partially responsible for "lulling her" into entering into the CFA (she had spent some two months in discussions with him about her entire life story). She cannot now suggest that she would not have asked Mr. Crickmore questions about the fees, but only Mr. Tomyn.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I therefore cannot find that the Solicitors failed to answer the Client's questions during the mediation regarding the amount of their fees, and thus they are not estopped from claiming any fees under the CFA.</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u w:val="single"/>
          <w:lang w:val="en-US" w:eastAsia="en-US" w:bidi="ar-SA"/>
        </w:rPr>
        <w:t>What is the Value of the Trust Assets?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As I have decided that the CFA is fair and reasonable, all other things being equal, the Solicitors are entitled to be paid fees equal to 20% of the value of the assets Ms. Mide-Wilson gained through the settlement of the Action. I must now therefore address the issue of the value of those assets.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The assets at issue are those owned by the Jack Cewe Alter Ego Trust (the "Trust Assets") as at August 31, 2009 (the "Valuation Date"). The Trust Assets consist of:</w:t>
      </w:r>
      <w:r>
        <w:rPr>
          <w:rFonts w:ascii="arial" w:eastAsia="arial" w:hAnsi="arial" w:cs="arial"/>
          <w:sz w:val="18"/>
          <w:lang w:val="en-US" w:eastAsia="en-US" w:bidi="ar-SA"/>
        </w:rPr>
        <w:cr/>
      </w:r>
    </w:p>
    <w:p>
      <w:pPr>
        <w:numPr>
          <w:numId w:val="168"/>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100% of the shares of Cewe Holdings Ltd. ("CHL");</w:t>
      </w:r>
    </w:p>
    <w:p>
      <w:pPr>
        <w:numPr>
          <w:numId w:val="169"/>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100% of the shares of Jack Cewe Ltd. ("JCL");</w:t>
      </w:r>
    </w:p>
    <w:p>
      <w:pPr>
        <w:numPr>
          <w:numId w:val="170"/>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100% of the shares of Ridge Gravel &amp; Paving Ltd. ("Ridge");</w:t>
      </w:r>
    </w:p>
    <w:p>
      <w:pPr>
        <w:numPr>
          <w:numId w:val="171"/>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100% of the shares of Heather Construction Co. Ltd. ("Heather");</w:t>
      </w:r>
    </w:p>
    <w:p>
      <w:pPr>
        <w:numPr>
          <w:numId w:val="172"/>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100% of the shares of Jack Cewe Inc.</w:t>
      </w:r>
    </w:p>
    <w:p>
      <w:pPr>
        <w:numPr>
          <w:numId w:val="173"/>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20% of the shares of Shoshone Construction Ltd. ("Shoshone");</w:t>
      </w:r>
    </w:p>
    <w:p>
      <w:pPr>
        <w:numPr>
          <w:numId w:val="174"/>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Certain real property:</w:t>
      </w:r>
    </w:p>
    <w:p>
      <w:pPr>
        <w:numPr>
          <w:numId w:val="175"/>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Parcels of land located in Coquitlam and used in the Pipeline operation (1640, 1681, 1700, 1750, and 1760 Pipeline Road);</w:t>
      </w:r>
    </w:p>
    <w:p>
      <w:pPr>
        <w:numPr>
          <w:numId w:val="176"/>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1641 Pipeline Road (a residential dwelling near the Pipeline pit operations and used as administrative offices);</w:t>
      </w:r>
    </w:p>
    <w:p>
      <w:pPr>
        <w:numPr>
          <w:numId w:val="177"/>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a parcel of land at 1701 Lougheed Highway, Coquitlam ("1701 Lougheed") some of which is used as a works yard for the Field Operations Division of JCL.</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CHL is a real estate holding company. Its assets consist of the land and buildings at 1850 Hillside Avenue ("Hillside") (site of the corporate offices of CHL, JCL, Shoshone, Ridge and Heather) and unimproved land at 1782 Coleman Avenue and 1778 Coleman Avenue in Coquitlam, British Columbia (the "Coleman Properties").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JCL was founded by Jack and Mabel Cewe in 1947. As a general contractor JCL has provided construction services and aggregate supplies to various entities in the Lower Mainland and coastal areas of British Columbia for over fifty years. Projects include major road reconstruction, government transportation, local improvement, and industrial projects.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JCL has an administrative division (the "Administrative Division") plus three operating divisions as follows:</w:t>
      </w:r>
      <w:r>
        <w:rPr>
          <w:rFonts w:ascii="arial" w:eastAsia="arial" w:hAnsi="arial" w:cs="arial"/>
          <w:sz w:val="18"/>
          <w:lang w:val="en-US" w:eastAsia="en-US" w:bidi="ar-SA"/>
        </w:rPr>
        <w:cr/>
      </w:r>
    </w:p>
    <w:p>
      <w:pPr>
        <w:numPr>
          <w:numId w:val="178"/>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an aggregates and gravel extraction and asphalt mixing operation located on and around Pipeline Road in Coquitlam, British Columbia ("Pipeline");</w:t>
      </w:r>
    </w:p>
    <w:p>
      <w:pPr>
        <w:numPr>
          <w:numId w:val="178"/>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an aggregates and gravel extraction operation located on the east side of Jervis Inlet, on the Sunshine Coast of British Columbia ("Jervis"); and</w:t>
      </w:r>
    </w:p>
    <w:p>
      <w:pPr>
        <w:numPr>
          <w:numId w:val="178"/>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a road construction operation based at the Coleman/Hillside and 1701 Lougheed locations and operating throughout the Lower Mainland of British Columbia (the "Field Operations Division").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The Field Operations Division contains JCL's construction contracting business, focussing primarily on road construction, through both government and private sector projects. A significant source of its recurring revenue is from local municipalities in British Columbia. This Division utilizes material from the Pipeline and Jervis quarries which each operate under their own divisions. Pipeline and Jervis provide quarry materials to the Field Operations Division at an internal price below that charged to external customers.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Pipeline supplies a variety of aggregate materials and hot asphalt mix produced by an on-site asphalt plant to customers in the Lower Mainland area of British Columbia. The majority of the asphalt mix produced by Pipeline is utilized by the Field Operations Division.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Jervis is located in an area on the Sunshine Coast off the electric power grid with no road access. Its end products are carried by conveyor to a loading area and loaded onto barges for offshore deliveries to customers on the West Coast of North America.</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Both Pipeline and Jervis operate through Crown licenses.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Ridge's sole function is to provide labour services to JCL (drivers of company dump trucks). Heather's sole function is also to provide labour services to JCL (operators of equipment, crusher wash plant loaders and excavators). Shoshone was not active as at the Valuation Date. In earlier years, Shoshone provided non-union office labour to JCL.</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Jack Cewe Inc. is a wholly owned subsidiary of JCL. It is a US based company with minimal transactions. Jack Cewe Inc. was inactive as at the Valuation Date and no value has been ascribed to it in any of the valuation reports.</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color w:val="000000"/>
          <w:sz w:val="20"/>
          <w:lang w:val="en-US" w:eastAsia="en-US" w:bidi="ar-SA"/>
        </w:rPr>
        <w:t>1. Experts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HTLN retained the following experts to value the Trust Assets:</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u w:val="single"/>
          <w:lang w:val="en-US" w:eastAsia="en-US" w:bidi="ar-SA"/>
        </w:rPr>
        <w:t>Gravel reserves</w:t>
      </w:r>
      <w:r>
        <w:rPr>
          <w:rFonts w:ascii="arial" w:eastAsia="arial" w:hAnsi="arial" w:cs="arial"/>
          <w:color w:val="000000"/>
          <w:sz w:val="20"/>
          <w:lang w:val="en-US" w:eastAsia="en-US" w:bidi="ar-SA"/>
        </w:rPr>
        <w:t>: Eric Beresford ("Beresford"), Professional Engineer;</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u w:val="single"/>
          <w:lang w:val="en-US" w:eastAsia="en-US" w:bidi="ar-SA"/>
        </w:rPr>
        <w:t>Real estate</w:t>
      </w:r>
      <w:r>
        <w:rPr>
          <w:rFonts w:ascii="arial" w:eastAsia="arial" w:hAnsi="arial" w:cs="arial"/>
          <w:color w:val="000000"/>
          <w:sz w:val="20"/>
          <w:lang w:val="en-US" w:eastAsia="en-US" w:bidi="ar-SA"/>
        </w:rPr>
        <w:t xml:space="preserve"> (1701 Lougheed, Hillside, and Coleman Properties): Carl Neilsen ("Neilsen"), Accredited Appraiser;</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u w:val="single"/>
          <w:lang w:val="en-US" w:eastAsia="en-US" w:bidi="ar-SA"/>
        </w:rPr>
        <w:t>Pipeline and Jervis</w:t>
      </w:r>
      <w:r>
        <w:rPr>
          <w:rFonts w:ascii="arial" w:eastAsia="arial" w:hAnsi="arial" w:cs="arial"/>
          <w:color w:val="000000"/>
          <w:sz w:val="20"/>
          <w:lang w:val="en-US" w:eastAsia="en-US" w:bidi="ar-SA"/>
        </w:rPr>
        <w:t>: Keith McCandlish ("McCandlish"), Professional Geoscientist and Professional Geologist; and</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u w:val="single"/>
          <w:lang w:val="en-US" w:eastAsia="en-US" w:bidi="ar-SA"/>
        </w:rPr>
        <w:t>Field Operations Division of JCL</w:t>
      </w:r>
      <w:r>
        <w:rPr>
          <w:rFonts w:ascii="arial" w:eastAsia="arial" w:hAnsi="arial" w:cs="arial"/>
          <w:color w:val="000000"/>
          <w:sz w:val="20"/>
          <w:lang w:val="en-US" w:eastAsia="en-US" w:bidi="ar-SA"/>
        </w:rPr>
        <w:t>: Margaret McFarlane ("McFarlane"), Chartered Business Valuator (BDO).</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Ms. Mide-Wilson retained the following experts to value the estate:</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u w:val="single"/>
          <w:lang w:val="en-US" w:eastAsia="en-US" w:bidi="ar-SA"/>
        </w:rPr>
        <w:t>Gravel reserves</w:t>
      </w:r>
      <w:r>
        <w:rPr>
          <w:rFonts w:ascii="arial" w:eastAsia="arial" w:hAnsi="arial" w:cs="arial"/>
          <w:color w:val="000000"/>
          <w:sz w:val="20"/>
          <w:lang w:val="en-US" w:eastAsia="en-US" w:bidi="ar-SA"/>
        </w:rPr>
        <w:t>: No expert (Ms. Mide-Wilson relied on Beresford's reports in respect of both Pipeline and Jervis);</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u w:val="single"/>
          <w:lang w:val="en-US" w:eastAsia="en-US" w:bidi="ar-SA"/>
        </w:rPr>
        <w:t>Real estate</w:t>
      </w:r>
      <w:r>
        <w:rPr>
          <w:rFonts w:ascii="arial" w:eastAsia="arial" w:hAnsi="arial" w:cs="arial"/>
          <w:color w:val="000000"/>
          <w:sz w:val="20"/>
          <w:lang w:val="en-US" w:eastAsia="en-US" w:bidi="ar-SA"/>
        </w:rPr>
        <w:t xml:space="preserve"> (1701 Lougheed, Hillside, Coleman Properties, as well as some of the properties located at the Pipeline Road Quarry): Andrea Franz and Larry Dybvig, Accredited Appraisers;</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u w:val="single"/>
          <w:lang w:val="en-US" w:eastAsia="en-US" w:bidi="ar-SA"/>
        </w:rPr>
        <w:t>Pipeline and Jervis</w:t>
      </w:r>
      <w:r>
        <w:rPr>
          <w:rFonts w:ascii="arial" w:eastAsia="arial" w:hAnsi="arial" w:cs="arial"/>
          <w:color w:val="000000"/>
          <w:sz w:val="20"/>
          <w:lang w:val="en-US" w:eastAsia="en-US" w:bidi="ar-SA"/>
        </w:rPr>
        <w:t>: Paul McEwen ("McEwen"), Chartered Business Valuator (Ernst &amp; Young); and</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u w:val="single"/>
          <w:lang w:val="en-US" w:eastAsia="en-US" w:bidi="ar-SA"/>
        </w:rPr>
        <w:t>Field Operations Division of JCL</w:t>
      </w:r>
      <w:r>
        <w:rPr>
          <w:rFonts w:ascii="arial" w:eastAsia="arial" w:hAnsi="arial" w:cs="arial"/>
          <w:color w:val="000000"/>
          <w:sz w:val="20"/>
          <w:lang w:val="en-US" w:eastAsia="en-US" w:bidi="ar-SA"/>
        </w:rPr>
        <w:t>: McEwen.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The parties have reached agreement on the following aspects of the valuation:</w:t>
      </w:r>
      <w:r>
        <w:rPr>
          <w:rFonts w:ascii="arial" w:eastAsia="arial" w:hAnsi="arial" w:cs="arial"/>
          <w:sz w:val="18"/>
          <w:lang w:val="en-US" w:eastAsia="en-US" w:bidi="ar-SA"/>
        </w:rPr>
        <w:cr/>
      </w:r>
    </w:p>
    <w:p>
      <w:pPr>
        <w:numPr>
          <w:numId w:val="179"/>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volume of remaining reserves of sand and gravel at Pipeline and Jervis;</w:t>
      </w:r>
      <w:bookmarkStart w:id="281" w:name="Backward_fnref_fnr-11"/>
      <w:hyperlink w:anchor="Forward_fnref_fnr-11" w:history="1">
        <w:r>
          <w:rPr>
            <w:rFonts w:ascii="arial" w:eastAsia="arial" w:hAnsi="arial" w:cs="arial"/>
            <w:b/>
            <w:color w:val="BE161D"/>
            <w:sz w:val="20"/>
            <w:shd w:val="clear" w:color="auto" w:fill="FFFFFF"/>
            <w:vertAlign w:val="superscript"/>
            <w:lang w:val="en-US" w:eastAsia="en-US" w:bidi="ar-SA"/>
          </w:rPr>
          <w:t>11</w:t>
        </w:r>
      </w:hyperlink>
      <w:bookmarkEnd w:id="281"/>
    </w:p>
    <w:p>
      <w:pPr>
        <w:numPr>
          <w:numId w:val="179"/>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1701 Lougheed: Agreed value is $6,716,613.00;</w:t>
      </w:r>
    </w:p>
    <w:p>
      <w:pPr>
        <w:numPr>
          <w:numId w:val="179"/>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Hillside: Agreed value is $1,248,144.00;</w:t>
      </w:r>
    </w:p>
    <w:p>
      <w:pPr>
        <w:numPr>
          <w:numId w:val="179"/>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1778 Coleman Avenue: Agreed value is $540,121.00; and</w:t>
      </w:r>
    </w:p>
    <w:p>
      <w:pPr>
        <w:numPr>
          <w:numId w:val="179"/>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1782 Coleman Avenue: Agreed value is $540,121.00.</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The parties disagree on the values of Ridge, Heather and Shoshone although the differences between them in respect of those particular assets are relatively minor in the overall scheme of things.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The parties' main areas of disagreement are in respect of the values of Pipeline, Jervis and the Field Operations Division.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Specifically the parties' experts have valued the Trust Assets as follows:</w:t>
      </w:r>
      <w:r>
        <w:rPr>
          <w:rFonts w:ascii="arial" w:eastAsia="arial" w:hAnsi="arial" w:cs="arial"/>
          <w:sz w:val="18"/>
          <w:lang w:val="en-US" w:eastAsia="en-US" w:bidi="ar-SA"/>
        </w:rPr>
        <w:cr/>
      </w:r>
    </w:p>
    <w:p>
      <w:pPr>
        <w:spacing w:line="260" w:lineRule="atLeast"/>
        <w:rPr>
          <w:rFonts w:ascii="arial" w:eastAsia="arial" w:hAnsi="arial" w:cs="arial"/>
          <w:sz w:val="18"/>
          <w:lang w:val="en-US" w:eastAsia="en-US" w:bidi="ar-SA"/>
        </w:rPr>
      </w:pPr>
      <w:r>
        <w:pict>
          <v:shape id="_x0000_i1220" type="#_x0000_t75" style="width:404.25pt;height:250.5pt">
            <v:imagedata r:id="rId744" o:title=""/>
          </v:shape>
        </w:pict>
      </w:r>
      <w:r>
        <w:rPr>
          <w:rFonts w:ascii="arial" w:eastAsia="arial" w:hAnsi="arial" w:cs="arial"/>
          <w:sz w:val="18"/>
          <w:lang w:val="en-US" w:eastAsia="en-US" w:bidi="ar-SA"/>
        </w:rPr>
        <w:t xml:space="preserve">  </w:t>
      </w:r>
    </w:p>
    <w:p>
      <w:pPr>
        <w:spacing w:before="120" w:line="240" w:lineRule="atLeast"/>
        <w:ind w:firstLine="240"/>
        <w:rPr>
          <w:rFonts w:ascii="arial" w:eastAsia="arial" w:hAnsi="arial" w:cs="arial"/>
          <w:sz w:val="18"/>
          <w:lang w:val="en-US" w:eastAsia="en-US" w:bidi="ar-SA"/>
        </w:rPr>
      </w:pPr>
      <w:r>
        <w:rPr>
          <w:rFonts w:ascii="arial" w:eastAsia="arial" w:hAnsi="arial" w:cs="arial"/>
          <w:color w:val="000000"/>
          <w:sz w:val="18"/>
          <w:lang w:val="en-US" w:eastAsia="en-US" w:bidi="ar-SA"/>
        </w:rPr>
        <w:t>[Editor's note: Notes</w:t>
      </w:r>
      <w:bookmarkStart w:id="282" w:name="Backward_fnref_fnr-12"/>
      <w:hyperlink w:anchor="Forward_fnref_fnr-12" w:history="1">
        <w:r>
          <w:rPr>
            <w:rFonts w:ascii="arial" w:eastAsia="arial" w:hAnsi="arial" w:cs="arial"/>
            <w:b/>
            <w:color w:val="BE161D"/>
            <w:sz w:val="18"/>
            <w:shd w:val="clear" w:color="auto" w:fill="FFFFFF"/>
            <w:vertAlign w:val="superscript"/>
            <w:lang w:val="en-US" w:eastAsia="en-US" w:bidi="ar-SA"/>
          </w:rPr>
          <w:t>12</w:t>
        </w:r>
      </w:hyperlink>
      <w:bookmarkEnd w:id="282"/>
      <w:r>
        <w:rPr>
          <w:rFonts w:ascii="arial" w:eastAsia="arial" w:hAnsi="arial" w:cs="arial"/>
          <w:color w:val="000000"/>
          <w:sz w:val="18"/>
          <w:lang w:val="en-US" w:eastAsia="en-US" w:bidi="ar-SA"/>
        </w:rPr>
        <w:t>;</w:t>
      </w:r>
      <w:bookmarkStart w:id="283" w:name="Backward_fnref_fnr-13"/>
      <w:hyperlink w:anchor="Forward_fnref_fnr-13" w:history="1">
        <w:r>
          <w:rPr>
            <w:rFonts w:ascii="arial" w:eastAsia="arial" w:hAnsi="arial" w:cs="arial"/>
            <w:b/>
            <w:color w:val="BE161D"/>
            <w:sz w:val="18"/>
            <w:shd w:val="clear" w:color="auto" w:fill="FFFFFF"/>
            <w:vertAlign w:val="superscript"/>
            <w:lang w:val="en-US" w:eastAsia="en-US" w:bidi="ar-SA"/>
          </w:rPr>
          <w:t>13</w:t>
        </w:r>
      </w:hyperlink>
      <w:bookmarkEnd w:id="283"/>
      <w:r>
        <w:rPr>
          <w:rFonts w:ascii="arial" w:eastAsia="arial" w:hAnsi="arial" w:cs="arial"/>
          <w:color w:val="000000"/>
          <w:sz w:val="18"/>
          <w:lang w:val="en-US" w:eastAsia="en-US" w:bidi="ar-SA"/>
        </w:rPr>
        <w:t xml:space="preserve"> are included in the image above]</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i/>
          <w:color w:val="000000"/>
          <w:sz w:val="20"/>
          <w:lang w:val="en-US" w:eastAsia="en-US" w:bidi="ar-SA"/>
        </w:rPr>
        <w:t>a. McCandlish Report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HTLN retained McCandlish to value Pipeline and Jervis. McFarlane (who was retained by HTLN to value the Field Operations Division and JCL as a whole) used McCandlish's values for Pipeline and Jervis to reach her conclusion as to the value of JCL as a whole.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McCandlish is a professional geologist and professional geoscientist. He is a member of the Mining Technical Advisory and Monitoring Committee for the Canadian Securities Administrators, which assisted in the drafting of National Instrument 43-101. He has acted as a mining consultant to the Alberta Stock Exchange, the CDNX, the Toronto Stock Exchange ("TSX") and the TSX-Venture Exchange.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McCandlish advises a number of hedge funds and merchant banks on their investments in mineral properties around the world. He has valued more than 100 mineral properties in his career, including:</w:t>
      </w:r>
      <w:r>
        <w:rPr>
          <w:rFonts w:ascii="arial" w:eastAsia="arial" w:hAnsi="arial" w:cs="arial"/>
          <w:sz w:val="18"/>
          <w:lang w:val="en-US" w:eastAsia="en-US" w:bidi="ar-SA"/>
        </w:rPr>
        <w:cr/>
      </w:r>
    </w:p>
    <w:p>
      <w:pPr>
        <w:numPr>
          <w:numId w:val="180"/>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Quarries (aggregate as well as limestone);</w:t>
      </w:r>
    </w:p>
    <w:p>
      <w:pPr>
        <w:numPr>
          <w:numId w:val="180"/>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Placer mines (generally a gravel quarry which also has a precious metal element);</w:t>
      </w:r>
    </w:p>
    <w:p>
      <w:pPr>
        <w:numPr>
          <w:numId w:val="180"/>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Gold, silver platinum, copper, base metals (to a lesser extent); and</w:t>
      </w:r>
    </w:p>
    <w:p>
      <w:pPr>
        <w:numPr>
          <w:numId w:val="180"/>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Open pit and underground mines.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McCandlish prepared his report in accordance with the 2003 "Standards and Guidelines for Valuation of Mineral Properties", established by the Special Committee of the Canadian Institute of Mining, Metallurgy, and Petroleum on Valuation of Mineral Properties ("CIMVAL"). Although McCandlish is not a certified business valuator (as are both McFarlane and McEwen), under CIMVAL, McCandlish is a qualified valuator of mineral properties.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Mr. Gruber (counsel for Ms. Mide-Wilson) asked McCandlish a number of questions about his qualifications. Specifically he noted that McCandlish does not have a university degree (although he has studied at both the University of Cape Breton and the University of Calgary). Mr. Gruber also noted that one "self-identifies" as a "qualified valuator" under CIMVAL. Ultimately, he did not dispute that McCandlish should be admitted as an expert and I admitted him as such. Mr. Gruber did, however, take issue with some of the methodology used by McCandlish (and McFarlane who incorporated McCandlish's values of Pipeline and Jervis in her valuation of the Field Operations) in valuing Pipeline and Jervis. I will deal with those issues later in these reasons.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McCandlish's report was authored based on instructions from HTLN's counsel and in accordance with CIMVAL. He made a number of assumptions in arriving at his valuation. Assumptions are an important part of valuation. Generally speaking, the assumptions made by all of the experts were similar and were generally not contentious. I will therefore not repeat them here; although where the parties differ and such differences are germane to the issues at hand, I will review them as appropriate in the applicable section of this decision.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McCandlish visited the two quarries and viewed the safely accessible pits, equipment and infrastructure. He determined that these accorded to industry standards and there were no major operational issues that would prevent the mines from continuing to operate.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McCandlish's report confirmed that his valuation is premised on Jervis and Pipeline being individual producing entities; however he noted he was aware that the Pipeline and Jervis properties "are integral to a business undertaking falling under a broader umbrella, a valuation of which is being prepared by others". In his report, McCandlish confirms that his assessment of the fair market value of these two assets is the value he believes could be achieved from a sale of Pipeline and Jervis as at the Valuation Date.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CIMVAL defines "fair market value"</w:t>
      </w:r>
      <w:bookmarkStart w:id="284" w:name="Backward_fnref_fnr-14"/>
      <w:hyperlink w:anchor="Forward_fnref_fnr-14" w:history="1">
        <w:r>
          <w:rPr>
            <w:rFonts w:ascii="arial" w:eastAsia="arial" w:hAnsi="arial" w:cs="arial"/>
            <w:b/>
            <w:color w:val="BE161D"/>
            <w:sz w:val="20"/>
            <w:shd w:val="clear" w:color="auto" w:fill="FFFFFF"/>
            <w:vertAlign w:val="superscript"/>
            <w:lang w:val="en-US" w:eastAsia="en-US" w:bidi="ar-SA"/>
          </w:rPr>
          <w:t>14</w:t>
        </w:r>
      </w:hyperlink>
      <w:bookmarkEnd w:id="284"/>
      <w:r>
        <w:rPr>
          <w:rFonts w:ascii="arial" w:eastAsia="arial" w:hAnsi="arial" w:cs="arial"/>
          <w:color w:val="000000"/>
          <w:sz w:val="20"/>
          <w:lang w:val="en-US" w:eastAsia="en-US" w:bidi="ar-SA"/>
        </w:rPr>
        <w:t xml:space="preserve"> (FMV) as:</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the highest price, expressed in terms of money or money's worth, obtainable in an open and unrestricted market between knowledgeable, informed and prudent parties, acting at arm's length, neither party being under any compulsion to transact.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w:t>
      </w:r>
      <w:hyperlink r:id="rId745" w:history="1">
        <w:r>
          <w:rPr>
            <w:rFonts w:ascii="arial" w:eastAsia="arial" w:hAnsi="arial" w:cs="arial"/>
            <w:i/>
            <w:color w:val="0077CC"/>
            <w:sz w:val="20"/>
            <w:u w:val="single"/>
            <w:shd w:val="clear" w:color="auto" w:fill="FFFFFF"/>
            <w:lang w:val="en-US" w:eastAsia="en-US" w:bidi="ar-SA"/>
          </w:rPr>
          <w:t>R.S.C. 1985, c. 1 (5th Supp.)</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CIMVAL accepts three valuation approaches: the income, market and cost approaches. Determining which approach to use depends on the development stage of the mineral property: exploration, mineral resource, development or production. In his report, McCandlish says that, as in his opinion Pipeline and Jervis are "production" properties, the market and income approaches to valuation are the proper approaches to take in valuing Pipeline and Jervis. According to CIMVAL:</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Market</w:t>
      </w:r>
      <w:r>
        <w:rPr>
          <w:rFonts w:ascii="arial" w:eastAsia="arial" w:hAnsi="arial" w:cs="arial"/>
          <w:color w:val="000000"/>
          <w:sz w:val="20"/>
          <w:lang w:val="en-US" w:eastAsia="en-US" w:bidi="ar-SA"/>
        </w:rPr>
        <w:t xml:space="preserve"> Approach is based primarily on the principle of substitution and is also called the Sales Comparison Approach. The Mineral Property being valued is compared with the transaction value of similar Mineral Properties, transacted in an open market. Methods include comparable transactions and option or farm-in agreement terms analysis.</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Income Approach</w:t>
      </w:r>
      <w:r>
        <w:rPr>
          <w:rFonts w:ascii="arial" w:eastAsia="arial" w:hAnsi="arial" w:cs="arial"/>
          <w:color w:val="000000"/>
          <w:sz w:val="20"/>
          <w:lang w:val="en-US" w:eastAsia="en-US" w:bidi="ar-SA"/>
        </w:rPr>
        <w:t xml:space="preserve"> is based on the principle of anticipation of benefits and includes all methods that are based on the income or cash flow generation potential of the Mineral Property.</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McCandlish's valuation is based on an income approach and is the net present value of future cash flows accruing during the life of the mine on a pre-tax basis. In his report, McCandlish confirms his choice of this method. Specifically he notes that, as there were no useful comparisons to Jervis or Pipeline, he employed the discounted cash flow method (an income approach method) as his primary method of valuation.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In his report, McCandlish explains that a discounted cash flow (DCF) is:</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the net present value of a time series of cash flows, these cash flows being the periodic future income from the mineral property. The values of the future individual periodic cash flows are discounted using a discount rate to a present value. The sum of the present values is the net present value.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For the purposes of valuation and in considering the duration of cash flows from each of Jervis and Pipeline, McCandlish assumed that market conditions will enable extraction of the entire resource and that extraction rates will be close to historical rates. Specifically, based on historical rates of extraction at both Pipeline and Jervis, McCandlish concluded that the life of Pipeline was 75 years and that of Jervis was 18 years.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McCandlish noted the effect of the 2008 recession on the BC aggregates industry; however, he observed that by mid-2009 there was reason for optimism as indicated by an upward trend in the TSX and an article that appeared in the US Society of Mining Engineers annual outlook indicating that the US stimulus plan and general economic recovery should lead to strong growth in 2010 and 2011. He concluded that a valuator should take an optimistic view in late 2009 such that "markets and product pricing would at least be maintained to the value of the three-year trailing average".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McCandlish noted that the discount rate chosen is critical to his valuation. In general terms, according to McCandlish, the discount rate selected reflects the risk-free interest rate, the weighted average cost of capital ("WACC"), the project risk and the location risk. The discount rate is chosen by the valuator based on his experience in valuing similar properties and considering these listed items.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The risk-free interest rate is derived from the long-term interest rate on government bonds which McCandlish found to be 2.14%</w:t>
      </w:r>
      <w:bookmarkStart w:id="285" w:name="Backward_fnref_fnr-15"/>
      <w:hyperlink w:anchor="Forward_fnref_fnr-15" w:history="1">
        <w:r>
          <w:rPr>
            <w:rFonts w:ascii="arial" w:eastAsia="arial" w:hAnsi="arial" w:cs="arial"/>
            <w:b/>
            <w:color w:val="BE161D"/>
            <w:sz w:val="20"/>
            <w:shd w:val="clear" w:color="auto" w:fill="FFFFFF"/>
            <w:vertAlign w:val="superscript"/>
            <w:lang w:val="en-US" w:eastAsia="en-US" w:bidi="ar-SA"/>
          </w:rPr>
          <w:t>15</w:t>
        </w:r>
      </w:hyperlink>
      <w:bookmarkEnd w:id="285"/>
      <w:r>
        <w:rPr>
          <w:rFonts w:ascii="arial" w:eastAsia="arial" w:hAnsi="arial" w:cs="arial"/>
          <w:color w:val="000000"/>
          <w:sz w:val="20"/>
          <w:lang w:val="en-US" w:eastAsia="en-US" w:bidi="ar-SA"/>
        </w:rPr>
        <w:t xml:space="preserve"> based on the average monthly real return of Canadian Government bonds during the 12-month period prior to the Valuation Date.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In his report, McCandlish describes WACC as:</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the rate that a company is expected to pay on average to all its security holders to finance its assets and is the minimum that a company must earn to satisfy its creditors, owners, and other providers of capital, or they will invest elsewhere.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Although it is generally a factor in selecting a discount rate, here McCandlish did not factor the WACC into the discount rate he chose for Pipeline and Jervis. He explained that, in his view, WACC is an important factor in the valuation of start-ups requiring large investments before creating positive cash flows, but as neither Pipeline nor Jervis are start-up entities, he concluded that WACC ought not to be a factor in his valuation of Pipeline and Jervis.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Project risk is specific to the properties in question; i.e. the risk that the project will not perform well enough to generate the projected cash flows. This factor takes into account the chance of:</w:t>
      </w:r>
      <w:r>
        <w:rPr>
          <w:rFonts w:ascii="arial" w:eastAsia="arial" w:hAnsi="arial" w:cs="arial"/>
          <w:sz w:val="18"/>
          <w:lang w:val="en-US" w:eastAsia="en-US" w:bidi="ar-SA"/>
        </w:rPr>
        <w:cr/>
      </w:r>
    </w:p>
    <w:p>
      <w:pPr>
        <w:numPr>
          <w:numId w:val="181"/>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catastrophic loss of infrastructure due to accident or </w:t>
      </w:r>
      <w:r>
        <w:rPr>
          <w:rFonts w:ascii="arial" w:eastAsia="arial" w:hAnsi="arial" w:cs="arial"/>
          <w:i/>
          <w:color w:val="000000"/>
          <w:sz w:val="20"/>
          <w:lang w:val="en-US" w:eastAsia="en-US" w:bidi="ar-SA"/>
        </w:rPr>
        <w:t>force majeure</w:t>
      </w:r>
      <w:r>
        <w:rPr>
          <w:rFonts w:ascii="arial" w:eastAsia="arial" w:hAnsi="arial" w:cs="arial"/>
          <w:color w:val="000000"/>
          <w:sz w:val="20"/>
          <w:lang w:val="en-US" w:eastAsia="en-US" w:bidi="ar-SA"/>
        </w:rPr>
        <w:t>;</w:t>
      </w:r>
    </w:p>
    <w:p>
      <w:pPr>
        <w:numPr>
          <w:numId w:val="182"/>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reduced revenue due to reduced sales volume or unit price; and</w:t>
      </w:r>
    </w:p>
    <w:p>
      <w:pPr>
        <w:numPr>
          <w:numId w:val="183"/>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increased costs of production due to increased input costs.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McCandlish found catastrophic loss to be very unlikely as the properties are mature and well-managed and located in a fairly benign meteorological environment. However, he determined that an increase in the discount rate of 2.86% was warranted to account for risks of reduced revenue and increased costs. McCandlish felt that there was no location risk</w:t>
      </w:r>
      <w:bookmarkStart w:id="286" w:name="Backward_fnref_fnr-16"/>
      <w:hyperlink w:anchor="Forward_fnref_fnr-16" w:history="1">
        <w:r>
          <w:rPr>
            <w:rFonts w:ascii="arial" w:eastAsia="arial" w:hAnsi="arial" w:cs="arial"/>
            <w:b/>
            <w:color w:val="BE161D"/>
            <w:sz w:val="20"/>
            <w:shd w:val="clear" w:color="auto" w:fill="FFFFFF"/>
            <w:vertAlign w:val="superscript"/>
            <w:lang w:val="en-US" w:eastAsia="en-US" w:bidi="ar-SA"/>
          </w:rPr>
          <w:t>16</w:t>
        </w:r>
      </w:hyperlink>
      <w:bookmarkEnd w:id="286"/>
      <w:r>
        <w:rPr>
          <w:rFonts w:ascii="arial" w:eastAsia="arial" w:hAnsi="arial" w:cs="arial"/>
          <w:color w:val="000000"/>
          <w:sz w:val="20"/>
          <w:lang w:val="en-US" w:eastAsia="en-US" w:bidi="ar-SA"/>
        </w:rPr>
        <w:t xml:space="preserve"> and made no adjustment to his discount rate to account for location risk.</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McCandlish added the risk free interest rate of 2.14% to the project risk of 2.86% to arrive at a real discount rate of 5%. It should be noted that both McFarlane and McEwen used nominal rates, i.e. adjusted for inflation. It was agreed that McCandlish's 5% real rate equates to a 7% nominal rate.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Based on documents provided to him by JCL, McCandlish calculated the time series cash flows in 2009 dollars, including royalties and reclamation charges. McCandlish used a trailing three year revenue per tonne (an approach he says is common in the minerals industry and required by the US Securities and Exchange Commission for projecting forward pricing). He also opined that the internal sales pricing is likely the most accurate measure of actual costs of production. Based on all of these factors, for Pipeline, McCandlish found an operating margin of $3.51/t. He says that, over a 75 year life and using a discount rate of 5% the net present value (NPV) of Pipeline is $86 million.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With respect to Jervis, McCandlish believed the data provided by JCL was developed to persuade the Province of BC to reduce its royalties on aggregates sold by showing economic losses. McCandlish determined that the trailing three year average costs per tonne reflected by the internal material transfer costs averaged $4.21/t for 2006 to 2008 but that the $2.60 value for 2006 was lower than acceptable. He therefore was of the opinion that a more appropriate value was in the order of $5.15/t. McCandlish determined the operating margin to be $3.68/t for the purposes of his NPV calculation. This, over an 18 year life at a 5% discount rate produced a NPV for Jervis of $32.1 million.</w:t>
      </w:r>
      <w:bookmarkStart w:id="287" w:name="Backward_fnref_fnr-17"/>
      <w:hyperlink w:anchor="Forward_fnref_fnr-17" w:history="1">
        <w:r>
          <w:rPr>
            <w:rFonts w:ascii="arial" w:eastAsia="arial" w:hAnsi="arial" w:cs="arial"/>
            <w:b/>
            <w:color w:val="BE161D"/>
            <w:sz w:val="20"/>
            <w:shd w:val="clear" w:color="auto" w:fill="FFFFFF"/>
            <w:vertAlign w:val="superscript"/>
            <w:lang w:val="en-US" w:eastAsia="en-US" w:bidi="ar-SA"/>
          </w:rPr>
          <w:t>17</w:t>
        </w:r>
      </w:hyperlink>
      <w:bookmarkEnd w:id="287"/>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McCandlish considered employing a market approach valuation as a secondary method of valuation. This method (also called the "sales comparison approach") entails comparing the two properties being valued with the transaction value of similar mineral properties transacted in an open market.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As he could find no open market sales transactions, McCandlish turned to another secondary method of valuation within the market approach known as the market capitalization method. McCandlish was only able to find one suitable comparable: Polaris Minerals Corporation ("Polaris"), a coastal BC aggregate producer listed on the TSX. He noted that while Polaris was the only suitable comparable, the differences between it and Pipeline and Jervis were significant enough that the market approach to valuation could only be used as a secondary check.</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In his report, McCandlish finds:</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The range of values for the Pipeline Road property derived from the Market Approach is between $20.25 million and $77.2 million, with an average value of $51.1 million.</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The range of values for the Treat Creek [Jervis] property derived from the Market Approach is between $11.1 million and $48.4 million, with an average value of $23.9 million.</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Although the operations are not exact comparables, it is the author's opinion that the value ascribed to the operations of Polaris Minerals by virtue of their market capitalization provides a useful lower bound value for the fair market value of Jack Cewe Properties.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As noted earlier, based on the income approach (his preferred method of valuation) McCandlish found values of $86 million for Pipeline and $32.1 million for Jervis.</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i/>
          <w:color w:val="000000"/>
          <w:sz w:val="20"/>
          <w:lang w:val="en-US" w:eastAsia="en-US" w:bidi="ar-SA"/>
        </w:rPr>
        <w:t>b. McFarlane Report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McFarlane was asked to provide a fair market value opinion of the Trust Assets as at the Valuation Date. McFarlane is a partner at BDO Canada LLP, Chartered Accountants and Advisors and a Senior Vice-President, BDO Canada Corporate Finance Inc. She is a member of the Law Society of British Columbia, a Chartered Accountant and a Certified Business Valuator. McFarlane is also a member of the Board of Governors of the British Columbia Institute of Technology and a member of the Institute of Chartered Accountants of British Columbia ("ICABC") Rulings Committee. She is the past Vice-Chair of the Professional Conduct Enquiry Committee of the ICABC. McFarlane has been qualified as an expert witness and has previously given testimony as such in this court.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The Client did not dispute McFarlane's qualifications as an expert and I admitted her as such for the purposes of providing expert opinion evidence as to the value of the Trust Assets.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McFarlane prepared two reports: (a) an Estimate Valuation Report dated March 24, 2011 (the "BDO Valuation Report") wherein she opines on the value of the Trust Assets, including the Field Operations Division and, using McCandlish's report, the overall value of JCL; and (b) a Limited Critique and Addendum Report dated April 21, 2011 (the "Critique Report") wherein she comments on McEwen's report and revises her valuations in the BDO Valuation Report based on additional documentation provided to her pertaining to equipment used in the operations of JCL. For ease of reference I will refer in general terms to the BDO Valuation Report and the Critique Report collectively when I refer to McFarlane's "report." Where needed I will specify to which individual report I am referring.</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McFarlane noted that her reports conform to the Practice Standards for Limited Critique and Valuation Reports of the Canadian Institute of Chartered Business Valuators of which she is a member. The BDO Valuation Report includes a valuation of JCL, CHL, Ridge, Heather, Shoshone, and Jack Cewe Inc. In preparing that report, McFarlane was asked to rely on the real estate appraisals prepared by Nielsen and McCandlish's report for the values of Pipeline and Jervis.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McFarlane noted that in the McCandlish report the quarries were valued based on the preferential internal pricing of materials extracted from the quarries and supplied to the Field Operations Division. Specifically McFarlane states:</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In other words, the McCandlish Report has assumed that the quarries will continue to supply the quarry materials to the Field Operations Division at preferential internal pricing below market value.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Because of this, HTLN's counsel asked McFarlane to specifically include the value of the synergies experienced by the Field Operations Division as a result of being able to purchase materials from the quarries at discounted market prices.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For the purposes of her report, McFarlane defines FMV as:</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the highest price, in terms of cash equivalents, at which property would change hands between a hypothetical willing and able buyer and a hypothetical willing and able seller acting at arm's length in an open and unrestricted market when neither is under compulsion to buy or sell and when both have reasonable knowledge of the relevant facts ... taking into account the synergies referred to in paragraph 5 [with respect to the quarries]".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McFarlane, like McCandlish, outlines a number of assumptions she made in preparing her report. Of significance, she mentions that JCL has not received any offers to purchase the company as a whole or any of its significant assets in the last five years. She notes that, because of this, she did not consider "special purchasers" in her analysis of the value of the Trust Assets. I will return to this comment later in these reasons.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Her report notes that there is no depreciation recorded in the operating statements of the Field Operations Division because equipment costs are allocated from the Administrative Division to the Field Operations Division, similar to how an equipment holding company would lease contracting equipment to an affiliated operation company. Consequently, her valuation focuses on earnings before interest and tax ("EBIT") rather than earnings before interest, tax, depreciation and amortization ("EBITDA"), the focus used by McEwen in his report.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McFarlane set out the financial position and operations of each of the companies in her report, followed by the industry and economic conditions and outlook. She allocated the total net income of JCL amongst the three operating divisions and the Administrative Division.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McFarlane used data on the road construction industry taken from a Management Discussion &amp; Analysis report of specific Canadian public companies having an infrastructure general contracting division. She concluded that the heavy civil road construction industry includes various public and private sector clients. The industry is highly fragmented with a number of national, regional and local construction firms. Key drivers for success include securing profitable construction contracts and controlling the costs associated with them. Work is often obtained through a competitive bidding process in response to advertisements by federal, provincial and local governments, and is sometimes negotiated with private clients.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According to McFarlane, a number of variables may negatively or positively affect the actual performance of a contract as compared to its bid price:</w:t>
      </w:r>
      <w:r>
        <w:rPr>
          <w:rFonts w:ascii="arial" w:eastAsia="arial" w:hAnsi="arial" w:cs="arial"/>
          <w:sz w:val="18"/>
          <w:lang w:val="en-US" w:eastAsia="en-US" w:bidi="ar-SA"/>
        </w:rPr>
        <w:cr/>
      </w:r>
    </w:p>
    <w:p>
      <w:pPr>
        <w:numPr>
          <w:numId w:val="184"/>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contracts are performed on a lump sum basis where contractors are committed to providing materials/service at fixed unit prices -- if the cost of inputs increases, this is borne by the contractor;</w:t>
      </w:r>
    </w:p>
    <w:p>
      <w:pPr>
        <w:numPr>
          <w:numId w:val="185"/>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completeness and accuracy of the original bid;</w:t>
      </w:r>
    </w:p>
    <w:p>
      <w:pPr>
        <w:numPr>
          <w:numId w:val="186"/>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added scope changes; weather/other delays;</w:t>
      </w:r>
    </w:p>
    <w:p>
      <w:pPr>
        <w:numPr>
          <w:numId w:val="187"/>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subcontractor performance issues; changes in productivity expectations; site conditions which differ from those cited in bid; and</w:t>
      </w:r>
    </w:p>
    <w:p>
      <w:pPr>
        <w:numPr>
          <w:numId w:val="188"/>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availability/skill level of workers.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McFarlane also noted that the road construction industry is cyclical, usually following the state of the economy. It is also highly competitive such that when contracts are scarce, bid values will drop, reducing profitability of contracts. However, in early 2009 as a result of the economic downturn, the federal government pledged $12 billion over two years to stimulate overall economic recovery. The 2010 Olympics was an additional driving force of government spending to improve infrastructure in the region.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McFarlane summarized the economic outlook for Canada, the United States and British Columbia, as these were the regions within which JCL generally operates. As well, her report considers historical building permit activity and other statistics. Based on these comparisons, she finds that the Field Operations Division is comparable to the behaviour of British Columbia's GDP in transportation, engineering, construction and BC non-residential permits. However, she notes there may be a one-year lag in the latter data. This is to be expected as construction generally commences a year after the issuance of a building permit.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McFarlane valued the Field Operations Division as a going concern (absent equipment which she valued separately) using a capitalized earnings method pursuant to an income approach to valuation. The capitalized earnings method assumes that a prospective purchaser would acquire the Field Operations Division as a going concern, based on expectations of future earnings and cash flow. This method takes into account prevailing risk-free rates of return, rates of return on alternative investments, and prospective growth in discretionary earnings or cash flow.</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McFarlane reviewed JCL's historical operations since 2004 to determine maintainable EBIT. McFarlane said she put greater emphasis on more recent years to account for higher than normal margins in 2005/2006. McFarlane then concluded that the EBIT/revenue ratio for the 2009 stub period (to August 31) was inconsistent with historical rates. Because of this, she applied a scatter-plot of EBIT/revenue for the years-ended December 31, 2008 and found a linear relationship which she then applied to 2009. On a going-forward basis, McFarlane determined that the Field Operations Division could reasonably maintain an EBIT margin percentage of 11.4% of revenues on maintainable revenues of $29.97 million to $36.63 million.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To determine discretionary after-tax earnings, McFarlane used the combined Federal/Provincial notional corporate income tax rate that a notional purchaser would be subject to, using a weighted average of future notional corporate tax rates. This, she said, represents the best estimate of the future earnings of operations. As these earnings are prior to interest on debt, they represent a return to both equity and debt holders. Because of this, McFarlane then discounted discretionary after-tax earnings using WACC which according to McFarlane: "represents a rate of return determined as the weighted average of: (i) the after-tax cost of debt; and (ii) the levered cost of common equity".</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To ascertain the appropriate cost of equity, McFarlane used the build-up approach whereby the return of equity is calculated as the sum of the risk-free rate, the equity risk premium, the size premium and company-specific risks. McFarlane used a long-term nominal risk-free rate of 3.9% as at the Valuation Date.</w:t>
      </w:r>
      <w:bookmarkStart w:id="288" w:name="Backward_fnref_fnr-18"/>
      <w:hyperlink w:anchor="Forward_fnref_fnr-18" w:history="1">
        <w:r>
          <w:rPr>
            <w:rFonts w:ascii="arial" w:eastAsia="arial" w:hAnsi="arial" w:cs="arial"/>
            <w:b/>
            <w:color w:val="BE161D"/>
            <w:sz w:val="20"/>
            <w:shd w:val="clear" w:color="auto" w:fill="FFFFFF"/>
            <w:vertAlign w:val="superscript"/>
            <w:lang w:val="en-US" w:eastAsia="en-US" w:bidi="ar-SA"/>
          </w:rPr>
          <w:t>18</w:t>
        </w:r>
      </w:hyperlink>
      <w:bookmarkEnd w:id="288"/>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McFarlane used 5.5% for the equity risk premium which she explained represents the incremental return investors require as compensation for the added risk associated with equity instruments as compared to risk-free securities. She used a consensus estimate of long-run equity risk in Canada to derive this percentage.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McFarlane set the size premium (the incremental return investors require as compensation for taking on the added risk associated with a smaller company) at 9%. She then added company specific risk</w:t>
      </w:r>
      <w:bookmarkStart w:id="289" w:name="Backward_fnref_fnr-19"/>
      <w:hyperlink w:anchor="Forward_fnref_fnr-19" w:history="1">
        <w:r>
          <w:rPr>
            <w:rFonts w:ascii="arial" w:eastAsia="arial" w:hAnsi="arial" w:cs="arial"/>
            <w:b/>
            <w:color w:val="BE161D"/>
            <w:sz w:val="20"/>
            <w:shd w:val="clear" w:color="auto" w:fill="FFFFFF"/>
            <w:vertAlign w:val="superscript"/>
            <w:lang w:val="en-US" w:eastAsia="en-US" w:bidi="ar-SA"/>
          </w:rPr>
          <w:t>19</w:t>
        </w:r>
      </w:hyperlink>
      <w:bookmarkEnd w:id="289"/>
      <w:r>
        <w:rPr>
          <w:rFonts w:ascii="arial" w:eastAsia="arial" w:hAnsi="arial" w:cs="arial"/>
          <w:color w:val="000000"/>
          <w:sz w:val="20"/>
          <w:lang w:val="en-US" w:eastAsia="en-US" w:bidi="ar-SA"/>
        </w:rPr>
        <w:t xml:space="preserve"> of 9.86% to arrive at an estimated total cost of equity of 28.26%.</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The McFarlane report assumes a 20% and 80% equity ratio based on an analysis of 2008 and 2009 Risk Management Association financial benchmark ratios for companies in highway, street and bridge construction as well as a review of the Field Operations Division debt capacity based on notional working capital which can be leveraged for debt security.</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McFarlane arrived at a WACC of 22.5-23.5% and then deducted 1% estimated annual growth. This provided capitalization multiples in the range of 4.4 to 4.7. Applying these rates to the projected discretionary after-tax earnings of the Field Operations Division results in an enterprise value of approximately $11.8-13.5 million.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The intangible value of the Fields Operation Division was assessed by calculating the notional working capital required by the Field Division and subtracting this figure from the enterprise value. This method results in McFarlane's estimate of an intangible value of $8.64-$10.34 million, or 3.2-3.4 times EBIT.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Like McCandlish, McFarlane valued the Field Operations Division based on a market approach as a secondary check to determine the appropriateness of her valuation using the income approach. Ultimately, McFarlane did not rely on this approach as she did not locate sufficiently comparable companies.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McFarlane noted that she specifically excluded values for working capital, properties, and equipment estimated to be used in the quarry operations to avoid double-counting.</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In the BDO Valuation Report, McFarlane used the insured values for equipment which she believed equated to depreciated replacement values, based on communications (through counsel) between McFarlane and JCL's management. According to McFarlane, management indicated that this would be the best estimate of the value of equipment. After adjusting for tax considerations, McFarlane's estimate of the fair market value of the equipment was $3.8 million. After issuing the BDO Valuation Report, McFarlane received additional information from JCL with respect to equipment value. She then calculated that the estimated net market value of the property, plant and equipment relating to Field Operations Division (taking into account an increase in the tax shield foregone) increased by $340,000 (to $4.14 million) based on this new revised information.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McFarlane calculated the quarries' respective income tax liabilities and then deducted interest-bearing debt to determine the FMV of the net operating assets of JCL as at the Valuation Date. McFarlane then added $6.86 million for net redundant assets. McFarlane determined that the settlement money owing to Gibson and Home could be paid without compromising necessary working capital and therefore this money should be included in her valuation as redundant. In calculating the amount of net redundant assets, McFarlane reduced the settlement amount by the amount owing to related companies on the assumption that this would be paid from redundant cash.</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McFarlane then calculated the tangible asset backing to determine the extent of risk inherent in her calculation. McFarlane defines tangible asset backing as:</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the aggregate fair market value of all tangible and identifiable intangible assets where the value of both, less all liabilities, has been determined on a going-concern assumption. The difference between the going concern value of a business' operations and its tangible asset backing equals intangible value, including goodwill.</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McFarlane found a tangible asset backing value of $95.6 million. She concludes:</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This level of tangible asset backing supports the en bloc valuation of the shares of Jack Cewe Ltd. in the range of $104.9 million to $106.6 million.</w:t>
      </w:r>
      <w:bookmarkStart w:id="290" w:name="Backward_fnref_fnr-20"/>
      <w:hyperlink w:anchor="Forward_fnref_fnr-20" w:history="1">
        <w:r>
          <w:rPr>
            <w:rFonts w:ascii="arial" w:eastAsia="arial" w:hAnsi="arial" w:cs="arial"/>
            <w:b/>
            <w:color w:val="BE161D"/>
            <w:sz w:val="20"/>
            <w:shd w:val="clear" w:color="auto" w:fill="FFFFFF"/>
            <w:vertAlign w:val="superscript"/>
            <w:lang w:val="en-US" w:eastAsia="en-US" w:bidi="ar-SA"/>
          </w:rPr>
          <w:t>20</w:t>
        </w:r>
      </w:hyperlink>
      <w:bookmarkEnd w:id="290"/>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McFarlane valued CHL, Ridge, Heather, Shoshone Construction and Jack Cewe Inc. on an adjusted net book value basis, which is an asset approach to valuation. This approach is applicable when the underlying asset values constitute the prime determinant of corporate worth. McFarlane explains that this approach focuses on the individual asset and liability values from the company's balance sheet, which are adjusted to fair market value. The approach also considers corporate income taxes and disposition costs that would be payable if the underlying assets are sold.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In summary, McFarlane's report concludes that the values of the Trust Assets are: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JCL</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$106,050,000</w:t>
            </w:r>
          </w:p>
        </w:tc>
        <w:tc>
          <w:tcPr>
            <w:tcW w:w="1024" w:type="dxa"/>
            <w:tcBorders>
              <w:bottom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c>
          <w:tcPr>
            <w:tcW w:w="6042"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bookmarkStart w:id="291" w:name="Backward_fnref_fnr-21"/>
            <w:hyperlink w:anchor="Forward_fnref_fnr-21" w:history="1">
              <w:r>
                <w:rPr>
                  <w:rFonts w:ascii="arial" w:eastAsia="arial" w:hAnsi="arial" w:cs="arial"/>
                  <w:b/>
                  <w:color w:val="BE161D"/>
                  <w:sz w:val="18"/>
                  <w:shd w:val="clear" w:color="auto" w:fill="FFFFFF"/>
                  <w:vertAlign w:val="superscript"/>
                  <w:lang w:val="en-US" w:eastAsia="en-US" w:bidi="ar-SA"/>
                </w:rPr>
                <w:t>21</w:t>
              </w:r>
            </w:hyperlink>
            <w:bookmarkEnd w:id="291"/>
          </w:p>
        </w:tc>
        <w:tc>
          <w:tcPr>
            <w:tcW w:w="1024" w:type="dxa"/>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882"/>
        <w:gridCol w:w="2301"/>
        <w:gridCol w:w="564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Ridge</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$140,000</w:t>
            </w:r>
          </w:p>
        </w:tc>
        <w:tc>
          <w:tcPr>
            <w:tcW w:w="5530"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091"/>
        <w:gridCol w:w="2091"/>
        <w:gridCol w:w="564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2048"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Heather</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$50,000</w:t>
            </w:r>
          </w:p>
        </w:tc>
        <w:tc>
          <w:tcPr>
            <w:tcW w:w="5530"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2301"/>
        <w:gridCol w:w="1882"/>
        <w:gridCol w:w="564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2253"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Shoshone</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$7,000</w:t>
            </w:r>
          </w:p>
        </w:tc>
        <w:tc>
          <w:tcPr>
            <w:tcW w:w="5530"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869"/>
        <w:gridCol w:w="49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Jack Cewe Inc.</w:t>
            </w:r>
          </w:p>
        </w:tc>
        <w:tc>
          <w:tcPr>
            <w:tcW w:w="4813"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Nil</w:t>
            </w:r>
          </w:p>
        </w:tc>
        <w:tc>
          <w:tcPr>
            <w:tcW w:w="1024"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2510"/>
        <w:gridCol w:w="627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CHL</w:t>
            </w:r>
          </w:p>
        </w:tc>
        <w:tc>
          <w:tcPr>
            <w:tcW w:w="6144"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u w:val="single"/>
                <w:lang w:val="en-US" w:eastAsia="en-US" w:bidi="ar-SA"/>
              </w:rPr>
              <w:t>$2,500,000</w:t>
            </w:r>
          </w:p>
        </w:tc>
        <w:tc>
          <w:tcPr>
            <w:tcW w:w="1024"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2614"/>
        <w:gridCol w:w="564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TOTAL</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$108,147,000</w:t>
            </w:r>
          </w:p>
        </w:tc>
        <w:tc>
          <w:tcPr>
            <w:tcW w:w="5530"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The value of 1701 Lougheed ($6,716,600) must be added to these values. In conclusion, McFarlane opines that the value of the Trust Assets ranges between $114.6 and $116.3 million</w:t>
      </w:r>
      <w:bookmarkStart w:id="292" w:name="Backward_fnref_fnr-22"/>
      <w:hyperlink w:anchor="Forward_fnref_fnr-22" w:history="1">
        <w:r>
          <w:rPr>
            <w:rFonts w:ascii="arial" w:eastAsia="arial" w:hAnsi="arial" w:cs="arial"/>
            <w:b/>
            <w:color w:val="BE161D"/>
            <w:sz w:val="20"/>
            <w:shd w:val="clear" w:color="auto" w:fill="FFFFFF"/>
            <w:vertAlign w:val="superscript"/>
            <w:lang w:val="en-US" w:eastAsia="en-US" w:bidi="ar-SA"/>
          </w:rPr>
          <w:t>22</w:t>
        </w:r>
      </w:hyperlink>
      <w:bookmarkEnd w:id="292"/>
      <w:r>
        <w:rPr>
          <w:rFonts w:ascii="arial" w:eastAsia="arial" w:hAnsi="arial" w:cs="arial"/>
          <w:color w:val="000000"/>
          <w:sz w:val="20"/>
          <w:lang w:val="en-US" w:eastAsia="en-US" w:bidi="ar-SA"/>
        </w:rPr>
        <w:t>.</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i/>
          <w:color w:val="000000"/>
          <w:sz w:val="20"/>
          <w:lang w:val="en-US" w:eastAsia="en-US" w:bidi="ar-SA"/>
        </w:rPr>
        <w:t>c. McEwen Report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McEwen was hired by Ms. Mide-Wilson to value all of the Trust Assets. Ms. Mide-Wilson did not hire anyone other than McEwen to value the quarries.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McEwen is a partner in and leads the Valuation and Business Modelling Division of Ernst &amp; Young, LLP. He holds the designations of Chartered Accountant, Certified Fraud Examiner, Canadian Institute of Chartered Accountants, Investigative and Forensic Accountant, and Chartered Business Valuator. He has 20 years experience in public accounting and management consulting, has been an expert and fact witness in civil, criminal, regulatory and income taxation matters in British Columbia and Ontario, has experience preparing expert reports on business valuation matters, and has investigative training and experience regarding claims dealing with fabricated or altered business records, among other things.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McEwen has valued approximately 15 companies in the mining business, and has been qualified as an expert with respect to one of them. He does not, however, have experience valuing quarries as standalone entities. HTLN did not specifically contest McEwen's ability to testify as an expert. They do, however, urge me to place little or no weight on his opinion because of his lack of experience in valuing quarries as standalone entities. By contrast, Ms. Mide-Wilson submits that McEwen's experience in valuing mining businesses is far more relevant to the task at hand than McCandlish's experience in valuing mining projects. I will say more about this later in these reasons.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Like McFarlane, McEwen prepared his report in accordance with the Practice Standards of the Canadian Institute of Chartered Business Valuators. In preparing his report, McEwen consulted counsel for Ms. Mide-Wilson, Ms. Mide-Wilson herself, Ms. Kwiatkoski (the controller for JCL) and merger and acquisition practitioners. As well, he visited the gravel pit operations at Pipeline and Jervis and the administrative offices of the Field Operations Division.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McEwen set out similar background information and assumptions as are set out in the reports of McFarlane and McCandlish. I will not repeat them here. McEwen's definition of FMV is the same as that employed by McFarlane, except McEwen did not note the requirement of taking into account the synergies McFarlane was asked to consider in preparing her valuation.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McEwen explained that, in the aggregates industry, transportation costs are typically the major factor in determining competitive cost to the consumer. Competition from inland suppliers limits the market area for coastal operations. McEwen also explained that aggregate supply companies are often integrated with the aggregate business. He noted that British Columbia companies exporting to California, in particular, were hard hit by the economic downturn, but that federal and state stimulus packages were expected to increase demand beginning in 2010, with the expectation that demand for construction aggregates would return to 2006 levels by 2015.</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McEwen noted that BC's construction industry has seen phenomenal growth in recent years due to a booming housing market, a growing population, generally robust economic conditions, and preparations for the 2010 Olympics. However, McEwen opined that the market was heading for a "soft landing" in 2009 and 2010 despite a boost from federal and provincial government stimulus plans. Additionally, the market was expected to further weaken in 2011 and 2012.</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In his economic overview, McEwen noted that the deepest recession since 1982 was underway in BC at the Valuation Date; particularly as Canadian firms were severely impacted by the fallout in the US.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Although the economic outlooks provided by McCandlish and McEwen in their reports differ to a certain extent, the difference is not significant. Further, I will not make any conclusions as to what the correct outlook is (or was retrospectively), as this type of "crystal ball gazing" does not provide a useful foundation for the valuation of the Trust Assets in this case.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In his report McEwen summarized the main approaches to valuation (cost, market and income approaches) and the components of value (tangible net operating assets, intangible assets and redundancy). He confirmed that the combination of tangible net operating assets and intangible assets represent a business' "enterprise value".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Given that Jervis and Pipeline involve the extraction of a finite mineral resource, McEwen chose to value these assets using an income (DCF) approach, as did McCandlish. In respect of the Field Operations Division, McEwen used the market approach, through a multiple earnings method (as compared to McFarlane's capitalised earnings method) as, according to McEwen, "the Field Operations enterprise is a service business".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McEwen chose to value the three components of JCL (Jervis, Pipeline and the Field Operations Division) separately because as he explained, they each face different profitability and risks. For each of them, McEwen valued the three components he said comprise the enterprise value: (i) working capital; (ii) machinery and equipment; and (iii) land, structures, gravel pit and intangible assets such as licenses and permits (as applicable). McEwen then added the net value of other assets and liabilities of JCL to arrive at his valuation.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JCL's accounting system produces divisional income statements for each of its four divisions (Pipeline, Jervis, Field Operations and Administration) which include transactions between the divisions and internal revenue and expense allocations from the Administrative Division to the operating divisions. In order to value each division at market rates, McEwen prepared income statements for each division by reversing non-operating revenue and expenses and adjusting divisional revenues and expenses to reflect sales at market prices. He also removed non-cash items, non-operational transactions and interest and other financing charges from the operating divisions' results.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In valuing Pipeline, McEwen confirmed that Pipeline's EBITDA ranged from a low of $3.4 million (in 2005) to a high of $5.5 million in 2008. In his report, McEwen notes:</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If annualized in a straight line basis, EBITDA for 2009 was on course to be approximately $3.3 million ($2.2 million x 12/8) [January - August 2009]. Pipeline experienced general growth in average EBITDA per tonne sold, peaking in 2008 and declining in 2009. Volumes sold peaked in 2006 and gradually declined thereafter through 2008 and again in the eight months ended August 31, 2009 in which period volumes declined further.</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Because of this EBITDA per tonne trend, the risks associated with the cash flows and the estimated remaining mineral reserves, McEwen employed the DCF method to calculate the enterprise value of Pipeline and to determine if any value existed over and above the value of equipment, working capital and land.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McEwen estimated Pipeline's working capital to be $3.5 million. He also estimated the value of machinery and equipment (under a "use-in-value" premise as compared to McFarlane's use of the insurance value) to be approximately $7.0 million.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Next McEwen looked at the value of the "land, structures, pit, licenses and permits". Specifically he notes:</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As such, land, structures, pit, licenses and permits can be calculated as the residual, if any, between enterprise value and the value of working capital and machinery and equipment.</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The enterprise value calculated in a DCF analysis reflects the present value cash equivalent at a given date of a future cash flow stream. A present value analysis involves forecasting the subject future cash flow stream over an appropriate period and then discounting it back to a present value at an appropriate discount rate.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In determining what he felt to be an appropriate discount rate (which he confirmed is a matter of professional judgment), McEwen considered the following:</w:t>
      </w:r>
      <w:r>
        <w:rPr>
          <w:rFonts w:ascii="arial" w:eastAsia="arial" w:hAnsi="arial" w:cs="arial"/>
          <w:sz w:val="18"/>
          <w:lang w:val="en-US" w:eastAsia="en-US" w:bidi="ar-SA"/>
        </w:rPr>
        <w:cr/>
      </w:r>
    </w:p>
    <w:p>
      <w:pPr>
        <w:numPr>
          <w:numId w:val="189"/>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Polaris, which he deemed to be a comparable company and for which he observed stock market analysts were using discount rates in the range of 12-15%;</w:t>
      </w:r>
    </w:p>
    <w:p>
      <w:pPr>
        <w:numPr>
          <w:numId w:val="190"/>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Using a "build-up method"</w:t>
      </w:r>
      <w:bookmarkStart w:id="293" w:name="Backward_fnref_fnr-23"/>
      <w:hyperlink w:anchor="Forward_fnref_fnr-23" w:history="1">
        <w:r>
          <w:rPr>
            <w:rFonts w:ascii="arial" w:eastAsia="arial" w:hAnsi="arial" w:cs="arial"/>
            <w:b/>
            <w:color w:val="BE161D"/>
            <w:sz w:val="20"/>
            <w:shd w:val="clear" w:color="auto" w:fill="FFFFFF"/>
            <w:vertAlign w:val="superscript"/>
            <w:lang w:val="en-US" w:eastAsia="en-US" w:bidi="ar-SA"/>
          </w:rPr>
          <w:t>23</w:t>
        </w:r>
      </w:hyperlink>
      <w:bookmarkEnd w:id="293"/>
      <w:r>
        <w:rPr>
          <w:rFonts w:ascii="arial" w:eastAsia="arial" w:hAnsi="arial" w:cs="arial"/>
          <w:color w:val="000000"/>
          <w:sz w:val="20"/>
          <w:lang w:val="en-US" w:eastAsia="en-US" w:bidi="ar-SA"/>
        </w:rPr>
        <w:t xml:space="preserve"> he calculated Pipeline's WACC to be 13%;</w:t>
      </w:r>
    </w:p>
    <w:p>
      <w:pPr>
        <w:numPr>
          <w:numId w:val="191"/>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Pipeline is a desirable pit operation, owing partly to its proximity to Greater Vancouver and its road access. This, McEwen says, suggests that Pipeline should have a lower discount rate than Polaris. He counter-balances this however by suggesting that Pipeline's asphalt production would increase its riskiness owing to asphalt's limited shelf life.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McEwen then concluded that a discount rate of 12% is appropriate for Pipeline. Applying this rate to Pipeline's after tax cash flows, he calculated a present value of $31.5 million for Pipeline, including working capital, machinery and equipment, and the sum of land, structures, pit, licenses and permits used to generate cash flows. McEwen then subtracted the value of the use of lands owned by the Jack Cewe Alter Ego Trust and not JCL ($1.9 million) to arrive at an enterprise value of $29.6 million.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Based on his observations in respect of historical EBITDA for Jervis, McEwen concluded that it was also appropriate to use the DCF method to calculate the enterprise value of Jervis.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Working capital was assessed on the assumption that the book values of current operating assets and liabilities approximated their fair market value and was estimated to be $1.9 million. Machinery and equipment was valued at approximately $6.0 million (using a value-in-use premise) and approximately $3.6 million (under a value-in-exchange or orderly liquidation premise).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As with Pipeline, McEwen then calculated the enterprise value for Jervis to assess the value, if any, of structures, pit, licenses and permits. McEwen determined the EBITDA margin for Jervis to be $1.55/t based on 0.73 million tonnes per year sales volume. He then applied a 13% discount rate (higher than that of Pipeline) owing to Jervis' remoteness and the additional costs required to transport Jervis' product to market and its lower level of profitability.</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Applying that 13% discount rate to the after tax cash flows of Jervis, McEwen calculated the enterprise value of Jervis to be $4.2 million, including working capital, machinery and equipment, and the sum of structures, pit, licenses and permits.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McEwen then says:</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Based on the calculated enterprise value of $4.2 million, the present value of the cash flows from Jervis is less than the value of working capital and machinery and equipment combined, measured either on a value-in-use or on a value-in-exchange basis. Therefore, for Jervis, we conclude there is no residual value in excess of the value of working capital and machinery and equipment.</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We consider that a prospective buyer would nevertheless consider purchasing Jervis tangible assets at some point between the value-in-use and value-in-exchange, and we estimate the fair market value of Jervis to be $6.7 million, as follows:</w:t>
      </w:r>
    </w:p>
    <w:p>
      <w:pPr>
        <w:spacing w:line="260" w:lineRule="atLeast"/>
        <w:jc w:val="center"/>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Jervis - Fair market value summary</w:t>
      </w:r>
      <w:r>
        <w:rPr>
          <w:rFonts w:ascii="arial" w:eastAsia="arial" w:hAnsi="arial" w:cs="arial"/>
          <w:sz w:val="18"/>
          <w:lang w:val="en-US" w:eastAsia="en-US" w:bidi="ar-SA"/>
        </w:rPr>
        <w:cr/>
      </w:r>
    </w:p>
    <w:p>
      <w:pPr>
        <w:spacing w:line="260" w:lineRule="atLeast"/>
        <w:ind w:left="1080"/>
        <w:rPr>
          <w:rFonts w:ascii="arial" w:eastAsia="arial" w:hAnsi="arial" w:cs="arial"/>
          <w:sz w:val="18"/>
          <w:lang w:val="en-US" w:eastAsia="en-US" w:bidi="ar-SA"/>
        </w:rPr>
      </w:pPr>
      <w:r>
        <w:rPr>
          <w:rFonts w:ascii="arial" w:eastAsia="arial" w:hAnsi="arial" w:cs="arial"/>
          <w:i/>
          <w:color w:val="000000"/>
          <w:sz w:val="20"/>
          <w:lang w:val="en-US" w:eastAsia="en-US" w:bidi="ar-SA"/>
        </w:rPr>
        <w:t>Currency: C$000s</w:t>
      </w:r>
      <w:r>
        <w:rPr>
          <w:rFonts w:ascii="arial" w:eastAsia="arial" w:hAnsi="arial" w:cs="arial"/>
          <w:color w:val="000000"/>
          <w:sz w:val="20"/>
          <w:lang w:val="en-US" w:eastAsia="en-US" w:bidi="ar-SA"/>
        </w:rPr>
        <w:t xml:space="preserve"> As at 31-Aug-2009</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823"/>
        <w:gridCol w:w="1673"/>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Working Capital</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1,933</w:t>
            </w:r>
          </w:p>
        </w:tc>
        <w:tc>
          <w:tcPr>
            <w:tcW w:w="4506"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346"/>
        <w:gridCol w:w="1150"/>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Machinery and equipment</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4,789</w:t>
            </w:r>
          </w:p>
        </w:tc>
        <w:tc>
          <w:tcPr>
            <w:tcW w:w="4506"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869"/>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18"/>
                <w:lang w:val="en-US" w:eastAsia="en-US" w:bidi="ar-SA"/>
              </w:rPr>
              <w:t>Total</w:t>
            </w:r>
          </w:p>
        </w:tc>
        <w:tc>
          <w:tcPr>
            <w:tcW w:w="4096"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18"/>
                <w:lang w:val="en-US" w:eastAsia="en-US" w:bidi="ar-SA"/>
              </w:rPr>
              <w:t>6,722</w:t>
            </w:r>
          </w:p>
        </w:tc>
        <w:tc>
          <w:tcPr>
            <w:tcW w:w="1024"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In valuing the Field Operations Division, McEwen considered the Division's income statements for the years 2005-2008 and the stub period ending on the Valuation Date to calculate historical EBITDA. To do so, he deducted an amount for the market cost of rent for the administrative head office. After studying the results of his calculations, McEwen employed the multiple of EBITDA approach to calculate the enterprise value of Field Operations and to determine whether any value existed over and above the value of working capital and machinery and equipment. Again, he assumed that working capital was the book value of current operating assets and liabilities. Machinery and equipment was valued based on a value-in-use premise.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Per McEwen, as enterprise value is the sum of the equipment, working capital, land and intangible value, intangible value is calculated as the enterprise value less the value of working capital and machinery and equipment.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Applying the multiple of EBITDA method requires first assessing expected future maintainable EBITDA and then considering the appropriate multiple to apply. McEwen determined the expected future maintainable EBITDA based on the fact that the immediate future for Field Operations may not be as strong as it was in the period from 2006 to 2008, and that the 2009 results reflect the increasing level of price competition and resulting lower EBITDA that would be anticipated for the period following the valuation date. Consequently, he adopted a future maintainable EBITDA of $1.6-1.7 million.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Based on his review of market data, including a review of 15 public construction companies in Canada and the US; a review of transactional data; and conversations with Alberta and BC-based mergers and acquisitions practitioners, McEwen adopted EBITDA multipliers of 4.5 to 5.0 to apply to the range of maintainable EBITDA, resulting in an enterprise value of $7.8 million. This value includes the value of machinery equipment ($3.173 million) and working capital ($3.829 million) and therefore implies an intangible value of approximately $823,000.</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As other non-operating assets and liabilities in JCL amount to $0.6 million (net), McEwen estimated the fair market value of JCL to be $44,707,000 (Pipeline: $29,574,000; Jervis: $6,722,000; Field Operations $ 7,825,000).</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McEwen then valued the balance of the Trust Assets as at the Valuation Date as follows:</w:t>
      </w:r>
      <w:bookmarkStart w:id="294" w:name="Backward_fnref_fnr-24"/>
      <w:hyperlink w:anchor="Forward_fnref_fnr-24" w:history="1">
        <w:r>
          <w:rPr>
            <w:rFonts w:ascii="arial" w:eastAsia="arial" w:hAnsi="arial" w:cs="arial"/>
            <w:b/>
            <w:color w:val="BE161D"/>
            <w:sz w:val="20"/>
            <w:shd w:val="clear" w:color="auto" w:fill="FFFFFF"/>
            <w:vertAlign w:val="superscript"/>
            <w:lang w:val="en-US" w:eastAsia="en-US" w:bidi="ar-SA"/>
          </w:rPr>
          <w:t>24</w:t>
        </w:r>
      </w:hyperlink>
      <w:bookmarkEnd w:id="294"/>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CHL</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$2,655,000</w:t>
            </w:r>
          </w:p>
        </w:tc>
        <w:tc>
          <w:tcPr>
            <w:tcW w:w="1024" w:type="dxa"/>
            <w:tcBorders>
              <w:bottom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c>
          <w:tcPr>
            <w:tcW w:w="6042"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bookmarkStart w:id="295" w:name="Backward_fnref_fnr-25"/>
            <w:hyperlink w:anchor="Forward_fnref_fnr-25" w:history="1">
              <w:r>
                <w:rPr>
                  <w:rFonts w:ascii="arial" w:eastAsia="arial" w:hAnsi="arial" w:cs="arial"/>
                  <w:b/>
                  <w:color w:val="BE161D"/>
                  <w:sz w:val="18"/>
                  <w:shd w:val="clear" w:color="auto" w:fill="FFFFFF"/>
                  <w:vertAlign w:val="superscript"/>
                  <w:lang w:val="en-US" w:eastAsia="en-US" w:bidi="ar-SA"/>
                </w:rPr>
                <w:t>25</w:t>
              </w:r>
            </w:hyperlink>
            <w:bookmarkEnd w:id="295"/>
          </w:p>
        </w:tc>
        <w:tc>
          <w:tcPr>
            <w:tcW w:w="1024" w:type="dxa"/>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777"/>
        <w:gridCol w:w="2196"/>
        <w:gridCol w:w="585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1741"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Ridge</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$136,000</w:t>
            </w:r>
          </w:p>
        </w:tc>
        <w:tc>
          <w:tcPr>
            <w:tcW w:w="5734"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1987"/>
        <w:gridCol w:w="58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Heather</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$49,000</w:t>
            </w:r>
          </w:p>
        </w:tc>
        <w:tc>
          <w:tcPr>
            <w:tcW w:w="5734"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091"/>
        <w:gridCol w:w="1882"/>
        <w:gridCol w:w="585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2048"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Shoshone</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$7,000</w:t>
            </w:r>
          </w:p>
        </w:tc>
        <w:tc>
          <w:tcPr>
            <w:tcW w:w="5734"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These values, when added to McEwen's value for JCL, result in a total value for the Trust Assets (not including 1701 Lougheed) of $47,554,000. If the agreed value for 1701 Lougheed is then added to this amount, McEwen values the Trust Assets at a total of $54,271,000.00.</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In conclusion, McEwen determined that the net value of the Trust Assets, as of the Valuation Date is $36,000,000, calculated as follows: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3"/>
        <w:gridCol w:w="1882"/>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Fair market value of non-real</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18"/>
                <w:lang w:val="en-US" w:eastAsia="en-US" w:bidi="ar-SA"/>
              </w:rPr>
            </w:pPr>
            <w:r>
              <w:rPr>
                <w:rFonts w:ascii="arial" w:eastAsia="arial" w:hAnsi="arial" w:cs="arial"/>
                <w:color w:val="000000"/>
                <w:sz w:val="18"/>
                <w:lang w:val="en-US" w:eastAsia="en-US" w:bidi="ar-SA"/>
              </w:rPr>
              <w:t>$47,554,000</w:t>
            </w:r>
          </w:p>
        </w:tc>
        <w:tc>
          <w:tcPr>
            <w:tcW w:w="3686" w:type="dxa"/>
            <w:tcBorders>
              <w:bottom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estate Trust Assets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18"/>
                <w:lang w:val="en-US" w:eastAsia="en-US" w:bidi="ar-SA"/>
              </w:rPr>
            </w:pPr>
            <w:r>
              <w:rPr>
                <w:rFonts w:ascii="arial" w:eastAsia="arial" w:hAnsi="arial" w:cs="arial"/>
                <w:color w:val="000000"/>
                <w:sz w:val="18"/>
                <w:lang w:val="en-US" w:eastAsia="en-US" w:bidi="ar-SA"/>
              </w:rPr>
              <w:t> </w:t>
            </w:r>
          </w:p>
        </w:tc>
        <w:tc>
          <w:tcPr>
            <w:tcW w:w="3686" w:type="dxa"/>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3"/>
        <w:gridCol w:w="1882"/>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Agreed value of 1701 Lougheed</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$6,717,000</w:t>
            </w:r>
          </w:p>
        </w:tc>
        <w:tc>
          <w:tcPr>
            <w:tcW w:w="3686"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973"/>
        <w:gridCol w:w="2091"/>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Value of non JCL Pipeline</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18"/>
                <w:lang w:val="en-US" w:eastAsia="en-US" w:bidi="ar-SA"/>
              </w:rPr>
            </w:pPr>
            <w:r>
              <w:rPr>
                <w:rFonts w:ascii="arial" w:eastAsia="arial" w:hAnsi="arial" w:cs="arial"/>
                <w:color w:val="000000"/>
                <w:sz w:val="18"/>
                <w:lang w:val="en-US" w:eastAsia="en-US" w:bidi="ar-SA"/>
              </w:rPr>
              <w:t>$1,915,000</w:t>
            </w:r>
          </w:p>
        </w:tc>
        <w:tc>
          <w:tcPr>
            <w:tcW w:w="3686" w:type="dxa"/>
            <w:tcBorders>
              <w:bottom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properties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18"/>
                <w:lang w:val="en-US" w:eastAsia="en-US" w:bidi="ar-SA"/>
              </w:rPr>
            </w:pPr>
            <w:r>
              <w:rPr>
                <w:rFonts w:ascii="arial" w:eastAsia="arial" w:hAnsi="arial" w:cs="arial"/>
                <w:color w:val="000000"/>
                <w:sz w:val="18"/>
                <w:lang w:val="en-US" w:eastAsia="en-US" w:bidi="ar-SA"/>
              </w:rPr>
              <w:t> </w:t>
            </w:r>
          </w:p>
        </w:tc>
        <w:tc>
          <w:tcPr>
            <w:tcW w:w="3686" w:type="dxa"/>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2"/>
        <w:gridCol w:w="1987"/>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Less tax liability on death of</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18"/>
                <w:lang w:val="en-US" w:eastAsia="en-US" w:bidi="ar-SA"/>
              </w:rPr>
            </w:pPr>
            <w:r>
              <w:rPr>
                <w:rFonts w:ascii="arial" w:eastAsia="arial" w:hAnsi="arial" w:cs="arial"/>
                <w:color w:val="000000"/>
                <w:sz w:val="18"/>
                <w:lang w:val="en-US" w:eastAsia="en-US" w:bidi="ar-SA"/>
              </w:rPr>
              <w:t>($12,181,000)</w:t>
            </w:r>
          </w:p>
        </w:tc>
        <w:tc>
          <w:tcPr>
            <w:tcW w:w="3584" w:type="dxa"/>
            <w:tcBorders>
              <w:bottom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Jack Cewe</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18"/>
                <w:lang w:val="en-US" w:eastAsia="en-US" w:bidi="ar-SA"/>
              </w:rPr>
            </w:pPr>
            <w:r>
              <w:rPr>
                <w:rFonts w:ascii="arial" w:eastAsia="arial" w:hAnsi="arial" w:cs="arial"/>
                <w:color w:val="000000"/>
                <w:sz w:val="18"/>
                <w:lang w:val="en-US" w:eastAsia="en-US" w:bidi="ar-SA"/>
              </w:rPr>
              <w:t> </w:t>
            </w:r>
          </w:p>
        </w:tc>
        <w:tc>
          <w:tcPr>
            <w:tcW w:w="3584" w:type="dxa"/>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392"/>
        <w:gridCol w:w="43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Less settlement to Home &amp;</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u w:val="single"/>
                <w:lang w:val="en-US" w:eastAsia="en-US" w:bidi="ar-SA"/>
              </w:rPr>
              <w:t>$8,000,000)</w:t>
            </w:r>
          </w:p>
        </w:tc>
        <w:tc>
          <w:tcPr>
            <w:tcW w:w="1024" w:type="dxa"/>
            <w:tcBorders>
              <w:bottom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c>
          <w:tcPr>
            <w:tcW w:w="4301"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Gibson</w:t>
            </w:r>
          </w:p>
        </w:tc>
        <w:tc>
          <w:tcPr>
            <w:tcW w:w="4301"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3451"/>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Total</w:t>
            </w:r>
          </w:p>
        </w:tc>
        <w:tc>
          <w:tcPr>
            <w:tcW w:w="3379" w:type="dxa"/>
            <w:tcBorders>
              <w:right w:val="nil"/>
            </w:tcBorders>
            <w:tcMar>
              <w:top w:w="100" w:type="dxa"/>
              <w:bottom w:w="0" w:type="dxa"/>
            </w:tcMar>
            <w:vAlign w:val="top"/>
          </w:tcPr>
          <w:p>
            <w:pPr>
              <w:spacing w:line="220" w:lineRule="atLeast"/>
              <w:jc w:val="righ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$36,000,000</w:t>
            </w:r>
          </w:p>
        </w:tc>
        <w:tc>
          <w:tcPr>
            <w:tcW w:w="3686"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ind w:left="720"/>
        <w:rPr>
          <w:rFonts w:ascii="arial" w:eastAsia="arial" w:hAnsi="arial" w:cs="arial"/>
          <w:sz w:val="18"/>
          <w:lang w:val="en-US" w:eastAsia="en-US" w:bidi="ar-SA"/>
        </w:rPr>
      </w:pPr>
      <w:r>
        <w:rPr>
          <w:rFonts w:ascii="arial" w:eastAsia="arial" w:hAnsi="arial" w:cs="arial"/>
          <w:b/>
          <w:color w:val="000000"/>
          <w:sz w:val="20"/>
          <w:lang w:val="en-US" w:eastAsia="en-US" w:bidi="ar-SA"/>
        </w:rPr>
        <w:t>2. Law</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xml:space="preserve">  Although not binding on me, decisions of the Tax Court of Canada are highly persuasive when considering expert reports on company valuation due to that court's particular expertise in dealing with such matters. In </w:t>
      </w:r>
      <w:r>
        <w:rPr>
          <w:rFonts w:ascii="arial" w:eastAsia="arial" w:hAnsi="arial" w:cs="arial"/>
          <w:i/>
          <w:color w:val="000000"/>
          <w:sz w:val="20"/>
          <w:lang w:val="en-US" w:eastAsia="en-US" w:bidi="ar-SA"/>
        </w:rPr>
        <w:t>Zeller Estate v. Canada</w:t>
      </w:r>
      <w:r>
        <w:rPr>
          <w:rFonts w:ascii="arial" w:eastAsia="arial" w:hAnsi="arial" w:cs="arial"/>
          <w:color w:val="000000"/>
          <w:sz w:val="20"/>
          <w:lang w:val="en-US" w:eastAsia="en-US" w:bidi="ar-SA"/>
        </w:rPr>
        <w:t xml:space="preserve">, </w:t>
      </w:r>
      <w:hyperlink r:id="rId746" w:history="1">
        <w:r>
          <w:rPr>
            <w:rFonts w:ascii="arial" w:eastAsia="arial" w:hAnsi="arial" w:cs="arial"/>
            <w:i/>
            <w:color w:val="0077CC"/>
            <w:sz w:val="20"/>
            <w:u w:val="single"/>
            <w:shd w:val="clear" w:color="auto" w:fill="FFFFFF"/>
            <w:lang w:val="en-US" w:eastAsia="en-US" w:bidi="ar-SA"/>
          </w:rPr>
          <w:t>2008 TCC 426</w:t>
        </w:r>
      </w:hyperlink>
      <w:r>
        <w:rPr>
          <w:rFonts w:ascii="arial" w:eastAsia="arial" w:hAnsi="arial" w:cs="arial"/>
          <w:color w:val="000000"/>
          <w:sz w:val="20"/>
          <w:lang w:val="en-US" w:eastAsia="en-US" w:bidi="ar-SA"/>
        </w:rPr>
        <w:t>, Campbell T.C.J. explained that business valuation is not an exact science. She explained that while the expert reports may provide assistance in this determination ultimately the court must decide what value is to be placed on a business. She explains at paragraphs 38-40:</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[38] The determination of FMV, although based on expert opinion, is a question of fact that the Court must ultimately decide. There is ample authority for the proposition that as the trier of fact I am not bound to accept the evidence of any expert witness or to accept one expert's report over another. It is entirely open to me to accept neither report in its entirety but to accept the best from both reports and to draw my own conclusions. I must conduct an analysis of the evidence of each of the experts and their respective conclusions to assist me in coming to a determination of the value ...</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[39] ... [I]t is important to remember that valuation is, by its very nature, not an exact science and experts may often have an inclination, although unintentional, to become advocates of the party that engages them to complete the report. Chief Justice Bowman in </w:t>
      </w:r>
      <w:r>
        <w:rPr>
          <w:rFonts w:ascii="arial" w:eastAsia="arial" w:hAnsi="arial" w:cs="arial"/>
          <w:i/>
          <w:color w:val="000000"/>
          <w:sz w:val="20"/>
          <w:lang w:val="en-US" w:eastAsia="en-US" w:bidi="ar-SA"/>
        </w:rPr>
        <w:t>Western Securities Limited v. The Queen</w:t>
      </w:r>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97 DTC 977</w:t>
        </w:r>
      </w:hyperlink>
      <w:r>
        <w:rPr>
          <w:rFonts w:ascii="arial" w:eastAsia="arial" w:hAnsi="arial" w:cs="arial"/>
          <w:color w:val="000000"/>
          <w:sz w:val="20"/>
          <w:lang w:val="en-US" w:eastAsia="en-US" w:bidi="ar-SA"/>
        </w:rPr>
        <w:t>, at page 979 stated:</w:t>
      </w:r>
    </w:p>
    <w:p>
      <w:pPr>
        <w:spacing w:before="120" w:line="260" w:lineRule="atLeast"/>
        <w:ind w:left="1080"/>
        <w:rPr>
          <w:rFonts w:ascii="arial" w:eastAsia="arial" w:hAnsi="arial" w:cs="arial"/>
          <w:sz w:val="18"/>
          <w:lang w:val="en-US" w:eastAsia="en-US" w:bidi="ar-SA"/>
        </w:rPr>
      </w:pPr>
      <w:r>
        <w:rPr>
          <w:rFonts w:ascii="arial" w:eastAsia="arial" w:hAnsi="arial" w:cs="arial"/>
          <w:color w:val="000000"/>
          <w:sz w:val="20"/>
          <w:lang w:val="en-US" w:eastAsia="en-US" w:bidi="ar-SA"/>
        </w:rPr>
        <w:t xml:space="preserve">One further problem arises in valuation cases of this type. Typically both parties call expert witnesses. In many cases, these witnesses are not divided on any serious question of principle, although occasionally they may differ on the highest and best use of the property being appraised. The major difference usually lies in the choice of comparables used and the positive or negative adjustments to be made to particular comparables based on such factors as location, the timing of the sale, or other physical characteristics of the property. It frequently happens that the judge determines a value somewhere between the opposing positions of the experts, not because of any desire to reach a Solomonic compromise, but because of a recognition that the positions adopted by the experts represent the polarized extreme ends of value. There is a danger that experts, albeit in good faith, may become advocates and their positions may become adversarial. For this reason a disinterested arbiter must often conclude that it is unwise to adopt entirely the position of one or the other and that it is more likely that a fair -- I hesitate to use words such as "right" or "correct" </w:t>
      </w:r>
      <w:r>
        <w:rPr>
          <w:rFonts w:ascii="arial" w:eastAsia="arial" w:hAnsi="arial" w:cs="arial"/>
          <w:color w:val="000000"/>
          <w:sz w:val="20"/>
          <w:u w:val="single"/>
          <w:lang w:val="en-US" w:eastAsia="en-US" w:bidi="ar-SA"/>
        </w:rPr>
        <w:t>in the necessarily imprecise area of valuation --value is likely to be somewhere between the two extremes</w:t>
      </w:r>
      <w:r>
        <w:rPr>
          <w:rFonts w:ascii="arial" w:eastAsia="arial" w:hAnsi="arial" w:cs="arial"/>
          <w:color w:val="000000"/>
          <w:sz w:val="20"/>
          <w:lang w:val="en-US" w:eastAsia="en-US" w:bidi="ar-SA"/>
        </w:rPr>
        <w:t xml:space="preserve">. [Emphasis in </w:t>
      </w:r>
      <w:r>
        <w:rPr>
          <w:rFonts w:ascii="arial" w:eastAsia="arial" w:hAnsi="arial" w:cs="arial"/>
          <w:i/>
          <w:color w:val="000000"/>
          <w:sz w:val="20"/>
          <w:lang w:val="en-US" w:eastAsia="en-US" w:bidi="ar-SA"/>
        </w:rPr>
        <w:t>Zeller.</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It is this point between the two expert valuations of $2.2 million and $6,389,000 that I must determine the highest price for 701's shares that willing and informed vendors and purchasers freely negotiating at arm's length in the open marketplace would have settled upon on October 20, 1998. Provided there is no compulsion to buy or sell, this reflects the generally accepted definition of FMV.</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[40] In discussing the two expert reports, the actual valuations assigned by report to the shares are secondary to the reasoning employed by each report in arriving at their respective valuations.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Cyprus Anvil Mining Corp. v. Dickson</w:t>
      </w:r>
      <w:r>
        <w:rPr>
          <w:rFonts w:ascii="arial" w:eastAsia="arial" w:hAnsi="arial" w:cs="arial"/>
          <w:color w:val="000000"/>
          <w:sz w:val="20"/>
          <w:lang w:val="en-US" w:eastAsia="en-US" w:bidi="ar-SA"/>
        </w:rPr>
        <w:t xml:space="preserve"> </w:t>
      </w:r>
      <w:hyperlink r:id="rId748" w:history="1">
        <w:r>
          <w:rPr>
            <w:rFonts w:ascii="arial" w:eastAsia="arial" w:hAnsi="arial" w:cs="arial"/>
            <w:i/>
            <w:color w:val="0077CC"/>
            <w:sz w:val="20"/>
            <w:u w:val="single"/>
            <w:shd w:val="clear" w:color="auto" w:fill="FFFFFF"/>
            <w:lang w:val="en-US" w:eastAsia="en-US" w:bidi="ar-SA"/>
          </w:rPr>
          <w:t>(1986), 8 B.C.L.R. (2d) 145</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Cyprus Anvil</w:t>
      </w:r>
      <w:r>
        <w:rPr>
          <w:rFonts w:ascii="arial" w:eastAsia="arial" w:hAnsi="arial" w:cs="arial"/>
          <w:color w:val="000000"/>
          <w:sz w:val="20"/>
          <w:lang w:val="en-US" w:eastAsia="en-US" w:bidi="ar-SA"/>
        </w:rPr>
        <w:t xml:space="preserve">], Lambert J.A. discusses the general process for fixing fair value under then s. 199(14) of the </w:t>
      </w:r>
      <w:r>
        <w:rPr>
          <w:rFonts w:ascii="arial" w:eastAsia="arial" w:hAnsi="arial" w:cs="arial"/>
          <w:i/>
          <w:color w:val="000000"/>
          <w:sz w:val="20"/>
          <w:lang w:val="en-US" w:eastAsia="en-US" w:bidi="ar-SA"/>
        </w:rPr>
        <w:t>Canada Business Corporations Act</w:t>
      </w:r>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R.S.C. 1985, c. C-44</w:t>
        </w:r>
      </w:hyperlink>
      <w:r>
        <w:rPr>
          <w:rFonts w:ascii="arial" w:eastAsia="arial" w:hAnsi="arial" w:cs="arial"/>
          <w:color w:val="000000"/>
          <w:sz w:val="20"/>
          <w:lang w:val="en-US" w:eastAsia="en-US" w:bidi="ar-SA"/>
        </w:rPr>
        <w:t>, which read:</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199(14) Upon an application to a court under subsection (9) or (10) the court may determine whether any other person is a dissenting offeree who should be joined as a party, and the court shall then fix a fair value for the shares of all dissenting offerees.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xml:space="preserve">  Although </w:t>
      </w:r>
      <w:r>
        <w:rPr>
          <w:rFonts w:ascii="arial" w:eastAsia="arial" w:hAnsi="arial" w:cs="arial"/>
          <w:i/>
          <w:color w:val="000000"/>
          <w:sz w:val="20"/>
          <w:lang w:val="en-US" w:eastAsia="en-US" w:bidi="ar-SA"/>
        </w:rPr>
        <w:t>Cyprus Anvil</w:t>
      </w:r>
      <w:r>
        <w:rPr>
          <w:rFonts w:ascii="arial" w:eastAsia="arial" w:hAnsi="arial" w:cs="arial"/>
          <w:color w:val="000000"/>
          <w:sz w:val="20"/>
          <w:lang w:val="en-US" w:eastAsia="en-US" w:bidi="ar-SA"/>
        </w:rPr>
        <w:t xml:space="preserve"> deals with the requirement that a court must use its professional judgment in fixing fair market value as decreed by legislation (and there is no legislation that I must apply here), it is nonetheless instructive in this case. The process Lambert J.A. sets out is worth reproducing in full:</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[49] Perhaps the best starting point, though not the chronological beginning, is this passage from the reasons of Mr. Justice Bouck in Neonex Int'l Ltd. v. Kolasa et al. </w:t>
      </w:r>
      <w:hyperlink r:id="rId750" w:history="1">
        <w:r>
          <w:rPr>
            <w:rFonts w:ascii="arial" w:eastAsia="arial" w:hAnsi="arial" w:cs="arial"/>
            <w:i/>
            <w:color w:val="0077CC"/>
            <w:sz w:val="20"/>
            <w:u w:val="single"/>
            <w:shd w:val="clear" w:color="auto" w:fill="FFFFFF"/>
            <w:lang w:val="en-US" w:eastAsia="en-US" w:bidi="ar-SA"/>
          </w:rPr>
          <w:t>(1978), 84 D.L.R. (3d) 446</w:t>
        </w:r>
      </w:hyperlink>
      <w:r>
        <w:rPr>
          <w:rFonts w:ascii="arial" w:eastAsia="arial" w:hAnsi="arial" w:cs="arial"/>
          <w:color w:val="000000"/>
          <w:sz w:val="20"/>
          <w:lang w:val="en-US" w:eastAsia="en-US" w:bidi="ar-SA"/>
        </w:rPr>
        <w:t xml:space="preserve"> at p. 453, </w:t>
      </w:r>
      <w:hyperlink r:id="rId750" w:history="1">
        <w:r>
          <w:rPr>
            <w:rFonts w:ascii="arial" w:eastAsia="arial" w:hAnsi="arial" w:cs="arial"/>
            <w:i/>
            <w:color w:val="0077CC"/>
            <w:sz w:val="20"/>
            <w:u w:val="single"/>
            <w:shd w:val="clear" w:color="auto" w:fill="FFFFFF"/>
            <w:lang w:val="en-US" w:eastAsia="en-US" w:bidi="ar-SA"/>
          </w:rPr>
          <w:t>[1978] 2 W.W.R. 593</w:t>
        </w:r>
      </w:hyperlink>
      <w:r>
        <w:rPr>
          <w:rFonts w:ascii="arial" w:eastAsia="arial" w:hAnsi="arial" w:cs="arial"/>
          <w:color w:val="000000"/>
          <w:sz w:val="20"/>
          <w:lang w:val="en-US" w:eastAsia="en-US" w:bidi="ar-SA"/>
        </w:rPr>
        <w:t xml:space="preserve"> at p. 601, </w:t>
      </w:r>
      <w:hyperlink r:id="rId750" w:history="1">
        <w:r>
          <w:rPr>
            <w:rFonts w:ascii="arial" w:eastAsia="arial" w:hAnsi="arial" w:cs="arial"/>
            <w:i/>
            <w:color w:val="0077CC"/>
            <w:sz w:val="20"/>
            <w:u w:val="single"/>
            <w:shd w:val="clear" w:color="auto" w:fill="FFFFFF"/>
            <w:lang w:val="en-US" w:eastAsia="en-US" w:bidi="ar-SA"/>
          </w:rPr>
          <w:t>3 B.L.R. 1</w:t>
        </w:r>
      </w:hyperlink>
      <w:r>
        <w:rPr>
          <w:rFonts w:ascii="arial" w:eastAsia="arial" w:hAnsi="arial" w:cs="arial"/>
          <w:color w:val="000000"/>
          <w:sz w:val="20"/>
          <w:lang w:val="en-US" w:eastAsia="en-US" w:bidi="ar-SA"/>
        </w:rPr>
        <w:t>:</w:t>
      </w:r>
    </w:p>
    <w:p>
      <w:pPr>
        <w:numPr>
          <w:numId w:val="192"/>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There are at least four ways of valuing shares in a company:</w:t>
      </w:r>
    </w:p>
    <w:p>
      <w:pPr>
        <w:numPr>
          <w:numId w:val="193"/>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Market Value: this method uses quotes from the stock exchange.</w:t>
      </w:r>
    </w:p>
    <w:p>
      <w:pPr>
        <w:numPr>
          <w:numId w:val="193"/>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Net Asset Value: this takes into account the current value of the company's assets and not just the book value.</w:t>
      </w:r>
    </w:p>
    <w:p>
      <w:pPr>
        <w:numPr>
          <w:numId w:val="193"/>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Investment Value: this method relates to the earning capacity of the company.</w:t>
      </w:r>
    </w:p>
    <w:p>
      <w:pPr>
        <w:numPr>
          <w:numId w:val="193"/>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A combination of the preceding three.</w:t>
      </w:r>
    </w:p>
    <w:p>
      <w:pPr>
        <w:spacing w:line="260" w:lineRule="atLeast"/>
        <w:jc w:val="center"/>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20"/>
          <w:lang w:val="en-US" w:eastAsia="en-US" w:bidi="ar-SA"/>
        </w:rPr>
        <w:t>...</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[50] From there I would pass on to </w:t>
      </w:r>
      <w:r>
        <w:rPr>
          <w:rFonts w:ascii="arial" w:eastAsia="arial" w:hAnsi="arial" w:cs="arial"/>
          <w:i/>
          <w:color w:val="000000"/>
          <w:sz w:val="20"/>
          <w:lang w:val="en-US" w:eastAsia="en-US" w:bidi="ar-SA"/>
        </w:rPr>
        <w:t>Re Wall &amp; Redekop Corp. et al.</w:t>
      </w:r>
      <w:r>
        <w:rPr>
          <w:rFonts w:ascii="arial" w:eastAsia="arial" w:hAnsi="arial" w:cs="arial"/>
          <w:color w:val="000000"/>
          <w:sz w:val="20"/>
          <w:lang w:val="en-US" w:eastAsia="en-US" w:bidi="ar-SA"/>
        </w:rPr>
        <w:t xml:space="preserve"> </w:t>
      </w:r>
      <w:hyperlink r:id="rId751" w:history="1">
        <w:r>
          <w:rPr>
            <w:rFonts w:ascii="arial" w:eastAsia="arial" w:hAnsi="arial" w:cs="arial"/>
            <w:i/>
            <w:color w:val="0077CC"/>
            <w:sz w:val="20"/>
            <w:u w:val="single"/>
            <w:shd w:val="clear" w:color="auto" w:fill="FFFFFF"/>
            <w:lang w:val="en-US" w:eastAsia="en-US" w:bidi="ar-SA"/>
          </w:rPr>
          <w:t>(1974), 50 D.L.R. (3d) 733</w:t>
        </w:r>
      </w:hyperlink>
      <w:r>
        <w:rPr>
          <w:rFonts w:ascii="arial" w:eastAsia="arial" w:hAnsi="arial" w:cs="arial"/>
          <w:color w:val="000000"/>
          <w:sz w:val="20"/>
          <w:lang w:val="en-US" w:eastAsia="en-US" w:bidi="ar-SA"/>
        </w:rPr>
        <w:t xml:space="preserve">, </w:t>
      </w:r>
      <w:hyperlink r:id="rId751" w:history="1">
        <w:r>
          <w:rPr>
            <w:rFonts w:ascii="arial" w:eastAsia="arial" w:hAnsi="arial" w:cs="arial"/>
            <w:i/>
            <w:color w:val="0077CC"/>
            <w:sz w:val="20"/>
            <w:u w:val="single"/>
            <w:shd w:val="clear" w:color="auto" w:fill="FFFFFF"/>
            <w:lang w:val="en-US" w:eastAsia="en-US" w:bidi="ar-SA"/>
          </w:rPr>
          <w:t>[1975] 1 W.W.R. 621</w:t>
        </w:r>
      </w:hyperlink>
      <w:r>
        <w:rPr>
          <w:rFonts w:ascii="arial" w:eastAsia="arial" w:hAnsi="arial" w:cs="arial"/>
          <w:color w:val="000000"/>
          <w:sz w:val="20"/>
          <w:lang w:val="en-US" w:eastAsia="en-US" w:bidi="ar-SA"/>
        </w:rPr>
        <w:t xml:space="preserve"> (B.C.S.C.), (affirmed by an unreported decision of this court dated April 29, 1975, C.A. 712/74.) In that case, Mr. Justice Macfarlane, then sitting as a judge of the Supreme Court of British Columbia, reviewed a number of United States authorities on determining the value or fair value or fair market value of the shares of dissenting shareholders whose shares were being compulsorily acquired. ... The point that they emphasize is that the problem of finding fair value of stock is a special problem in every particular instance. It defies being reduced to a set of rules for selecting a method of valuation, or to a formula or equation which will produce an answer with the illusion of mathematical certainty. Each case must be examined on its own facts, and each presents its own difficulties. Factors which may be critically important in one case may be meaningless in another. Calculations which may be accurate guides for one stock may be entirely flawed when applied to another stock.</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[51] The one true rule is to consider all the evidence that might be helpful, and to consider the particular factors in the particular case, and to exercise the best judgment that can be brought to bear on all the evidence and all the factors. I emphasize: it is a question of judgment. No apology need be offered for that. Parliament has decreed that fair value be determined by the courts and not by a formula that can be stated in the legislation.</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[52] Where Parliament has called for judgment, and where judgment is being exercised, the scope of the judgment should not be obscured. If the judgment is about which formula to adopt, then that should be made clear; if the judgment is about the assumptions to which the formula is to be applied, then that also should be made clear; and if the judgment is about the final result, with the formula being treated only as an aid, then that should be apparent.</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[53] Suppose, in a hypothetical case, method A produced a value of $1,000, method B a value of $800 and method C a value of $1,200. A simple average would produce $1,000. But maybe the judge who is determining the value thinks that method C is the most accurate method in the circumstances, but that all methods have some value, and that fair value is $1,100. It adds nothing to that reasoning process to say that method C should have a 60% weight, method A a 30% weight, and method B a 10% weight (giving the same answer of $1,100 ($720 plus $320 plus $80), but now buttressed by mathematics), unless the assignment of weights to the different methods of reaching value is a true aid to the judgment process through assessing the worth of the methods, and not merely a way of dressing up the judgment process to make it fancier than it is, or, even worse, working back from the final answer to make the premises come out right (as I have just done in this example). (For comments on the "Delaware Block" approach as exemplified in </w:t>
      </w:r>
      <w:r>
        <w:rPr>
          <w:rFonts w:ascii="arial" w:eastAsia="arial" w:hAnsi="arial" w:cs="arial"/>
          <w:i/>
          <w:color w:val="000000"/>
          <w:sz w:val="20"/>
          <w:lang w:val="en-US" w:eastAsia="en-US" w:bidi="ar-SA"/>
        </w:rPr>
        <w:t>Swanton v. State Guaranty Corp.</w:t>
      </w:r>
      <w:r>
        <w:rPr>
          <w:rFonts w:ascii="arial" w:eastAsia="arial" w:hAnsi="arial" w:cs="arial"/>
          <w:color w:val="000000"/>
          <w:sz w:val="20"/>
          <w:lang w:val="en-US" w:eastAsia="en-US" w:bidi="ar-SA"/>
        </w:rPr>
        <w:t xml:space="preserve"> (1965), 215 A. 2d 242, see </w:t>
      </w:r>
      <w:r>
        <w:rPr>
          <w:rFonts w:ascii="arial" w:eastAsia="arial" w:hAnsi="arial" w:cs="arial"/>
          <w:i/>
          <w:color w:val="000000"/>
          <w:sz w:val="20"/>
          <w:lang w:val="en-US" w:eastAsia="en-US" w:bidi="ar-SA"/>
        </w:rPr>
        <w:t>Weinberger v. UOP, Inc.</w:t>
      </w:r>
      <w:r>
        <w:rPr>
          <w:rFonts w:ascii="arial" w:eastAsia="arial" w:hAnsi="arial" w:cs="arial"/>
          <w:color w:val="000000"/>
          <w:sz w:val="20"/>
          <w:lang w:val="en-US" w:eastAsia="en-US" w:bidi="ar-SA"/>
        </w:rPr>
        <w:t xml:space="preserve"> (1983), 457 A. 2d 701.)</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[54] In summary, it is my opinion that no method of determining value which might provide guidance should be rejected. Each formula that might prove useful should be worked out, using evidence, mathematics, assessment, judgment or whatever is required. But when all that has been done, the judge is still left only with a mixture of raw material and processed material on which he must exercise his judgment to determine fair value.</w:t>
      </w:r>
    </w:p>
    <w:p>
      <w:pPr>
        <w:spacing w:before="120" w:line="260" w:lineRule="atLeast"/>
        <w:ind w:left="720"/>
        <w:rPr>
          <w:rFonts w:ascii="arial" w:eastAsia="arial" w:hAnsi="arial" w:cs="arial"/>
          <w:sz w:val="18"/>
          <w:lang w:val="en-US" w:eastAsia="en-US" w:bidi="ar-SA"/>
        </w:rPr>
      </w:pPr>
      <w:r>
        <w:rPr>
          <w:rFonts w:ascii="arial" w:eastAsia="arial" w:hAnsi="arial" w:cs="arial"/>
          <w:b/>
          <w:color w:val="000000"/>
          <w:sz w:val="20"/>
          <w:lang w:val="en-US" w:eastAsia="en-US" w:bidi="ar-SA"/>
        </w:rPr>
        <w:t>3. Analysis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xml:space="preserve">  According to </w:t>
      </w:r>
      <w:r>
        <w:rPr>
          <w:rFonts w:ascii="arial" w:eastAsia="arial" w:hAnsi="arial" w:cs="arial"/>
          <w:i/>
          <w:color w:val="000000"/>
          <w:sz w:val="20"/>
          <w:lang w:val="en-US" w:eastAsia="en-US" w:bidi="ar-SA"/>
        </w:rPr>
        <w:t>Cyprus Anvil</w:t>
      </w:r>
      <w:r>
        <w:rPr>
          <w:rFonts w:ascii="arial" w:eastAsia="arial" w:hAnsi="arial" w:cs="arial"/>
          <w:color w:val="000000"/>
          <w:sz w:val="20"/>
          <w:lang w:val="en-US" w:eastAsia="en-US" w:bidi="ar-SA"/>
        </w:rPr>
        <w:t>, I must consider all useful evidence and mathematical calculations and apply my professional judgment to determine the fair market value to be ascribed to the Trust Assets. I am not required to accept or reject any of the expert opinions in part or in whole. The opinions of the expert witnesses are intended to provide guidance to me, but due to the unexacting nature of valuation (it is an art and not a science), I should be cautious in accepting any one opinion as correct. It is more likely than not that the value will fall somewhere between the parties' expert opinions.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As noted above, the Solicitors' experts valued the Trust Assets considering the quarries as independent business (essentially as working mines, as opposed to businesses) and used two experts: McCandlish (for Pipeline and Jervis); and McFarlane (for the Field Operations Division). The Client, on the other hand, used one expert: McEwen, who valued JCL as one business enterprise.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Although there are a number of disagreements between the parties (and their experts) with respect to the value of JCL, HTLN submit that the main differences between McFarlane's valuation (incorporating McCandlish's report) and McEwen's valuation are:</w:t>
      </w:r>
      <w:r>
        <w:rPr>
          <w:rFonts w:ascii="arial" w:eastAsia="arial" w:hAnsi="arial" w:cs="arial"/>
          <w:sz w:val="18"/>
          <w:lang w:val="en-US" w:eastAsia="en-US" w:bidi="ar-SA"/>
        </w:rPr>
        <w:cr/>
      </w:r>
    </w:p>
    <w:p>
      <w:pPr>
        <w:numPr>
          <w:numId w:val="194"/>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discount rates used to determine the net present value of the two quarries; and</w:t>
      </w:r>
    </w:p>
    <w:p>
      <w:pPr>
        <w:numPr>
          <w:numId w:val="194"/>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value of the intangible assets of JCL's field operations, including goodwill.</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Ms. Mide-Wilson agrees in principle with HTLN's assessment of what are the main areas of contention between the experts. However, she says HTLN's submissions, in essence, frame the differences as:</w:t>
      </w:r>
      <w:r>
        <w:rPr>
          <w:rFonts w:ascii="arial" w:eastAsia="arial" w:hAnsi="arial" w:cs="arial"/>
          <w:sz w:val="18"/>
          <w:lang w:val="en-US" w:eastAsia="en-US" w:bidi="ar-SA"/>
        </w:rPr>
        <w:cr/>
      </w:r>
    </w:p>
    <w:p>
      <w:pPr>
        <w:numPr>
          <w:numId w:val="195"/>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relative qualifications of McCandlish and McEwen in valuing Pipeline and Jervis; and</w:t>
      </w:r>
    </w:p>
    <w:p>
      <w:pPr>
        <w:numPr>
          <w:numId w:val="195"/>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McEwen's alleged failure to properly apply the </w:t>
      </w:r>
      <w:r>
        <w:rPr>
          <w:rFonts w:ascii="arial" w:eastAsia="arial" w:hAnsi="arial" w:cs="arial"/>
          <w:i/>
          <w:color w:val="000000"/>
          <w:sz w:val="20"/>
          <w:lang w:val="en-US" w:eastAsia="en-US" w:bidi="ar-SA"/>
        </w:rPr>
        <w:t>Cyprus Anvil</w:t>
      </w:r>
      <w:r>
        <w:rPr>
          <w:rFonts w:ascii="arial" w:eastAsia="arial" w:hAnsi="arial" w:cs="arial"/>
          <w:color w:val="000000"/>
          <w:sz w:val="20"/>
          <w:lang w:val="en-US" w:eastAsia="en-US" w:bidi="ar-SA"/>
        </w:rPr>
        <w:t xml:space="preserve"> standard of reasonableness in checking his calculations.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Ms. Mide-Wilson rather argues that the fundamental difference originates at a higher level. Specifically:</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it originates with a different characterization of what the assets are that are being valued. It is only when one correct[ly] understands what those assets are, that a meaningful assessment can be made as to the proper qualifications for valuing them, and the sort of reasonableness check the valuator ought to make in the process of valuing them.</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In my view, there are three main areas of difference between the experts:</w:t>
      </w:r>
      <w:r>
        <w:rPr>
          <w:rFonts w:ascii="arial" w:eastAsia="arial" w:hAnsi="arial" w:cs="arial"/>
          <w:sz w:val="18"/>
          <w:lang w:val="en-US" w:eastAsia="en-US" w:bidi="ar-SA"/>
        </w:rPr>
        <w:cr/>
      </w:r>
    </w:p>
    <w:p>
      <w:pPr>
        <w:numPr>
          <w:numId w:val="196"/>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qualifications of the experts.</w:t>
      </w:r>
    </w:p>
    <w:p>
      <w:pPr>
        <w:spacing w:before="120" w:line="260" w:lineRule="atLeast"/>
        <w:ind w:left="1080"/>
        <w:rPr>
          <w:rFonts w:ascii="arial" w:eastAsia="arial" w:hAnsi="arial" w:cs="arial"/>
          <w:sz w:val="18"/>
          <w:lang w:val="en-US" w:eastAsia="en-US" w:bidi="ar-SA"/>
        </w:rPr>
      </w:pPr>
      <w:r>
        <w:rPr>
          <w:rFonts w:ascii="arial" w:eastAsia="arial" w:hAnsi="arial" w:cs="arial"/>
          <w:color w:val="000000"/>
          <w:sz w:val="20"/>
          <w:lang w:val="en-US" w:eastAsia="en-US" w:bidi="ar-SA"/>
        </w:rPr>
        <w:t>Specifically, the valuation of Pipeline and Jervis by McCandlish as stand-alone quarries (mining properties) versus McEwen's valuation of them (using an income DCF method) treating them as part of the business operations of JCL, not as separate mining operations;</w:t>
      </w:r>
    </w:p>
    <w:p>
      <w:pPr>
        <w:numPr>
          <w:numId w:val="197"/>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choice of discount rates for Pipeline and Jervis.</w:t>
      </w:r>
    </w:p>
    <w:p>
      <w:pPr>
        <w:spacing w:before="120" w:line="260" w:lineRule="atLeast"/>
        <w:ind w:left="1080"/>
        <w:rPr>
          <w:rFonts w:ascii="arial" w:eastAsia="arial" w:hAnsi="arial" w:cs="arial"/>
          <w:sz w:val="18"/>
          <w:lang w:val="en-US" w:eastAsia="en-US" w:bidi="ar-SA"/>
        </w:rPr>
      </w:pPr>
      <w:r>
        <w:rPr>
          <w:rFonts w:ascii="arial" w:eastAsia="arial" w:hAnsi="arial" w:cs="arial"/>
          <w:color w:val="000000"/>
          <w:sz w:val="20"/>
          <w:lang w:val="en-US" w:eastAsia="en-US" w:bidi="ar-SA"/>
        </w:rPr>
        <w:t>McCandlish uses a 5% (real) rate. McEwen uses a 12% (nominal) rate for Pipeline and a 13% (nominal) rate for Jervis;</w:t>
      </w:r>
    </w:p>
    <w:p>
      <w:pPr>
        <w:numPr>
          <w:numId w:val="198"/>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value placed by McFarlane and McEwen on intangible value of the Field Operations Division.</w:t>
      </w:r>
    </w:p>
    <w:p>
      <w:pPr>
        <w:spacing w:before="120" w:line="260" w:lineRule="atLeast"/>
        <w:ind w:left="1080"/>
        <w:rPr>
          <w:rFonts w:ascii="arial" w:eastAsia="arial" w:hAnsi="arial" w:cs="arial"/>
          <w:sz w:val="18"/>
          <w:lang w:val="en-US" w:eastAsia="en-US" w:bidi="ar-SA"/>
        </w:rPr>
      </w:pPr>
      <w:r>
        <w:rPr>
          <w:rFonts w:ascii="arial" w:eastAsia="arial" w:hAnsi="arial" w:cs="arial"/>
          <w:color w:val="000000"/>
          <w:sz w:val="20"/>
          <w:lang w:val="en-US" w:eastAsia="en-US" w:bidi="ar-SA"/>
        </w:rPr>
        <w:t>McFarlane places an intangible value of between $8.6 to $10.3 million on this Division; compared to McEwen who found it to be around $800,000.</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Ms. Mide-Wilson says Pipeline and Jervis are not mining properties, but in fact are operating businesses forming part of JCL. They sell a finished, final product to customers that consists of rock that is drilled, blasted, crushed, screened and washed and, in the case of Pipeline, of sand that is mixed with oil to form from asphalt. The point of sale of such finished product is the scale in the case of Pipeline, and the dock in the case of Jervis.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xml:space="preserve">  Ms. Mide-Wilson refers to </w:t>
      </w:r>
      <w:r>
        <w:rPr>
          <w:rFonts w:ascii="arial" w:eastAsia="arial" w:hAnsi="arial" w:cs="arial"/>
          <w:i/>
          <w:color w:val="000000"/>
          <w:sz w:val="20"/>
          <w:lang w:val="en-US" w:eastAsia="en-US" w:bidi="ar-SA"/>
        </w:rPr>
        <w:t>Atcon Construction Ltd. v. The Queen</w:t>
      </w:r>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2001 FCA 379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Atcon Construction Ltd.</w:t>
      </w:r>
      <w:r>
        <w:rPr>
          <w:rFonts w:ascii="arial" w:eastAsia="arial" w:hAnsi="arial" w:cs="arial"/>
          <w:color w:val="000000"/>
          <w:sz w:val="20"/>
          <w:lang w:val="en-US" w:eastAsia="en-US" w:bidi="ar-SA"/>
        </w:rPr>
        <w:t xml:space="preserve">], which deals with the issue of whether an aggregate quarry that processed rock for sale to customers was properly characterized as a manufacturing and processing operation instead of as a mining operation involving the extraction of minerals. In that case, Hamlyn T.C.J. noted that what the business did was process rock with minerals intact, as originally found on the quarry rock face, into saleable products. His Lordship concluded that while quarry rock is composed of minerals, minerals are not extracted in any sense from the rock and the rock product is simply sized. On this basis, the court agreed with the taxpayer's characterization of the quarry being a manufacturing or processing operation. It did so in the context of the characterization of a property for the purposes of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Here, Pipeline and Jervis meet the definition of a mineral property as set out in CIMVAL 2003 and may be considered as such. CIMVAL defines a mineral property as: "any right, title or interest to property held or acquired in connection with the exploration, development, calculation or processing of minerals which may be located on or under the surface of such property, together with all fixed plant, equipment, and infrastructure owned or acquired for the exploration, development, extraction and processing of minerals in connection with such properties ..."</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xml:space="preserve">  Ms. Mide-Wilson says that unlike gold, aggregate has no market value separate from the individual contracts obtained for it by the quarry operator. McCandlish gave evidence that there is no spot or futures market for aggregate. In other words, it does not have value separate from the earth from which it comes. It only has value if you can crush it, wash it, and find someone to buy it -- it simply has no determinable </w:t>
      </w:r>
      <w:r>
        <w:rPr>
          <w:rFonts w:ascii="arial" w:eastAsia="arial" w:hAnsi="arial" w:cs="arial"/>
          <w:i/>
          <w:color w:val="000000"/>
          <w:sz w:val="20"/>
          <w:lang w:val="en-US" w:eastAsia="en-US" w:bidi="ar-SA"/>
        </w:rPr>
        <w:t>in situ</w:t>
      </w:r>
      <w:r>
        <w:rPr>
          <w:rFonts w:ascii="arial" w:eastAsia="arial" w:hAnsi="arial" w:cs="arial"/>
          <w:color w:val="000000"/>
          <w:sz w:val="20"/>
          <w:lang w:val="en-US" w:eastAsia="en-US" w:bidi="ar-SA"/>
        </w:rPr>
        <w:t xml:space="preserve"> value.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Ms. Mide-Wilson says that Pipeline and Jervis are more analogous to Barrick Gold or Goldcorp as entire corporate enterprises than they are to any particular mines owned by said entities. She says that one would hire a geologist or geophysicist to value the companies' mineral properties (which seems to admit that McEwen is not qualified in the circumstances, as I have noted above that according to CIMVAL these are indeed mineral properties); however she says one would have to consider the principles of business valuation, not mineral valuation to value the overall company.</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HTLN submit that due to his extensive experience with mineral properties and mining operations, McCandlish was able to assess the actual risks these two quarries face, as opposed to McEwen who had no specific expertise in regards to quarry operations and who relied on stock market analyses</w:t>
      </w:r>
      <w:bookmarkStart w:id="296" w:name="Backward_fnref_fnr-26"/>
      <w:hyperlink w:anchor="Forward_fnref_fnr-26" w:history="1">
        <w:r>
          <w:rPr>
            <w:rFonts w:ascii="arial" w:eastAsia="arial" w:hAnsi="arial" w:cs="arial"/>
            <w:b/>
            <w:color w:val="BE161D"/>
            <w:sz w:val="20"/>
            <w:shd w:val="clear" w:color="auto" w:fill="FFFFFF"/>
            <w:vertAlign w:val="superscript"/>
            <w:lang w:val="en-US" w:eastAsia="en-US" w:bidi="ar-SA"/>
          </w:rPr>
          <w:t>26</w:t>
        </w:r>
      </w:hyperlink>
      <w:bookmarkEnd w:id="296"/>
      <w:r>
        <w:rPr>
          <w:rFonts w:ascii="arial" w:eastAsia="arial" w:hAnsi="arial" w:cs="arial"/>
          <w:color w:val="000000"/>
          <w:sz w:val="20"/>
          <w:lang w:val="en-US" w:eastAsia="en-US" w:bidi="ar-SA"/>
        </w:rPr>
        <w:t xml:space="preserve"> and others to "test" his discount rate.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xml:space="preserve">  More specifically, while HTLN agree that McEwen is qualified to value the Field Operations Division, they say he is not qualified to value the quarries for three main reasons: firstly, McEwen has no ability to value the </w:t>
      </w:r>
      <w:r>
        <w:rPr>
          <w:rFonts w:ascii="arial" w:eastAsia="arial" w:hAnsi="arial" w:cs="arial"/>
          <w:i/>
          <w:color w:val="000000"/>
          <w:sz w:val="20"/>
          <w:lang w:val="en-US" w:eastAsia="en-US" w:bidi="ar-SA"/>
        </w:rPr>
        <w:t>in situ</w:t>
      </w:r>
      <w:r>
        <w:rPr>
          <w:rFonts w:ascii="arial" w:eastAsia="arial" w:hAnsi="arial" w:cs="arial"/>
          <w:color w:val="000000"/>
          <w:sz w:val="20"/>
          <w:lang w:val="en-US" w:eastAsia="en-US" w:bidi="ar-SA"/>
        </w:rPr>
        <w:t xml:space="preserve"> resource, that is, the aggregate in the ground; secondly, he does not know enough about mining and mineral properties in general to apply, as he ought to per </w:t>
      </w:r>
      <w:r>
        <w:rPr>
          <w:rFonts w:ascii="arial" w:eastAsia="arial" w:hAnsi="arial" w:cs="arial"/>
          <w:i/>
          <w:color w:val="000000"/>
          <w:sz w:val="20"/>
          <w:lang w:val="en-US" w:eastAsia="en-US" w:bidi="ar-SA"/>
        </w:rPr>
        <w:t>Cyprus Anvil</w:t>
      </w:r>
      <w:r>
        <w:rPr>
          <w:rFonts w:ascii="arial" w:eastAsia="arial" w:hAnsi="arial" w:cs="arial"/>
          <w:color w:val="000000"/>
          <w:sz w:val="20"/>
          <w:lang w:val="en-US" w:eastAsia="en-US" w:bidi="ar-SA"/>
        </w:rPr>
        <w:t xml:space="preserve"> (at para. 54) professional judgment to his mathematical formulas to ensure that his valuation is reasonable; and thirdly, he erred by failing to apply CIMVAL as the appropriate standard for valuing mineral properties.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Further, HTLN criticize McEwen for having consulted with others whose credentials were not available to the court for assistance in valuing Pipeline and Jervis rather than engaging a "qualified valuator" -- as the Solicitors did -- to value the quarries.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In response, Ms. Mide-Wilson notes that McCandlish himself referred in cross-examination to understandings that he derived of discount rate practice from unnamed investment bankers, fund managers and finance people within mining companies. Thus, Ms. Mide-Wilson submits, it is not unprofessional to consult with others to test one's understanding and approach. Further, she notes, McEwen is a highly qualified business valuator, with demonstrated experience valuing mining businesses, which is what Pipeline and Jervis are.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HTLN assert that McEwen's report is invalid because it does not follow the CIMVAL standards. Ms. Mide-Wilson, on the other hand, notes that the CIMVAL 2003 standards used by McCandlish are not mandatory and that there are other appropriate methods to value the quarries, including the method used by McEwen.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I agree with Ms. Mide-Wilson. CIMVAL is simply one of several methods of valuation. CIMVAL itself lists a number of other methods and notes in its preamble that "the Canadian Institute of Chartered Business Valuators has standards for the valuation of businesses and corporations which its members must follow". McEwen is a member of the Canadian Institute of Chartered Business Valuators and, as such, is subject to the standards set by that institution. There was no requirement for McEwen to use CIMVAL as his valuation method.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I find that both McEwen and McCandlish are qualified to value Pipeline and Jervis and to provide expert evidence as to their opinions on the value of the quarries.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xml:space="preserve">  In submissions, both parties' counsel suggest that there is a duty on experts to apply a standard of reasonableness to their own findings when assisting the court in the area of their expertise, citing </w:t>
      </w:r>
      <w:r>
        <w:rPr>
          <w:rFonts w:ascii="arial" w:eastAsia="arial" w:hAnsi="arial" w:cs="arial"/>
          <w:i/>
          <w:color w:val="000000"/>
          <w:sz w:val="20"/>
          <w:lang w:val="en-US" w:eastAsia="en-US" w:bidi="ar-SA"/>
        </w:rPr>
        <w:t>Cyprus Anvil</w:t>
      </w:r>
      <w:r>
        <w:rPr>
          <w:rFonts w:ascii="arial" w:eastAsia="arial" w:hAnsi="arial" w:cs="arial"/>
          <w:color w:val="000000"/>
          <w:sz w:val="20"/>
          <w:lang w:val="en-US" w:eastAsia="en-US" w:bidi="ar-SA"/>
        </w:rPr>
        <w:t xml:space="preserve"> as an authority for this principle. I do not read this case to impose this duty on experts; rather it is the trier of fact who must use their judgment to find the appropriate value. Lambert J.A concludes at para. 54:</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[I]t is my opinion that no method of determining value which might provide guidance should be rejected. Each formula that might prove useful should be worked out, using evidence, mathematics, assessment, judgment or whatever is required. But when all that has been done, the judge is still left only with a mixture of raw material and processed material </w:t>
      </w:r>
      <w:r>
        <w:rPr>
          <w:rFonts w:ascii="arial" w:eastAsia="arial" w:hAnsi="arial" w:cs="arial"/>
          <w:i/>
          <w:color w:val="000000"/>
          <w:sz w:val="20"/>
          <w:lang w:val="en-US" w:eastAsia="en-US" w:bidi="ar-SA"/>
        </w:rPr>
        <w:t>on which he must exercise his judgment to determine fair value.</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xml:space="preserve">  Thus, the expert's evidence must meet the standard of "providing some guidance" to the court, and then it is the trier of fact who must apply their judgment to determine value. The focus here is on allowing the trier of fact to employ a flexible approach to this often very complex and difficult process of valuation, in following the idea that valuation such as this is "more of an art than a science". The focus is not on imposing duties on experts. Regardless, nothing of significance in this matter turns, in my view, on this misinterpretation (by both parties) of the principles laid out in </w:t>
      </w:r>
      <w:r>
        <w:rPr>
          <w:rFonts w:ascii="arial" w:eastAsia="arial" w:hAnsi="arial" w:cs="arial"/>
          <w:i/>
          <w:color w:val="000000"/>
          <w:sz w:val="20"/>
          <w:lang w:val="en-US" w:eastAsia="en-US" w:bidi="ar-SA"/>
        </w:rPr>
        <w:t>Cyprus Anvil</w:t>
      </w:r>
      <w:r>
        <w:rPr>
          <w:rFonts w:ascii="arial" w:eastAsia="arial" w:hAnsi="arial" w:cs="arial"/>
          <w:color w:val="000000"/>
          <w:sz w:val="20"/>
          <w:lang w:val="en-US" w:eastAsia="en-US" w:bidi="ar-SA"/>
        </w:rPr>
        <w:t>.</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i/>
          <w:color w:val="000000"/>
          <w:sz w:val="20"/>
          <w:lang w:val="en-US" w:eastAsia="en-US" w:bidi="ar-SA"/>
        </w:rPr>
        <w:t>a. Discount Rates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The real difference between McCandlish's and McEwen's reports lies in their choice of the appropriate discount rate to apply to the cash flows to arrive at their valuations.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The discount rate measures risk and the time value of money. McEwen agreed that in this case, where one is dealing with assets which produce income year after year, the focus for the discount rate is on the risk. The riskier the operation the higher the discount rate. The higher the discount rate, the lower the value ascribed to future cash flows. Accordingly, a higher discount rate means a lower value, and vice versa.</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McCandlish regarded 5% as an appropriate discount rate for the quarries, compared with McEwen's 12% for Pipeline and 13% for Jervis. To arrive at his 5% rate, McCandlish summed his opinion of the risk free rate of return, market risk and location risk. McEwen gave evidence that he was familiar with this approach to valuing mineral properties and confirmed that it is an accepted approach; but said that is was not the approach he wished to employ in arriving at his discount rates.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In his report, McCandlish states:</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The author considers the two subject properties to be mature operations with experience[d] management and operators capable of recognizing adverse conditions and correcting them. They are advised by competent professionals for their mine plans and slope stability management issues.</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The author considers the risks of catastrophic loss to be very low, however, risks to the project include those of market risk, revenue risk and operating cost risk. In order to account for these risks, the author believes that an increase in the discount rate used in the NPV analysis from the basic risk free rate of return of 2.14% to 5% is appropriate.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Ms. Mide-Wilson criticizes McCandlish's approach on a number of footings.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Firstly, Ms. Mide-Wilson says that both McFarlane and McEwen applied the general principles of business valuation to build up a discount rate. In addition to the risk-free rate, each has added a public market equity risk premium (the return generally available in the market for liquid equity investments), an incremental equity risk premium for reduced liquidity from a private equity that does not trade on open markets, industry specific risks and opportunities, a size premium, and then company specific and market risk factors. This then results in what I have referred to in these reasons as the WACC.</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Ms. Mide-Wilson then criticizes McCandlish for not using this approach. She says McCandlish's approach to WACC was to view capital requirements from the perspective of JCL, rather than from the perspective of a purchaser of the assets. Because JCL does not foresee significant capital investment, McCandlish did not consider WACC. Ms. Mide-Wilson says that there is no support for McCandlish's approach. She noted in her testimony that, while JCL does not have any planned significant capital investment, it frequently experiences significant, unplanned capital investments.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Ms. Mide-Wilson also says that, without any authority, McCandlish accepted that one ought not to look to a public market equity risk premium. This, in spite of McCandlish's statement that one would look at it with less weight in a private company. Ms. Mide-Wilson says that the only rationale McCandlish was able to offer for not requiring a public market equity risk premium was that a purchaser of these assets may have strategic business reasons for purchasing them. But then, she says, he admitted one should not take strategic purchasers into account when performing a valuation. Further, McCandlish admitted that one does not know, in the absence of offers, whether there will in fact be any strategic bidders. On cross-examination he acknowledged that a purchaser's WACC is always a relative consideration because such purchaser is putting his capital at risk in purchasing the assets.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Ms. Mide-Wilson says McCandlish acknowledged in cross-examination that both an incremental equity risk premium and a size premium should be added but that he did not add them. She also says that McCandlish's application of a 2.86% risk premium for company specific risk disregards the following:</w:t>
      </w:r>
      <w:r>
        <w:rPr>
          <w:rFonts w:ascii="arial" w:eastAsia="arial" w:hAnsi="arial" w:cs="arial"/>
          <w:sz w:val="18"/>
          <w:lang w:val="en-US" w:eastAsia="en-US" w:bidi="ar-SA"/>
        </w:rPr>
        <w:cr/>
      </w:r>
    </w:p>
    <w:p>
      <w:pPr>
        <w:numPr>
          <w:numId w:val="199"/>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pending retirement of George Turi, the general manager, who was at the top of the food chain for operations;</w:t>
      </w:r>
    </w:p>
    <w:p>
      <w:pPr>
        <w:numPr>
          <w:numId w:val="199"/>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lack of long-term contracts;</w:t>
      </w:r>
    </w:p>
    <w:p>
      <w:pPr>
        <w:numPr>
          <w:numId w:val="199"/>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large number of competitors (which he did not investigate), including in the immediate geographic vicinity of each quarry;</w:t>
      </w:r>
    </w:p>
    <w:p>
      <w:pPr>
        <w:numPr>
          <w:numId w:val="199"/>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fact the product generally sells on price and is difficult to differentiate from competitors';</w:t>
      </w:r>
    </w:p>
    <w:p>
      <w:pPr>
        <w:numPr>
          <w:numId w:val="199"/>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possibility that other competitors would vertically integrate to achieve the same "synergy" of aggregate mining and road construction, potentially reducing the customer base;</w:t>
      </w:r>
    </w:p>
    <w:p>
      <w:pPr>
        <w:numPr>
          <w:numId w:val="199"/>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that revenue from the quarries is cyclical with the construction industry;</w:t>
      </w:r>
    </w:p>
    <w:p>
      <w:pPr>
        <w:numPr>
          <w:numId w:val="199"/>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Jervis' dependence for its power supply on diesel generators, and thus its particularly vulnerability to fluctuations in energy cost;</w:t>
      </w:r>
    </w:p>
    <w:p>
      <w:pPr>
        <w:numPr>
          <w:numId w:val="199"/>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that Jervis would need new facilities to access markets beyond coastal BC;</w:t>
      </w:r>
    </w:p>
    <w:p>
      <w:pPr>
        <w:numPr>
          <w:numId w:val="199"/>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possibility of an increasing regulatory burden, especially with respect to health and safety;</w:t>
      </w:r>
    </w:p>
    <w:p>
      <w:pPr>
        <w:numPr>
          <w:numId w:val="199"/>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that Coquitlam may increase the levy on soil removal at Pipeline;</w:t>
      </w:r>
    </w:p>
    <w:p>
      <w:pPr>
        <w:numPr>
          <w:numId w:val="199"/>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fact that the workforce is unionized could lead to decreased flexibility and perhaps job action; and</w:t>
      </w:r>
    </w:p>
    <w:p>
      <w:pPr>
        <w:numPr>
          <w:numId w:val="199"/>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that the rate of recovery on the reserve might be less than projected.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Ms. Mide-Wilson also notes that McCandlish ultimately acknowledged there is precedent in this market for a crash, such as that experienced in BC in the early 1980s and presently in California but that he did not account for that risk in his valuation.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Ms. Mide-Wilson submits that McCandlish gave evidence that the discount rates applied by stock analysts for Polaris (12% and 15%) were reasonable. By way of comparison, he also stated that if he had been valuing Jervis and Pipeline as a public company, he would have used a discount rate of 8% to 10%. He admitted that if one were to add McFarlane's 5.5% market equity risk premium to his 5% discount rate, that would yield a rate of 10.5%, but he said that he would reduce that even if these assets were owned by a public company because he sees the matter through the lens of an institutional investor whom he believes would have strategic reasons to buy them, aside from return on capital. McCandlish did admit that if he were taking into account only a generic hypothetical third-party investor, he would have used a discount rate of 10%. I will say more about this later in these reasons.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Ms. Mide-Wilson submits that the 10% rate McCandlish conceded he would use corresponds almost exactly to the 12% discount rate McEwen used for Pipeline once inflation is factored in and is quite close to the 13% discount rate McEwen used for Jervis once inflation is factored in.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Ms. Mide-Wilson argues that the 5% discount rate McCandlish used in his report is simply not appropriate for the present exercise and that McCandlish did not apply the general principles of business valuation, even as mandated by CIMVAL 2003. Once he was confronted with those principles in cross-examination, McCandlish ultimately admitted he would have used a rate twice as high if he were valuing the quarries for a hypothetical third-party purchaser without strategic interests. This, Ms. Mide-Wilson notes, is exactly the exercise one must engage in for a business valuation of this kind. She submits that if McCandlish's report is to be considered at all a discount rate of 10% should be applied yielding a before-tax value of $22.64 million for Jervis and $44 million for Pipeline. Taking tax into account, this amounts to values of $16.8 million for Jervis and $32.79 million for Pipeline.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By comparison, HTLN say it is McEwen who was in error in determining his discount rate. They submit that CIMVAL is the more appropriate valuation method and that it establishes a process for determining the discount rate relative to a mining property (the quarries). HTLN say McEwen did not (and could not) use the CIMVAL approach due to lack of expertise. Specifically, HTLN say McEwen's method is flawed for a number of reasons. They summarize McEwen's approach as follows:</w:t>
      </w:r>
      <w:r>
        <w:rPr>
          <w:rFonts w:ascii="arial" w:eastAsia="arial" w:hAnsi="arial" w:cs="arial"/>
          <w:sz w:val="18"/>
          <w:lang w:val="en-US" w:eastAsia="en-US" w:bidi="ar-SA"/>
        </w:rPr>
        <w:cr/>
      </w:r>
    </w:p>
    <w:p>
      <w:pPr>
        <w:numPr>
          <w:numId w:val="200"/>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He identified Polaris, a publicly traded company, that operates a sand and gravel (but not asphalt operation) on Vancouver Island as a comparable. He then looked at two stock market analyst reports and concluded (incorrectly) that they had applied discount rates "for Polaris' pit operations" in a range of 12% to 15%;</w:t>
      </w:r>
    </w:p>
    <w:p>
      <w:pPr>
        <w:numPr>
          <w:numId w:val="200"/>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He made two adjustments to take into account the differences between Polaris and Pipeline. First, he noted that Pipeline had a superior location, given that it is in the Lower Mainland. This was a factor he took into account to reduce the discount rate. Second, he noted the fact that Pipeline produces asphalt whereas Polaris did not. He said this was an off-setting factor -- i.e., a factor to increase Pipeline's discount rate.</w:t>
      </w:r>
    </w:p>
    <w:p>
      <w:pPr>
        <w:numPr>
          <w:numId w:val="200"/>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He spoke on the telephone with two gentlemen who, he says, know something about aggregate quarries. One was Mr. Haines in Ontario. The other was Mr. Ubelhack in California. He asked them what discount rates they use for quarries in Ontario and California; and</w:t>
      </w:r>
    </w:p>
    <w:p>
      <w:pPr>
        <w:numPr>
          <w:numId w:val="200"/>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He did a WACC build up method.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HTLN then point out the flaws with McEwen's approach. Specifically, they say that Polaris is a very different enterprise than either Pipeline or Jervis with a different risk profile and therefore it is not a reasonable comparable. They note the following specific differences as ones which McEwen failed to apply in setting his discount rate for the quarries:</w:t>
      </w:r>
      <w:r>
        <w:rPr>
          <w:rFonts w:ascii="arial" w:eastAsia="arial" w:hAnsi="arial" w:cs="arial"/>
          <w:sz w:val="18"/>
          <w:lang w:val="en-US" w:eastAsia="en-US" w:bidi="ar-SA"/>
        </w:rPr>
        <w:cr/>
      </w:r>
    </w:p>
    <w:p>
      <w:pPr>
        <w:numPr>
          <w:numId w:val="201"/>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Polaris has no history of profitable earnings compared to Pipeline which has a 40 year track record of profitable operations. McEwen agreed on cross-examination that this is a significant factor when considering a discount rate and supports an upward adjustment for Polaris;</w:t>
      </w:r>
    </w:p>
    <w:p>
      <w:pPr>
        <w:numPr>
          <w:numId w:val="201"/>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Polaris has engaged in massive capital expenditures. Some of its largest, most valuable assets (a port facility and land in Long Beach California) are not quarries. McEwen agreed this changes the risk profile of Polaris;</w:t>
      </w:r>
    </w:p>
    <w:p>
      <w:pPr>
        <w:numPr>
          <w:numId w:val="201"/>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Polaris is engaged in significant financing activity in the market place. McEwen agreed this impacts the risk profile of Polaris;</w:t>
      </w:r>
    </w:p>
    <w:p>
      <w:pPr>
        <w:numPr>
          <w:numId w:val="201"/>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Polaris sells principally into the California marketplace. In addition to lingering concerns about the recession in California, this subjects Polaris to currency exchange risk. McEwen agreed that this is a factor which supports an upward adjustment in the discount rate for Polaris; and</w:t>
      </w:r>
    </w:p>
    <w:p>
      <w:pPr>
        <w:numPr>
          <w:numId w:val="201"/>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Polaris reports in their annual report that they face some risk with respect to native land claims. McEwen agreed that this is a factor which supports an upward adjustment in the discount rate for Polaris.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HTLN also point out that McEwen considered Polaris to be unsuitable as a comparison for a market method of enterprise value expressed on a per tonne reserve basis because Polaris has made massive investments in California property and port facilities and it is unclear what portion of its value relates to the pit operation only. HTLN assert that McEwen should therefore have considered Polaris too different of a company to use as a comparable of risk.</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HTLN further note a number of problems associated with McEwen's use of the Canaccord and Desjardins reports to create a range of discount rates for Polaris. Specifically, HTLN say that:</w:t>
      </w:r>
      <w:r>
        <w:rPr>
          <w:rFonts w:ascii="arial" w:eastAsia="arial" w:hAnsi="arial" w:cs="arial"/>
          <w:sz w:val="18"/>
          <w:lang w:val="en-US" w:eastAsia="en-US" w:bidi="ar-SA"/>
        </w:rPr>
        <w:cr/>
      </w:r>
    </w:p>
    <w:p>
      <w:pPr>
        <w:numPr>
          <w:numId w:val="202"/>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Canaccord report clearly is not limited to the "pit operations" but relates to Polaris as a whole;</w:t>
      </w:r>
    </w:p>
    <w:p>
      <w:pPr>
        <w:numPr>
          <w:numId w:val="202"/>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It is unclear whether the Desjardins report, which utilizes a 15% discount rate, relates only to the pit operations;</w:t>
      </w:r>
    </w:p>
    <w:p>
      <w:pPr>
        <w:numPr>
          <w:numId w:val="202"/>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McEwen had no idea how much due diligence Canaccord and Desjardins carried out in arriving at these discount rates and cannot test the reliability of those rates; and</w:t>
      </w:r>
    </w:p>
    <w:p>
      <w:pPr>
        <w:numPr>
          <w:numId w:val="202"/>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He was not aware of a BMO report from the same period that had the discount rate for Polaris much lower -- moving from 8% to 10%.</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HTLN assert that the use of the stock analyst reports is so far removed from an assessment of the value of Pipeline that it demonstrates why McEwen's report is entitled to no weight on the question of valuing the quarries: McEwen is valuing the quarries based on a discount rate that was calculated for an entirely different business enterprise, in circumstances where he does not know what effort, thought and care went into the determination of the discount rate. HTLN also note that I was not given any information as to the expertise of these unnamed analysts. As a result, HTLN submit that material of this nature is of no value to me and indeed say it would be an error for me to place weight upon such material.</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McEwen made two adjustments to the discount rate: one favourable to Pipeline (its location); and one unfavourable (its asphalt production). McEwen claimed to have made the unfavourable adjustment due to asphalt's limited shelf life; however, Pipeline works on a batch basis and stores the asphalt in heated silos. McCandlish viewed the asphalt as a positive attribute. Indeed, McEwen gave evidence that diversification generally lowers a company's risk profile. However, he did not admit that the asphalt production lowered Pipeline's risk profile.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HTLN next addressed issues regarding McEwen's contact with mergers and acquisitions practitioners in Ontario and California. Specifically, HTLN assert that:</w:t>
      </w:r>
      <w:r>
        <w:rPr>
          <w:rFonts w:ascii="arial" w:eastAsia="arial" w:hAnsi="arial" w:cs="arial"/>
          <w:sz w:val="18"/>
          <w:lang w:val="en-US" w:eastAsia="en-US" w:bidi="ar-SA"/>
        </w:rPr>
        <w:cr/>
      </w:r>
    </w:p>
    <w:p>
      <w:pPr>
        <w:numPr>
          <w:numId w:val="203"/>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McEwen admitted that Haines and Ubelhack knew nothing about JCL and the two quarries actually being valued;</w:t>
      </w:r>
    </w:p>
    <w:p>
      <w:pPr>
        <w:numPr>
          <w:numId w:val="203"/>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Haines told him about a discount rate Haines had used on a quarry "in Ontario." McEwen admitted he did not know if that quarry was in Marathon or in Aurora and agreed that location of the quarry could impact the discount rate. McEwen admitted that he did not know what the reserves were for this unknown Ontario quarry; nor did he have any idea of the quality of the reserves. He was not able to express a degree of confidence or non-confidence in the amount of reserves;</w:t>
      </w:r>
    </w:p>
    <w:p>
      <w:pPr>
        <w:numPr>
          <w:numId w:val="203"/>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Ubelhack told him about a discount rate Ubelhack had used on a quarry "in California." Likewise, McEwen admitted he did not know if that quarry was in a suburb of L.A. or on Mount Shasta, and again agreed that location could impact the discount rate. McEwen admitted that he did not know what the reserves were for this unknown California quarry; nor did he know the quality of the reserves. Again, he was not able to express a degree of confidence or non-confidence in the amount of reserves; and</w:t>
      </w:r>
    </w:p>
    <w:p>
      <w:pPr>
        <w:numPr>
          <w:numId w:val="203"/>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If McEwen feels that he does not have the expertise to assess the discount rate on his own -- and by virtue of contacting Haines and Ubelhack it is apparent he did not -- then he should not be providing an opinion. He should have followed McFarlane's example and obtained an opinion from someone with actual expertise in valuing mineral properties.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HTLN also take issue with McEwen's use of the WACC build-up method. They argue that McEwen repeatedly had to apply professional judgment to his WACC build-up, which he does not have. They also criticize his use of the Ibbotson/ Morningstar Book 2009 as it measures conglomerations of companies that have nothing to do with running quarries in the Lower Mainland and on Jervis Inlet.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HTLN then say McEwen agreed that, at several stages of his build-up of his discount rate, he had to apply professional judgment. The most notable example is under the heading of "specific risk", where he gave a 1% reduction in the discount rate due to "professional judgment considering the unique geographical location and other circumstances of Pipeline." However, when asked why he had chosen 1% as opposed to, for example 3% or 4%, McEwen was not able to give any meaningful answer. He seemed to accept it was sufficiently subjective and that either those percentages could be equally valid.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McEwen applied a "size premium" of 3.74% based on Ibbotson's "micro cap decile" of companies, which are small publicly traded companies. McEwen admitted that he did not know what companies were in that "micro cap decile". He did not know how many were mining companies, versus gaming companies, bio-technology or tourism enterprises. The common characteristic among companies in the "micro cap decile", including the two quarries was, he noted, that they all made less than $200 million per year.</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HTLN say none of this assists me in determining the value of the Pipeline and Jervis. Micro-cap companies are notoriously unstable and risky and have risk profiles that are entirely different than Pipeline which has proven, fully permitted reserves and is located in the middle of a large urban area.</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HTLN say McEwen should not have turned to Ibbotson because such collections of statistics about unrelated companies do not assist with respect to these quarries. However, HTLN say that even if I disagree with their submission on this point, I should take into account that McEwen relied upon Standard Industry Code ("SIC") 3200 ("Stone, Clay, Glass and Concrete") to come up with his 4% increase to the discount rate for industry premium. A slightly more accurate SIC, although HTNL argue none are suitable, would have been SIC 10 ("Mining") which contains within it gold and silver ores at -2 %.</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HTLN assert the proper approach to value a mine is as set out in McCandlish's report, and as set out in Lawrence Devon Smith's article, "Discounted Cash Flow Analysis: Methodology and Discount Rates". On cross-examination McEwen confirmed that he knew of Mr. Smith and agreed that he is an authority on valuing mining properties, which is clearly evident from his résumé.</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HTLN argue that Mr. Smith's article makes it evident that McCandlish used the right approach in determining the proper discount rate to apply in valuing the quarries: risk free rate of return + project risk + country risk.</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HTLN further submit that McCandlish used the appropriate valuation methodology by referring to material from Smith's Edumine Course, "Economic Evaluation and Optimization of Mineral Projects". This material demonstrates that McEwen's discount rate is one that would be expected for a project in Chile at the feasibility study stage where ground has not yet been broken. McCandlish confirmed, in chief, that discount rates between 10-15% correspond to development stage properties.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There is one difference in the determination of discount rates between McEwen and McFarlane which in my view bears further scrutiny. As noted earlier, McCandlish on cross-examination confirmed that, in arriving at his discount rates he considered it likely that, if sold, the quarries would be purchased by a "strategic purchaser".</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On cross-examination, Mr. Gruber and McCandlish had the following exchange: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So, Mr. McCandlish, where we left off we had just looked at Exhibits 15 and 16, the analysts' reports [from Canaccord and Desjardins] from August of 2009 for Polaris, and you had told us that in your view, although you had some reservations about the 15 percent discount rate that Desjardins w[as] using, but you accepted that it might be appropriate for Polaris, and you accepted the 12% rate, discount that Canaccord was using was appropriate for Polaris. Do I have that right?</w:t>
            </w:r>
          </w:p>
        </w:tc>
        <w:tc>
          <w:tcPr>
            <w:tcW w:w="1024" w:type="dxa"/>
            <w:tcBorders>
              <w:bottom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For the purposes of what their valuations were, they're appropriate, yes.</w:t>
            </w:r>
          </w:p>
        </w:tc>
        <w:tc>
          <w:tcPr>
            <w:tcW w:w="1024" w:type="dxa"/>
            <w:tcBorders>
              <w:bottom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And if I understood your evidence earlier, you said that if you had -- were valuing the assets that we're looking at as a public company, you would have taken into account long-term equity risk?</w:t>
            </w:r>
          </w:p>
        </w:tc>
        <w:tc>
          <w:tcPr>
            <w:tcW w:w="1024"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And you'll recall that Ms. McFarlane's consensus number for long-term equity risk was 5.5 per cent?</w:t>
            </w:r>
          </w:p>
        </w:tc>
        <w:tc>
          <w:tcPr>
            <w:tcW w:w="1024"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So, would I be correct in saying that if you were valuating Jervis or Pipeline as public companies, your discount rate would have been 10 or 11 percent?</w:t>
            </w:r>
          </w:p>
        </w:tc>
        <w:tc>
          <w:tcPr>
            <w:tcW w:w="1024" w:type="dxa"/>
            <w:tcBorders>
              <w:bottom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I don't think it would have been as high as that because, again, I don't consider there's operational risk. It would have been higher on the order of between 8 and 10 per cent, which is typical of what I see many of my investment banking clients use for a standard.</w:t>
            </w:r>
          </w:p>
        </w:tc>
        <w:tc>
          <w:tcPr>
            <w:tcW w:w="1024"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center"/>
        <w:rPr>
          <w:rFonts w:ascii="arial" w:eastAsia="arial" w:hAnsi="arial" w:cs="arial"/>
          <w:sz w:val="18"/>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Well, all right. So, you have a discount rate of 5 per cent and there's some amount that you would add if you were looking at the long-term equity risk rate?</w:t>
            </w:r>
          </w:p>
        </w:tc>
        <w:tc>
          <w:tcPr>
            <w:tcW w:w="1024"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And Ms. McFarlane says the consensus view of what that adds, just -- the S&amp;P TSX as a whole --</w:t>
            </w:r>
          </w:p>
        </w:tc>
        <w:tc>
          <w:tcPr>
            <w:tcW w:w="1024"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 is 5 and a half per cent?</w:t>
            </w:r>
          </w:p>
        </w:tc>
        <w:tc>
          <w:tcPr>
            <w:tcW w:w="1024" w:type="dxa"/>
            <w:tcBorders>
              <w:bottom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So, I'm just adding your 5 and her 5 and a half, and I get to 10 and a half?</w:t>
            </w:r>
          </w:p>
        </w:tc>
        <w:tc>
          <w:tcPr>
            <w:tcW w:w="1024"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How would you get to 8 then?</w:t>
            </w:r>
          </w:p>
        </w:tc>
        <w:tc>
          <w:tcPr>
            <w:tcW w:w="1024"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You're playing very carefully -- you are correct in that that is a consensus risk factor and consensus risk factors are very, very commonly used. The way we approach it in the mining industry really is a bit different, and that's because we try to look at I guess the operational and market risk in any given particular commodity. I realize that business valuators are taking that as part of the weighted average cost of capital to determine a return on whether an investor would invest in it. I would deduct some proportion in that I continue to believe that there would be very strategic reasons to acquire that asset. So, somewhere between 8 to 10 percent would be what I would advise any of my banking clients to look at this, and I think it's reasonable.</w:t>
            </w:r>
          </w:p>
        </w:tc>
        <w:tc>
          <w:tcPr>
            <w:tcW w:w="1024" w:type="dxa"/>
            <w:tcBorders>
              <w:bottom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I just want to understand that. So, I'm right in my starting premise that I take your 5 per cent and I add her 5 and a half per cent, but then you deduct for a strategic purchaser?</w:t>
            </w:r>
          </w:p>
        </w:tc>
        <w:tc>
          <w:tcPr>
            <w:tcW w:w="1024"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And, so, the strategic purchaser doesn't need the 5 and a half percent return that the market would give that strategic purchaser?</w:t>
            </w:r>
          </w:p>
        </w:tc>
        <w:tc>
          <w:tcPr>
            <w:tcW w:w="1024"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They may; they may not.</w:t>
            </w:r>
          </w:p>
        </w:tc>
        <w:tc>
          <w:tcPr>
            <w:tcW w:w="1024"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They may or may not. And if they didn't, why would that be?</w:t>
            </w:r>
          </w:p>
        </w:tc>
        <w:tc>
          <w:tcPr>
            <w:tcW w:w="1024" w:type="dxa"/>
            <w:tcBorders>
              <w:bottom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They may be looking at removing a competitor from the business. They may be looking at entry into a market where there's a barrier to entry, and you have a fully permitted -- two fully permitted sites here. Those are parts of the professional opinion, the professional judgment that go into determining what the discount rate is. I realize that certified business valuators have a much more standardized approach. I understand that; I understand how it's built up. However, that is not typical of how the mining industry builds up a discount rate.</w:t>
            </w:r>
          </w:p>
        </w:tc>
        <w:tc>
          <w:tcPr>
            <w:tcW w:w="1024" w:type="dxa"/>
            <w:tcBorders>
              <w:bottom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But I just want to understand this. When we're talking about this hypothetical of valuing Jervis as a public company or Pipeline as a public company, where does this strategic purchaser part enter into it? Wouldn't the valuation for the purposes of a public listing be based on investors who have no strategic interest?</w:t>
            </w:r>
          </w:p>
        </w:tc>
        <w:tc>
          <w:tcPr>
            <w:tcW w:w="1024"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Why? I don't --</w:t>
            </w:r>
          </w:p>
        </w:tc>
        <w:tc>
          <w:tcPr>
            <w:tcW w:w="1024" w:type="dxa"/>
            <w:tcBorders>
              <w:bottom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Well, if I buy a share of Jervis --</w:t>
            </w:r>
          </w:p>
        </w:tc>
        <w:tc>
          <w:tcPr>
            <w:tcW w:w="1024" w:type="dxa"/>
            <w:tcBorders>
              <w:bottom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As a retail investor?</w:t>
            </w:r>
          </w:p>
        </w:tc>
        <w:tc>
          <w:tcPr>
            <w:tcW w:w="1024" w:type="dxa"/>
            <w:tcBorders>
              <w:bottom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As a retail investor, I have no strategic interest?</w:t>
            </w:r>
          </w:p>
        </w:tc>
        <w:tc>
          <w:tcPr>
            <w:tcW w:w="1024" w:type="dxa"/>
            <w:tcBorders>
              <w:bottom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And, so, I'm going to require, one presumes, at least, the expectation that I'll get a return on that equity that's equivalent to what I get in the market as a whole?</w:t>
            </w:r>
          </w:p>
        </w:tc>
        <w:tc>
          <w:tcPr>
            <w:tcW w:w="1024" w:type="dxa"/>
            <w:tcBorders>
              <w:bottom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I would agree that that is correct if you're a retail investor.</w:t>
            </w:r>
          </w:p>
        </w:tc>
        <w:tc>
          <w:tcPr>
            <w:tcW w:w="1024" w:type="dxa"/>
            <w:tcBorders>
              <w:bottom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So, if you're valuing these businesses as public companies, isn't that, at the very least, the valuation you'd have to approach?</w:t>
            </w:r>
          </w:p>
        </w:tc>
        <w:tc>
          <w:tcPr>
            <w:tcW w:w="1024" w:type="dxa"/>
            <w:tcBorders>
              <w:bottom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I certainly, in my experience, have mostly valued companies for institutional investors, what they call buy side investors. And as you see in these reports, which are largely directed at retail investors, there is a different approach to modelling. They're looking at providing their clients, who are generally high net worth retail investors, with guidance as to whether a company is to be bought, held, or has an outperform. So, there's a different approach and different purpose to the valuation, and I think typically of mining operations, to a purchaser, to an institutional investor, you're not necessarily looking at building up the discount rate to the business as a whole. These business [</w:t>
            </w:r>
            <w:r>
              <w:rPr>
                <w:rFonts w:ascii="arial" w:eastAsia="arial" w:hAnsi="arial" w:cs="arial"/>
                <w:i/>
                <w:color w:val="000000"/>
                <w:sz w:val="18"/>
                <w:lang w:val="en-US" w:eastAsia="en-US" w:bidi="ar-SA"/>
              </w:rPr>
              <w:t>sic</w:t>
            </w:r>
            <w:r>
              <w:rPr>
                <w:rFonts w:ascii="arial" w:eastAsia="arial" w:hAnsi="arial" w:cs="arial"/>
                <w:color w:val="000000"/>
                <w:sz w:val="18"/>
                <w:lang w:val="en-US" w:eastAsia="en-US" w:bidi="ar-SA"/>
              </w:rPr>
              <w:t>]-- we've discussed this. I've said the 12 per cent was reasonable. That's for the integrated business. We didn't value the integrated business. We looked at the pits as standalone operations.</w:t>
            </w:r>
          </w:p>
        </w:tc>
        <w:tc>
          <w:tcPr>
            <w:tcW w:w="1024"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Shortly after the above exchange, McCandlish admitted that, if one removed these strategic considerations from his valuation, he would have used a discount rate "somewhere around 10 percent".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Strategic (often called "special") purchasers may be considered in determining fair market value in Canada.</w:t>
      </w:r>
      <w:bookmarkStart w:id="297" w:name="Backward_fnref_fnr-27"/>
      <w:hyperlink w:anchor="Forward_fnref_fnr-27" w:history="1">
        <w:r>
          <w:rPr>
            <w:rFonts w:ascii="arial" w:eastAsia="arial" w:hAnsi="arial" w:cs="arial"/>
            <w:b/>
            <w:color w:val="BE161D"/>
            <w:sz w:val="20"/>
            <w:shd w:val="clear" w:color="auto" w:fill="FFFFFF"/>
            <w:vertAlign w:val="superscript"/>
            <w:lang w:val="en-US" w:eastAsia="en-US" w:bidi="ar-SA"/>
          </w:rPr>
          <w:t>27</w:t>
        </w:r>
      </w:hyperlink>
      <w:bookmarkEnd w:id="297"/>
      <w:r>
        <w:rPr>
          <w:rFonts w:ascii="arial" w:eastAsia="arial" w:hAnsi="arial" w:cs="arial"/>
          <w:color w:val="000000"/>
          <w:sz w:val="20"/>
          <w:lang w:val="en-US" w:eastAsia="en-US" w:bidi="ar-SA"/>
        </w:rPr>
        <w:t xml:space="preserve"> A strategic purchaser's interest in an entity may increase the fair market value of shares in that entity as a result of the premium such purchaser is willing to pay for perceived synergies to be achieved on acquisition. Accordingly, a valuator must attempt to estimate the premium that may reasonably be negotiated, as it is unlikely that a strategic purchase will "knowingly pay dollar-for-dollar for the perceived post-acquisition net economic value-added" (</w:t>
      </w:r>
      <w:r>
        <w:rPr>
          <w:rFonts w:ascii="arial" w:eastAsia="arial" w:hAnsi="arial" w:cs="arial"/>
          <w:i/>
          <w:color w:val="000000"/>
          <w:sz w:val="20"/>
          <w:lang w:val="en-US" w:eastAsia="en-US" w:bidi="ar-SA"/>
        </w:rPr>
        <w:t>Wise</w:t>
      </w:r>
      <w:r>
        <w:rPr>
          <w:rFonts w:ascii="arial" w:eastAsia="arial" w:hAnsi="arial" w:cs="arial"/>
          <w:color w:val="000000"/>
          <w:sz w:val="20"/>
          <w:lang w:val="en-US" w:eastAsia="en-US" w:bidi="ar-SA"/>
        </w:rPr>
        <w:t>, at 17).</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xml:space="preserve">  However, there must be an evidentiary basis for the existence of a willing and able strategic purchaser before any premium can be added to fair market value: see, </w:t>
      </w:r>
      <w:r>
        <w:rPr>
          <w:rFonts w:ascii="arial" w:eastAsia="arial" w:hAnsi="arial" w:cs="arial"/>
          <w:i/>
          <w:color w:val="000000"/>
          <w:sz w:val="20"/>
          <w:lang w:val="en-US" w:eastAsia="en-US" w:bidi="ar-SA"/>
        </w:rPr>
        <w:t>Dominion Metal &amp; Refining Works Ltd. v. The Queen</w:t>
      </w:r>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(1986), 86 DTC 6311</w:t>
        </w:r>
      </w:hyperlink>
      <w:r>
        <w:rPr>
          <w:rFonts w:ascii="arial" w:eastAsia="arial" w:hAnsi="arial" w:cs="arial"/>
          <w:color w:val="000000"/>
          <w:sz w:val="20"/>
          <w:lang w:val="en-US" w:eastAsia="en-US" w:bidi="ar-SA"/>
        </w:rPr>
        <w:t xml:space="preserve"> (Fed. Crt.) [</w:t>
      </w:r>
      <w:r>
        <w:rPr>
          <w:rFonts w:ascii="arial" w:eastAsia="arial" w:hAnsi="arial" w:cs="arial"/>
          <w:i/>
          <w:color w:val="000000"/>
          <w:sz w:val="20"/>
          <w:lang w:val="en-US" w:eastAsia="en-US" w:bidi="ar-SA"/>
        </w:rPr>
        <w:t>Dominion Metal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 Lynall</w:t>
      </w:r>
      <w:r>
        <w:rPr>
          <w:rFonts w:ascii="arial" w:eastAsia="arial" w:hAnsi="arial" w:cs="arial"/>
          <w:color w:val="000000"/>
          <w:sz w:val="20"/>
          <w:lang w:val="en-US" w:eastAsia="en-US" w:bidi="ar-SA"/>
        </w:rPr>
        <w:t>, [1971] 3 All ER 914, (1971) 3 W.L.R. 759 (HL), the court held that to add such a premium to the fair market value it must be established by cogent evidence at the valuation date that a special purchaser was in fact offering to purchase shares, financially able to buy the shares at the enhanced price, and that this fact was known to the public.</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xml:space="preserve">  Absent clear evidence, it is often difficult to ascertain firstly, whether a strategic purchaser exists, and even if one does exist, secondly, what the actual premium is that would form part of the fair market value. If such evidence is present, and the premium can be estimated, a valuator may attempt to include the estimated premium to the fair-market value in the valuation. However, </w:t>
      </w:r>
      <w:r>
        <w:rPr>
          <w:rFonts w:ascii="arial" w:eastAsia="arial" w:hAnsi="arial" w:cs="arial"/>
          <w:i/>
          <w:color w:val="000000"/>
          <w:sz w:val="20"/>
          <w:lang w:val="en-US" w:eastAsia="en-US" w:bidi="ar-SA"/>
        </w:rPr>
        <w:t>Wise</w:t>
      </w:r>
      <w:r>
        <w:rPr>
          <w:rFonts w:ascii="arial" w:eastAsia="arial" w:hAnsi="arial" w:cs="arial"/>
          <w:color w:val="000000"/>
          <w:sz w:val="20"/>
          <w:lang w:val="en-US" w:eastAsia="en-US" w:bidi="ar-SA"/>
        </w:rPr>
        <w:t xml:space="preserve"> cautions valuators about this approach at p. 17:</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unless the market has been tested or the valuator has conducted serious negotiations with possible purchasers, it would be difficult, if not impossible, to know whether the "highest price" (in the definition of fair market value) has been arrived at in a notional-market context.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Dominion Metal</w:t>
      </w:r>
      <w:r>
        <w:rPr>
          <w:rFonts w:ascii="arial" w:eastAsia="arial" w:hAnsi="arial" w:cs="arial"/>
          <w:color w:val="000000"/>
          <w:sz w:val="20"/>
          <w:lang w:val="en-US" w:eastAsia="en-US" w:bidi="ar-SA"/>
        </w:rPr>
        <w:t xml:space="preserve"> examined whether a purchaser of property located adjacent to the purchaser's current premises was, in fact, a special purchaser, and whether the valuation should reflect such a greater premium. The judge (at p. 6320) rejected the notion that the party was a special purchaser as there was no evidentiary basis at the date of valuation to:</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alert the notional buyer that ... the subject lands might have a considerably enhanced value over other locations simply because they were located next door to it.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Thus absent evidence, such as a prior rejected bid,</w:t>
      </w:r>
      <w:bookmarkStart w:id="298" w:name="Backward_fnref_fnr-28"/>
      <w:hyperlink w:anchor="Forward_fnref_fnr-28" w:history="1">
        <w:r>
          <w:rPr>
            <w:rFonts w:ascii="arial" w:eastAsia="arial" w:hAnsi="arial" w:cs="arial"/>
            <w:b/>
            <w:color w:val="BE161D"/>
            <w:sz w:val="20"/>
            <w:shd w:val="clear" w:color="auto" w:fill="FFFFFF"/>
            <w:vertAlign w:val="superscript"/>
            <w:lang w:val="en-US" w:eastAsia="en-US" w:bidi="ar-SA"/>
          </w:rPr>
          <w:t>28</w:t>
        </w:r>
      </w:hyperlink>
      <w:bookmarkEnd w:id="298"/>
      <w:r>
        <w:rPr>
          <w:rFonts w:ascii="arial" w:eastAsia="arial" w:hAnsi="arial" w:cs="arial"/>
          <w:color w:val="000000"/>
          <w:sz w:val="20"/>
          <w:lang w:val="en-US" w:eastAsia="en-US" w:bidi="ar-SA"/>
        </w:rPr>
        <w:t xml:space="preserve"> which demonstrates that a party was willing to pay a premium above the fair market value at the valuation date, the court should not conclude there is a special purchaser and add a premium to the fair market value. The judge in </w:t>
      </w:r>
      <w:r>
        <w:rPr>
          <w:rFonts w:ascii="arial" w:eastAsia="arial" w:hAnsi="arial" w:cs="arial"/>
          <w:i/>
          <w:color w:val="000000"/>
          <w:sz w:val="20"/>
          <w:lang w:val="en-US" w:eastAsia="en-US" w:bidi="ar-SA"/>
        </w:rPr>
        <w:t>Dominion Metal</w:t>
      </w:r>
      <w:r>
        <w:rPr>
          <w:rFonts w:ascii="arial" w:eastAsia="arial" w:hAnsi="arial" w:cs="arial"/>
          <w:color w:val="000000"/>
          <w:sz w:val="20"/>
          <w:lang w:val="en-US" w:eastAsia="en-US" w:bidi="ar-SA"/>
        </w:rPr>
        <w:t xml:space="preserve"> also rejected attempts to use evidence post-purchase to establish that a party was a special purchaser. In the end, at p. 6321, the court concluded that evidence as to the strategic nature of the asset must be established at the valuation date in order to include a premium in the fair market value:</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In the cases cited by the plaintiff and to which lengthy reference was made, there were facts which gave credence to the presence of special purchaser not only at the date of acquisition but at the relevant valuation day date as well. In the case before me, I fail to find that kind of foundation upon which the presence of a special purchaser in the notional market at December 31, 1971 may be reasonably established. I can only ascribe the excellent price paid for the subject property in 1974 to a fortuitous combination of a self-compelled buyer on the one hand and an astute and obviously knowledgeable seller on the other.</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Wise</w:t>
      </w:r>
      <w:r>
        <w:rPr>
          <w:rFonts w:ascii="arial" w:eastAsia="arial" w:hAnsi="arial" w:cs="arial"/>
          <w:color w:val="000000"/>
          <w:sz w:val="20"/>
          <w:lang w:val="en-US" w:eastAsia="en-US" w:bidi="ar-SA"/>
        </w:rPr>
        <w:t xml:space="preserve"> concludes at p. 18 that </w:t>
      </w:r>
      <w:r>
        <w:rPr>
          <w:rFonts w:ascii="arial" w:eastAsia="arial" w:hAnsi="arial" w:cs="arial"/>
          <w:i/>
          <w:color w:val="000000"/>
          <w:sz w:val="20"/>
          <w:lang w:val="en-US" w:eastAsia="en-US" w:bidi="ar-SA"/>
        </w:rPr>
        <w:t>Dominion Metal</w:t>
      </w:r>
      <w:r>
        <w:rPr>
          <w:rFonts w:ascii="arial" w:eastAsia="arial" w:hAnsi="arial" w:cs="arial"/>
          <w:color w:val="000000"/>
          <w:sz w:val="20"/>
          <w:lang w:val="en-US" w:eastAsia="en-US" w:bidi="ar-SA"/>
        </w:rPr>
        <w:t xml:space="preserve"> seems to establish that the existence of a reasonable purchaser must be established "beyond a reasonable doubt".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Wise</w:t>
      </w:r>
      <w:r>
        <w:rPr>
          <w:rFonts w:ascii="arial" w:eastAsia="arial" w:hAnsi="arial" w:cs="arial"/>
          <w:color w:val="000000"/>
          <w:sz w:val="20"/>
          <w:lang w:val="en-US" w:eastAsia="en-US" w:bidi="ar-SA"/>
        </w:rPr>
        <w:t xml:space="preserve"> also notes at p. 20-21 that even if there is a special purchaser, there may be situations where the notional value of the asset "might not necessarily be increased by a special-purchaser premium in arriving at a fair market value" in two situations:</w:t>
      </w:r>
      <w:r>
        <w:rPr>
          <w:rFonts w:ascii="arial" w:eastAsia="arial" w:hAnsi="arial" w:cs="arial"/>
          <w:sz w:val="18"/>
          <w:lang w:val="en-US" w:eastAsia="en-US" w:bidi="ar-SA"/>
        </w:rPr>
        <w:cr/>
      </w:r>
    </w:p>
    <w:p>
      <w:pPr>
        <w:numPr>
          <w:numId w:val="204"/>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If there is only one special-purchaser the price may only be nominally higher than what ordinary purchasers would pay; and</w:t>
      </w:r>
    </w:p>
    <w:p>
      <w:pPr>
        <w:numPr>
          <w:numId w:val="204"/>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If there are two or more special purchasers the "market would become a special purchaser market (where there may be competitive bidding) and ordinary purchasers would therefore be excluded. These special purchasers would bid up the price for the business to an amount that would represent its value to them. In this regard, a special purchaser is not considered to be an exceptional purchaser, but rather the more typical kind of buyer present in the open market. If a number of notional purchasers are willing to pay a "premium" over the price offered by other purchasers, it would not be considered a "premium", but simply fair market value.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It is interesting to note that in her report, McFarlane specifically made note of the fact that there have been no offers to purchase JCL as a whole or any of its significant assets in the last five years. Because of this, McFarlane did not consider strategic purchasers as part of her valuation of JCL. McEwen, in his report, in setting the "context" of the valuation, commented on "special purchasers" who may exist and who are "willing to pay higher prices than otherwise derived by an intrinsic valuation analysis because of the prospect of reduced or eliminated competition, reduced risk, synergistic revenues or costs savings, or other advantages arising from the acquisition". However, in the body of his report McEwen made no further mention of these "special purchasers" and it is clear that he did not ascribe any particular "value" to special purchasers in valuing JCL.</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xml:space="preserve">  Therefore, in keeping with the decision in </w:t>
      </w:r>
      <w:r>
        <w:rPr>
          <w:rFonts w:ascii="arial" w:eastAsia="arial" w:hAnsi="arial" w:cs="arial"/>
          <w:i/>
          <w:color w:val="000000"/>
          <w:sz w:val="20"/>
          <w:lang w:val="en-US" w:eastAsia="en-US" w:bidi="ar-SA"/>
        </w:rPr>
        <w:t>Dominion Metal,</w:t>
      </w:r>
      <w:r>
        <w:rPr>
          <w:rFonts w:ascii="arial" w:eastAsia="arial" w:hAnsi="arial" w:cs="arial"/>
          <w:color w:val="000000"/>
          <w:sz w:val="20"/>
          <w:lang w:val="en-US" w:eastAsia="en-US" w:bidi="ar-SA"/>
        </w:rPr>
        <w:t xml:space="preserve"> McCandlish must be found to be in error in keeping his discount rate low because of the possibility of the existence of a strategic purchaser. In my view, McCandlish should have applied a real discount rate of at least 10-12% to his cash flows to determine the value of both Pipeline and Jervis. On cross-examination by Mr. Gruber, McCandlish admitted that, using a 10% discount rate, Pipeline would have a NPV of $44 million and Jervis of $22.64 million. And at 11% Pipeline would have a NPV of $40 million and Jervis of $21.26 million.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With respect to McEwen's discount rate of 12% for Pipeline, I find that it is too high by at least 2% owing to his increasing his rate by 1% on account of the asphalt production. McEwen admitted that diversification generally decreases risk and that he misunderstood the batch process of making asphalt at Pipeline. I am satisfied that the discount rate should have been decreased by 1% on account of the asphalt production rather than increased.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xml:space="preserve">  Thus having used the expert evidence to "provide some guidance" to me, and applying my own judgment to determine the value of the quarries (per </w:t>
      </w:r>
      <w:r>
        <w:rPr>
          <w:rFonts w:ascii="arial" w:eastAsia="arial" w:hAnsi="arial" w:cs="arial"/>
          <w:i/>
          <w:color w:val="000000"/>
          <w:sz w:val="20"/>
          <w:lang w:val="en-US" w:eastAsia="en-US" w:bidi="ar-SA"/>
        </w:rPr>
        <w:t>Cyprus Anvil</w:t>
      </w:r>
      <w:r>
        <w:rPr>
          <w:rFonts w:ascii="arial" w:eastAsia="arial" w:hAnsi="arial" w:cs="arial"/>
          <w:color w:val="000000"/>
          <w:sz w:val="20"/>
          <w:lang w:val="en-US" w:eastAsia="en-US" w:bidi="ar-SA"/>
        </w:rPr>
        <w:t>), I find that a reasonable real discount rate for Pipeline is 10%.</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In his report, McEwen first determined the discount rate for Pipeline (12%) then added 1% to arrive at 13% for Jervis, owing to its similarities to Pipeline but increased by 1% because of its remote location and lower profitability. I find this to be a sound methodology.</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Based on my conclusions regarding both McCandlish's and McEwen's errors in their respective discount rates and my analysis of same, I find that the appropriate real discount rate for Jervis is 11%.</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In determining the cash flow against which to apply the discount rate, McCandlish used year end dates for the accrual of the cash flows. McEwen agreed on cross-examination that this method was the most conservative approach to use. Both McCandlish and McEwen used Beresford's numbers in respect of the reserves but for Pipeline, McEwen used 1.1 million tonnes of average annual sales to determine annual cash flow whereas McCandlish uses 1.25 million tonnes (the mid-range volume from the number supplied by JCL). I believe McCandlish's numbers to be more correct and am inclined to place more reliance on his cash flows than those of McEwen.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Accordingly, I find that discount rates of 10% for Pipeline and 11% for Jervis should be applied to McCandlish's cash flow figures using McCandlish's estimation for the lifespan remaining for each quarry, that is, 75 years for Pipeline and 18 years for Jervis. That application results in a value of $44 million for Pipeline and $21.26 million for Jervis.</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i/>
          <w:color w:val="000000"/>
          <w:sz w:val="20"/>
          <w:lang w:val="en-US" w:eastAsia="en-US" w:bidi="ar-SA"/>
        </w:rPr>
        <w:t>b. Intangible Value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Both McFarlane and McEwen ascribed an "intangible value" portion to their valuation of the Field Operations Division. McFarlane ascribed a substantial amount (between $8.64 and $10.34 million) of intangible value to Field Operations (based on 2.5 times maintainable EBIT). In contrast, McEwen found intangible value of a much lower amount ($823,000), based on his multiple of EBITDA calculation and his conversations with Messrs. Ubelhack and Haines.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HTLN disagree with McEwen's determination of intangible value. Specifically they point out that McEwen felt there was little or no intangible value on two bases:</w:t>
      </w:r>
      <w:r>
        <w:rPr>
          <w:rFonts w:ascii="arial" w:eastAsia="arial" w:hAnsi="arial" w:cs="arial"/>
          <w:sz w:val="18"/>
          <w:lang w:val="en-US" w:eastAsia="en-US" w:bidi="ar-SA"/>
        </w:rPr>
        <w:cr/>
      </w:r>
    </w:p>
    <w:p>
      <w:pPr>
        <w:numPr>
          <w:numId w:val="205"/>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When McEwen performed his calculations based on multiples of EBITDA, the result suggested no intangible value; and</w:t>
      </w:r>
    </w:p>
    <w:p>
      <w:pPr>
        <w:numPr>
          <w:numId w:val="205"/>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When he spoke with Haines and Ubelhack he was advised that there is not much intangible value in construction companies.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In his report, McEwen noted that intangible value is made up of a number of items including: having a skilled workforce in place; good customer relationships; contractual rights existing at the Valuation Date; and goodwill. He agreed these are all present in the case of JCL. But, as HTLN point out, he made no attempt to value these intangibles except for the contractual rights. McEwen confirmed that he was aware there was some $12.8 million worth of contracts in hand as at the Valuation Date, but noted he believed the margins were tight. McEwen did no analysis to determine whether the margins would be different after the Valuation Date.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436</w:t>
      </w:r>
      <w:r>
        <w:rPr>
          <w:rFonts w:ascii="arial" w:eastAsia="arial" w:hAnsi="arial" w:cs="arial"/>
          <w:color w:val="000000"/>
          <w:sz w:val="20"/>
          <w:lang w:val="en-US" w:eastAsia="en-US" w:bidi="ar-SA"/>
        </w:rPr>
        <w:t>  HTLN recognize that McEwen's view of intangible value is driven by the fact that the Field Operations Division engages in a bidding process to acquire municipal contracts. To counterbalance this, HTLN say that McEwen acknowledged he is not an expert with respect to municipal contracts and that JCL is widely accepted as a qualified bidder with an established track record of successfully acquiring municipal work.</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437</w:t>
      </w:r>
      <w:r>
        <w:rPr>
          <w:rFonts w:ascii="arial" w:eastAsia="arial" w:hAnsi="arial" w:cs="arial"/>
          <w:color w:val="000000"/>
          <w:sz w:val="20"/>
          <w:lang w:val="en-US" w:eastAsia="en-US" w:bidi="ar-SA"/>
        </w:rPr>
        <w:t>  In discussing intangible value, McFarlane noted that JCL has been in business since 1947 and has a long-established good reputation. Unlike McEwen, McFarlane did take account of the $12.8 million in contracts at the Valuation Date. She noted the synergies the Field Operations Division enjoys by being able to purchase aggregate at below market rates. She opined this value is substantial and supports significant intangible value. She also noted that JCL has a skilled workforce in place. In her valuation of the Field Operations Division she concludes:</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We believe that the above-noted reasons support BDO's valuation of the intangible assets of the Field Operations Division as noted in the BDO Valuation Report. Although the construction industry tends to be cyclical, and work is largely gained through a bidding process, the Field Operations Division had demonstrated its ability to operate successfully in that environment for more than 60 years.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438</w:t>
      </w:r>
      <w:r>
        <w:rPr>
          <w:rFonts w:ascii="arial" w:eastAsia="arial" w:hAnsi="arial" w:cs="arial"/>
          <w:color w:val="000000"/>
          <w:sz w:val="20"/>
          <w:lang w:val="en-US" w:eastAsia="en-US" w:bidi="ar-SA"/>
        </w:rPr>
        <w:t xml:space="preserve">  HTLN assert that McEwen did not step back to apply the </w:t>
      </w:r>
      <w:r>
        <w:rPr>
          <w:rFonts w:ascii="arial" w:eastAsia="arial" w:hAnsi="arial" w:cs="arial"/>
          <w:i/>
          <w:color w:val="000000"/>
          <w:sz w:val="20"/>
          <w:lang w:val="en-US" w:eastAsia="en-US" w:bidi="ar-SA"/>
        </w:rPr>
        <w:t>Cyprus Anvil</w:t>
      </w:r>
      <w:r>
        <w:rPr>
          <w:rFonts w:ascii="arial" w:eastAsia="arial" w:hAnsi="arial" w:cs="arial"/>
          <w:color w:val="000000"/>
          <w:sz w:val="20"/>
          <w:lang w:val="en-US" w:eastAsia="en-US" w:bidi="ar-SA"/>
        </w:rPr>
        <w:t xml:space="preserve"> principle to his calculations, but instead simply accepted his calculations as correct. HTLN argue McEwen's amount for intangible value is clearly wrong for a company of JCL's reputation.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439</w:t>
      </w:r>
      <w:r>
        <w:rPr>
          <w:rFonts w:ascii="arial" w:eastAsia="arial" w:hAnsi="arial" w:cs="arial"/>
          <w:color w:val="000000"/>
          <w:sz w:val="20"/>
          <w:lang w:val="en-US" w:eastAsia="en-US" w:bidi="ar-SA"/>
        </w:rPr>
        <w:t xml:space="preserve">  In examining intangible value, Ms. Mide-Wilson relies on the Supreme Court of Canada decision, </w:t>
      </w:r>
      <w:r>
        <w:rPr>
          <w:rFonts w:ascii="arial" w:eastAsia="arial" w:hAnsi="arial" w:cs="arial"/>
          <w:i/>
          <w:color w:val="000000"/>
          <w:sz w:val="20"/>
          <w:lang w:val="en-US" w:eastAsia="en-US" w:bidi="ar-SA"/>
        </w:rPr>
        <w:t>R. (Ont.) v. Ron Engineering</w:t>
      </w:r>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[1981] 1 S.C.R. 111</w:t>
        </w:r>
      </w:hyperlink>
      <w:r>
        <w:rPr>
          <w:rFonts w:ascii="arial" w:eastAsia="arial" w:hAnsi="arial" w:cs="arial"/>
          <w:color w:val="000000"/>
          <w:sz w:val="20"/>
          <w:lang w:val="en-US" w:eastAsia="en-US" w:bidi="ar-SA"/>
        </w:rPr>
        <w:t xml:space="preserve">, for the proposition that businesses like the Field Operations Division depend largely on using its equipment and workforce to bid the lowest price in a transparent public process. The passages cited by counsel for Ms. Mide-Wilson describe the difference between tender and construction contracts. Based on this, Ms. Mide-Wilson says that it is McFarlane, not McEwen, who failed to apply the reasonableness check in </w:t>
      </w:r>
      <w:r>
        <w:rPr>
          <w:rFonts w:ascii="arial" w:eastAsia="arial" w:hAnsi="arial" w:cs="arial"/>
          <w:i/>
          <w:color w:val="000000"/>
          <w:sz w:val="20"/>
          <w:lang w:val="en-US" w:eastAsia="en-US" w:bidi="ar-SA"/>
        </w:rPr>
        <w:t>Cyprus Anvil</w:t>
      </w:r>
      <w:r>
        <w:rPr>
          <w:rFonts w:ascii="arial" w:eastAsia="arial" w:hAnsi="arial" w:cs="arial"/>
          <w:color w:val="000000"/>
          <w:sz w:val="20"/>
          <w:lang w:val="en-US" w:eastAsia="en-US" w:bidi="ar-SA"/>
        </w:rPr>
        <w:t xml:space="preserve"> to her intangible value calculations.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440</w:t>
      </w:r>
      <w:r>
        <w:rPr>
          <w:rFonts w:ascii="arial" w:eastAsia="arial" w:hAnsi="arial" w:cs="arial"/>
          <w:color w:val="000000"/>
          <w:sz w:val="20"/>
          <w:lang w:val="en-US" w:eastAsia="en-US" w:bidi="ar-SA"/>
        </w:rPr>
        <w:t>  As I have noted above, in my view, while it is certainly useful for an expert to apply this principle to his calculations, it is not required. Rather, it is I who must apply this principle to my decision in relation to valuation.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441</w:t>
      </w:r>
      <w:r>
        <w:rPr>
          <w:rFonts w:ascii="arial" w:eastAsia="arial" w:hAnsi="arial" w:cs="arial"/>
          <w:color w:val="000000"/>
          <w:sz w:val="20"/>
          <w:lang w:val="en-US" w:eastAsia="en-US" w:bidi="ar-SA"/>
        </w:rPr>
        <w:t>  Ms. Mide-Wilson says McFarlane's investigation of JCL's competitors was limited. She asserts that McFarlane did not review the public tenders that make up the majority of JCL's road-building business to determine their margins and that she was unaware that such bids are part of a public tendering process. McFarlane was not aware of the law on tender contracts; nor was she aware how that process might be impacted if reputation or customer relationships were given any value in this particular business.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442</w:t>
      </w:r>
      <w:r>
        <w:rPr>
          <w:rFonts w:ascii="arial" w:eastAsia="arial" w:hAnsi="arial" w:cs="arial"/>
          <w:color w:val="000000"/>
          <w:sz w:val="20"/>
          <w:lang w:val="en-US" w:eastAsia="en-US" w:bidi="ar-SA"/>
        </w:rPr>
        <w:t>  On cross-examination, McFarlane admitted she did not know if her assumptions as to how such factors might be relevant to bid qualification were valid. She did not review public results showing, for example, that in the period leading up to the Valuation Date in 2009, JCL had not won any relevant bids in Burnaby, a municipality from which JCL had previously won many tenders. She agreed such an exercise would have been relevant to testing her assumptions about intangible value.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443</w:t>
      </w:r>
      <w:r>
        <w:rPr>
          <w:rFonts w:ascii="arial" w:eastAsia="arial" w:hAnsi="arial" w:cs="arial"/>
          <w:color w:val="000000"/>
          <w:sz w:val="20"/>
          <w:lang w:val="en-US" w:eastAsia="en-US" w:bidi="ar-SA"/>
        </w:rPr>
        <w:t>  Although she attributed intangible value to JCL having a skilled workforce in place, McFarlane failed to review key aspects of JCL's workforce, such as the identity and status of the key employees (for example, General Manager Turi's pending retirement). She was also unaware that it is the job superintendent's qualifications which are relevant for public bids.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444</w:t>
      </w:r>
      <w:r>
        <w:rPr>
          <w:rFonts w:ascii="arial" w:eastAsia="arial" w:hAnsi="arial" w:cs="arial"/>
          <w:color w:val="000000"/>
          <w:sz w:val="20"/>
          <w:lang w:val="en-US" w:eastAsia="en-US" w:bidi="ar-SA"/>
        </w:rPr>
        <w:t>  Instead, McFarlane tested her hypothesis on intangible value by analyzing certain public companies in the construction sector to determine their implied intangible value. She deducted the book value of the tangible assets from the enterprise value, as determined by market price of shares (as adjusted) for tangible value, not the market value of such assets, which could be quite a bit higher given the impact of depreciation and amortization on booked amounts (the difference in the JCL case, by way of example, being around 20%). Calculating the percentage of total enterprise value in McFarlane's analysis results in absurdly high figures of two thirds and more (and indeed up to 98%).</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445</w:t>
      </w:r>
      <w:r>
        <w:rPr>
          <w:rFonts w:ascii="arial" w:eastAsia="arial" w:hAnsi="arial" w:cs="arial"/>
          <w:color w:val="000000"/>
          <w:sz w:val="20"/>
          <w:lang w:val="en-US" w:eastAsia="en-US" w:bidi="ar-SA"/>
        </w:rPr>
        <w:t>  The approach taken by McEwen was to talk to active mergers and acquisition practitioners to see whether they would ascribe significant intangible value to a company in this kind of construction business. He was told that they do not. McFarlane acknowledged she did not seek advice from others in respect of this issue.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446</w:t>
      </w:r>
      <w:r>
        <w:rPr>
          <w:rFonts w:ascii="arial" w:eastAsia="arial" w:hAnsi="arial" w:cs="arial"/>
          <w:color w:val="000000"/>
          <w:sz w:val="20"/>
          <w:lang w:val="en-US" w:eastAsia="en-US" w:bidi="ar-SA"/>
        </w:rPr>
        <w:t>  McEwen also recognized there can be intangible value associated with having a skilled workforce in place. However, he as well noted the risk that a company may bid on contracts to maintain that skilled workforce, as indeed Field Operations Division appeared to have done in 2008. He further noted that a skilled workforce in this case could likely be replicated for less than $800,000 in intangible value depending on recruitment costs.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447</w:t>
      </w:r>
      <w:r>
        <w:rPr>
          <w:rFonts w:ascii="arial" w:eastAsia="arial" w:hAnsi="arial" w:cs="arial"/>
          <w:color w:val="000000"/>
          <w:sz w:val="20"/>
          <w:lang w:val="en-US" w:eastAsia="en-US" w:bidi="ar-SA"/>
        </w:rPr>
        <w:t>  With respect to customer relationships, Ms. Mide-Wilson submits that there is no evidence such relationships are of any value to the Field Operations Division. Her evidence was that a qualified bidder is essentially a company that is bonded. I note, however, she was not asked if any of JCL's non-tender work depends on customer relationships.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448</w:t>
      </w:r>
      <w:r>
        <w:rPr>
          <w:rFonts w:ascii="arial" w:eastAsia="arial" w:hAnsi="arial" w:cs="arial"/>
          <w:color w:val="000000"/>
          <w:sz w:val="20"/>
          <w:lang w:val="en-US" w:eastAsia="en-US" w:bidi="ar-SA"/>
        </w:rPr>
        <w:t>  McEwen recognized that there might be some intangible value arising from the $12 million in contracts on hand as of the Valuation Date, but he did not ascribe much intangible value to that aspect, particularly as they may have been unprofitable or very low margin contracts given the results in the Field Operations Division to the Valuation Date in 2009. Ms. Mide-Wilson says the $12 million in revenue in those contracts is already part of the maintainable EBITDA that McEwen calculated and also already part of the maintainable free after-tax cash calculated by McFarlane. To add the profit component associated with those contracts as intangible value would be to double-count. The only reason to consider they might add intangible value is that work on hand gives a purchaser some greater confidence that the calculated EBITDA or free-after tax cash flow will indeed be maintainable. But where the recent history is not profitable, such confidence is unlikely to be of much, if any, value to a purchaser.</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449</w:t>
      </w:r>
      <w:r>
        <w:rPr>
          <w:rFonts w:ascii="arial" w:eastAsia="arial" w:hAnsi="arial" w:cs="arial"/>
          <w:color w:val="000000"/>
          <w:sz w:val="20"/>
          <w:lang w:val="en-US" w:eastAsia="en-US" w:bidi="ar-SA"/>
        </w:rPr>
        <w:t>  Finally, Ms. Mide-Wilson argues that there is no evidence to suggest there is any "goodwill" associated with the Jack Cewe brand. There is nothing to suggest that anyone would prefer using JCL's road paving services to those provided by BA Blacktop, Imperial Paving, Winvan or Columbia Bitulitic (some of JCL's competitors). None of these entities offer products where "brand" may have some real value. All of them sell on price.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450</w:t>
      </w:r>
      <w:r>
        <w:rPr>
          <w:rFonts w:ascii="arial" w:eastAsia="arial" w:hAnsi="arial" w:cs="arial"/>
          <w:color w:val="000000"/>
          <w:sz w:val="20"/>
          <w:lang w:val="en-US" w:eastAsia="en-US" w:bidi="ar-SA"/>
        </w:rPr>
        <w:t>  In my view the intangible value ascribed by McEwen is simply too low and that of McFarlane is simply too high in the circumstances. While it is true that, because of the tendering/bidding system of contracts in construction, there is less intangible value in these companies than say, companies in the fast food industry, JCL would not be able to bid on contracts if it did not have a skilled workforce in place. Furthermore, it makes sense that the Jack Cewe brand would have value with respect to its private contracts. Regardless, McFarlane's value for intangibles is quite high when considering the tendering process and the fact that certain key employees had left the company or were about to retire at the time of the valuation. Accordingly, I think it is more reasonable to ascribe an intangible value somewhere between the two expert opinions, at $4.7-6.4 million.</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i/>
          <w:color w:val="000000"/>
          <w:sz w:val="20"/>
          <w:lang w:val="en-US" w:eastAsia="en-US" w:bidi="ar-SA"/>
        </w:rPr>
        <w:t>c. Additional Differences in the Valuations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451</w:t>
      </w:r>
      <w:r>
        <w:rPr>
          <w:rFonts w:ascii="arial" w:eastAsia="arial" w:hAnsi="arial" w:cs="arial"/>
          <w:color w:val="000000"/>
          <w:sz w:val="20"/>
          <w:lang w:val="en-US" w:eastAsia="en-US" w:bidi="ar-SA"/>
        </w:rPr>
        <w:t>  Ms. Mide-Wilson notes that another (smaller) difference between the McFarlane and McEwen valuations is that McFarlane chose to assume the financial results for the period ending on the Valuation Date (9 months -- January through August). Ms. Mide-Wilson says that this assumption does not properly reflect the financial performance of the road building business during that period. She says McFarlane's reasons for doing so are at best speculative and appear mostly to be based on a "statistical" analysis without any proper foundation in statistics. McFarlane did admit that by performing this adjustment she might be taking out the effects of a cyclical downturn in the construction industry that would be relevant to a prospective purchaser.</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452</w:t>
      </w:r>
      <w:r>
        <w:rPr>
          <w:rFonts w:ascii="arial" w:eastAsia="arial" w:hAnsi="arial" w:cs="arial"/>
          <w:color w:val="000000"/>
          <w:sz w:val="20"/>
          <w:lang w:val="en-US" w:eastAsia="en-US" w:bidi="ar-SA"/>
        </w:rPr>
        <w:t>  Ms. Mide-Wilson's evidence was that the road building business was not as profitable in 2009 because management had been underbidding on price to increase volume and that this had hurt margins. It was not brought about, as McFarlane hypothesized, by some change in accounting practice regarding expenses. On this point, I prefer Ms. Mide-Wilson's submissions. It seems McFarlane has to some extent over-estimated the "expected" performance of Field Operations Division during 2009 as she did not take the cyclical nature of the business into account.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453</w:t>
      </w:r>
      <w:r>
        <w:rPr>
          <w:rFonts w:ascii="arial" w:eastAsia="arial" w:hAnsi="arial" w:cs="arial"/>
          <w:color w:val="000000"/>
          <w:sz w:val="20"/>
          <w:lang w:val="en-US" w:eastAsia="en-US" w:bidi="ar-SA"/>
        </w:rPr>
        <w:t>  Ms. Mide-Wilson suggests that the McFarlane valuation is a further $1.25 million too high because McFarlane added the value of certain marine vessels used in the Jervis operation to the value she arrived at for the Field Operations Division. Ms. Mide-Wilson asserts those vessels are necessary to earn the discounted cash flow upon which McCandlish valued Jervis, and are not therefore (as McFarlane assumed) redundant assets which must be valued separately. McFarlane agreed that in general, where assets are necessary to earn a discounted cash flow, their value ought to be subsumed in that discounted cash flow, not added on top of it. She also indicated that she had not analysed the basis upon which McCandlish left them out of his valuation of Jervis. Based on the evidence before me, I am of the opinion that these assets are not redundant and ought not to have been included by McFarlane as such. Therefore, all other things being equal, McFarlane's valuation is too high by the value she ascribed to those vessels ($1.25 million).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454</w:t>
      </w:r>
      <w:r>
        <w:rPr>
          <w:rFonts w:ascii="arial" w:eastAsia="arial" w:hAnsi="arial" w:cs="arial"/>
          <w:color w:val="000000"/>
          <w:sz w:val="20"/>
          <w:lang w:val="en-US" w:eastAsia="en-US" w:bidi="ar-SA"/>
        </w:rPr>
        <w:t>  Finally, HTLN argue that McEwen's valuation is flawed by the fact that he met with Mr. Rennie and obtained information from him with respect to JCL. HTLN claim Mr. Rennie was on a "crusade" to lower the value of JCL in order to reduce the amount of tax payable by JCL following Jack Cewe's death. HTLN also question why McEwen listed his meetings with Ms. Mide-Wilson and Ms. Kwaitowski in his report, but not the one he had with Mr. Rennie.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455</w:t>
      </w:r>
      <w:r>
        <w:rPr>
          <w:rFonts w:ascii="arial" w:eastAsia="arial" w:hAnsi="arial" w:cs="arial"/>
          <w:color w:val="000000"/>
          <w:sz w:val="20"/>
          <w:lang w:val="en-US" w:eastAsia="en-US" w:bidi="ar-SA"/>
        </w:rPr>
        <w:t>  I do not agree with this submission. In his evidence, McEwen confirmed that his discussions with Mr. Rennie were related to inconsequential matters. Further, I did not find McEwen to be an "advocate" for Ms. Mide-Wilson's position (as is suggested by this submission). I therefore would make no adjustment to McEwen's value for having had these conversations.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456</w:t>
      </w:r>
      <w:r>
        <w:rPr>
          <w:rFonts w:ascii="arial" w:eastAsia="arial" w:hAnsi="arial" w:cs="arial"/>
          <w:color w:val="000000"/>
          <w:sz w:val="20"/>
          <w:lang w:val="en-US" w:eastAsia="en-US" w:bidi="ar-SA"/>
        </w:rPr>
        <w:t>  McFarlane included the $8 million settlement funds paid to Home and Gibson as redundant in her valuation of JCL as a whole. In her Report, McFarlane notes (at paras. 190-92):</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In determining the fair market value of an entity's shares, consideration is also given as to whether there are any assets or liabilities that are surplus, or redundant, to the operations of the business. It is assumed that a prudent vendor would either extract net redundant assets from the business prior to a sale or require compensation from the purchaser for their fair market value. Accordingly, the net realizable value of the redundant assets is added to the value of the business to determine the fair market value of the subject shares.</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Redundant assets of Jack Cewe Ltd. have been determined to be the amount in cash of $8.0 million (Schedule 2.12). Based on management, this amount related to a payment due to George Home and Alice Gibson under the settlement which closed August 31, 2009. As this balance relates to a non-operating item and the company has more than sufficient working capital to maintain operations without the balance of this receivable, the amount was determined to be redundant. The amounts payable by Jack Cewe Ltd. to related companies of $1.14 million (Schedule 2.12) are redundant liabilities, as in a notional transaction involving the sale of shares of Jack Cewe Ltd. these liabilities would be unlikely to remain post-closing.</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We assumed that the balance due to related companies of $1.14 million could be repaid from redundant cash, leaving a balance for net redundant assets $6.86 million. This amount is then added to determine the fair market value of the operating assets of Jack Cewe Ltd. on Schedule 2.0. The resulting en block fair market value of the shares of Jack Cewe Ltd. as at the Valuation Date is estimated to be in the range $104.9 million to $106.6 million (Schedule 2.0).</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457</w:t>
      </w:r>
      <w:r>
        <w:rPr>
          <w:rFonts w:ascii="arial" w:eastAsia="arial" w:hAnsi="arial" w:cs="arial"/>
          <w:color w:val="000000"/>
          <w:sz w:val="20"/>
          <w:lang w:val="en-US" w:eastAsia="en-US" w:bidi="ar-SA"/>
        </w:rPr>
        <w:t>  I do not agree with McFarlane's treatment of these funds. The financial statement of JCL for the period ended on the Valuation Date discloses a debt</w:t>
      </w:r>
      <w:bookmarkStart w:id="299" w:name="Backward_fnref_fnr-29"/>
      <w:hyperlink w:anchor="Forward_fnref_fnr-29" w:history="1">
        <w:r>
          <w:rPr>
            <w:rFonts w:ascii="arial" w:eastAsia="arial" w:hAnsi="arial" w:cs="arial"/>
            <w:b/>
            <w:color w:val="BE161D"/>
            <w:sz w:val="20"/>
            <w:shd w:val="clear" w:color="auto" w:fill="FFFFFF"/>
            <w:vertAlign w:val="superscript"/>
            <w:lang w:val="en-US" w:eastAsia="en-US" w:bidi="ar-SA"/>
          </w:rPr>
          <w:t>29</w:t>
        </w:r>
      </w:hyperlink>
      <w:bookmarkEnd w:id="299"/>
      <w:r>
        <w:rPr>
          <w:rFonts w:ascii="arial" w:eastAsia="arial" w:hAnsi="arial" w:cs="arial"/>
          <w:color w:val="000000"/>
          <w:sz w:val="20"/>
          <w:lang w:val="en-US" w:eastAsia="en-US" w:bidi="ar-SA"/>
        </w:rPr>
        <w:t xml:space="preserve"> of around $1.13 million compared with accounts receivable of approximately $1.8 million. Accordingly, I find McFarlane's valuation is too high by this amount ($8 million) as well.</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i/>
          <w:color w:val="000000"/>
          <w:sz w:val="20"/>
          <w:lang w:val="en-US" w:eastAsia="en-US" w:bidi="ar-SA"/>
        </w:rPr>
        <w:t>d. KPMG Valuation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458</w:t>
      </w:r>
      <w:r>
        <w:rPr>
          <w:rFonts w:ascii="arial" w:eastAsia="arial" w:hAnsi="arial" w:cs="arial"/>
          <w:color w:val="000000"/>
          <w:sz w:val="20"/>
          <w:lang w:val="en-US" w:eastAsia="en-US" w:bidi="ar-SA"/>
        </w:rPr>
        <w:t>  HTLN argue that the McCandlish/McFarlane valuation ought to be preferred to that of McEwen as it is much closer to the valuation the "client group" ascribed to the Trust Assets during the numerous meetings between them, both before the CFA was signed and afterwards (as noted in the pleadings). Ms. Mide-Wilson says that these values were "plucked from thin air" and ought not to persuade me in any way to favour one valuation over the other.</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459</w:t>
      </w:r>
      <w:r>
        <w:rPr>
          <w:rFonts w:ascii="arial" w:eastAsia="arial" w:hAnsi="arial" w:cs="arial"/>
          <w:color w:val="000000"/>
          <w:sz w:val="20"/>
          <w:lang w:val="en-US" w:eastAsia="en-US" w:bidi="ar-SA"/>
        </w:rPr>
        <w:t>  Ms. Mide-Wilson says a much more meaningful comparison is to the draft KPMG valuation report (the "KPMG Report") commissioned by Home for the terminal tax return of the Jack Cewe Alter Ego Trust as of spring 2008. That report concluded that the value of the Trust Assets was in the $60 million to $63 million range. This compares quite closely to McEwen's overall value of $56 million, but is quite divergent from HTLN's overall valuation of $115 million, a difference largely driven by McCandlish's choice of a 5% discount rate and McEwen's lower intangible value (as compared to that ascribed by McFarlane). Specifically, it should be noted that, like McEwen, KPMG concluded that the value of Jervis was limited to its net working capital and capital assets used in the operations.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460</w:t>
      </w:r>
      <w:r>
        <w:rPr>
          <w:rFonts w:ascii="arial" w:eastAsia="arial" w:hAnsi="arial" w:cs="arial"/>
          <w:color w:val="000000"/>
          <w:sz w:val="20"/>
          <w:lang w:val="en-US" w:eastAsia="en-US" w:bidi="ar-SA"/>
        </w:rPr>
        <w:t>  The KPMG Report provided a fair market valuation of the "Cewe Group of Assets" which includes:</w:t>
      </w:r>
      <w:r>
        <w:rPr>
          <w:rFonts w:ascii="arial" w:eastAsia="arial" w:hAnsi="arial" w:cs="arial"/>
          <w:sz w:val="18"/>
          <w:lang w:val="en-US" w:eastAsia="en-US" w:bidi="ar-SA"/>
        </w:rPr>
        <w:cr/>
      </w:r>
    </w:p>
    <w:p>
      <w:pPr>
        <w:numPr>
          <w:numId w:val="206"/>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Jack Cewe Inc.;</w:t>
      </w:r>
    </w:p>
    <w:p>
      <w:pPr>
        <w:numPr>
          <w:numId w:val="206"/>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CHL;</w:t>
      </w:r>
    </w:p>
    <w:p>
      <w:pPr>
        <w:numPr>
          <w:numId w:val="206"/>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Ridge Gravel;</w:t>
      </w:r>
    </w:p>
    <w:p>
      <w:pPr>
        <w:numPr>
          <w:numId w:val="206"/>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Heather;</w:t>
      </w:r>
    </w:p>
    <w:p>
      <w:pPr>
        <w:numPr>
          <w:numId w:val="206"/>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Shoshone;</w:t>
      </w:r>
    </w:p>
    <w:p>
      <w:pPr>
        <w:numPr>
          <w:numId w:val="206"/>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1701 Lougheed Highway; and</w:t>
      </w:r>
    </w:p>
    <w:p>
      <w:pPr>
        <w:numPr>
          <w:numId w:val="206"/>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JCL.</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461</w:t>
      </w:r>
      <w:r>
        <w:rPr>
          <w:rFonts w:ascii="arial" w:eastAsia="arial" w:hAnsi="arial" w:cs="arial"/>
          <w:color w:val="000000"/>
          <w:sz w:val="20"/>
          <w:lang w:val="en-US" w:eastAsia="en-US" w:bidi="ar-SA"/>
        </w:rPr>
        <w:t>  The KPMG Report valued the Cewe Group of Assets as follows:</w:t>
      </w:r>
      <w:r>
        <w:rPr>
          <w:rFonts w:ascii="arial" w:eastAsia="arial" w:hAnsi="arial" w:cs="arial"/>
          <w:sz w:val="18"/>
          <w:lang w:val="en-US" w:eastAsia="en-US" w:bidi="ar-SA"/>
        </w:rPr>
        <w:cr/>
      </w:r>
    </w:p>
    <w:p>
      <w:pPr>
        <w:spacing w:line="260" w:lineRule="atLeast"/>
        <w:rPr>
          <w:rFonts w:ascii="arial" w:eastAsia="arial" w:hAnsi="arial" w:cs="arial"/>
          <w:sz w:val="18"/>
          <w:lang w:val="en-US" w:eastAsia="en-US" w:bidi="ar-SA"/>
        </w:rPr>
      </w:pPr>
      <w:r>
        <w:pict>
          <v:shape id="_x0000_i1221" type="#_x0000_t75" style="width:403.5pt;height:237pt">
            <v:imagedata r:id="rId755" o:title=""/>
          </v:shape>
        </w:pict>
      </w:r>
      <w:r>
        <w:rPr>
          <w:rFonts w:ascii="arial" w:eastAsia="arial" w:hAnsi="arial" w:cs="arial"/>
          <w:sz w:val="18"/>
          <w:lang w:val="en-US" w:eastAsia="en-US" w:bidi="ar-SA"/>
        </w:rPr>
        <w:t xml:space="preserve">  </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462</w:t>
      </w:r>
      <w:r>
        <w:rPr>
          <w:rFonts w:ascii="arial" w:eastAsia="arial" w:hAnsi="arial" w:cs="arial"/>
          <w:color w:val="000000"/>
          <w:sz w:val="20"/>
          <w:lang w:val="en-US" w:eastAsia="en-US" w:bidi="ar-SA"/>
        </w:rPr>
        <w:t>  KPMG defined FMV in the same terms as McFarlane and McEwen but noted that "special purchasers" may be willing to pay a premium to purchase the Trust Assets which premium KPMG says is undeterminable absent knowledge of a specific potential purchase.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463</w:t>
      </w:r>
      <w:r>
        <w:rPr>
          <w:rFonts w:ascii="arial" w:eastAsia="arial" w:hAnsi="arial" w:cs="arial"/>
          <w:color w:val="000000"/>
          <w:sz w:val="20"/>
          <w:lang w:val="en-US" w:eastAsia="en-US" w:bidi="ar-SA"/>
        </w:rPr>
        <w:t>  In its Report, KPMG used a capitalized cash flow methodology to estimate the FMV of Pipeline and Field Operations Division but, as Jervis had not historically generated an adequate return on the capital employed, KPMG used the adjusted net asset approach to value Jervis.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464</w:t>
      </w:r>
      <w:r>
        <w:rPr>
          <w:rFonts w:ascii="arial" w:eastAsia="arial" w:hAnsi="arial" w:cs="arial"/>
          <w:color w:val="000000"/>
          <w:sz w:val="20"/>
          <w:lang w:val="en-US" w:eastAsia="en-US" w:bidi="ar-SA"/>
        </w:rPr>
        <w:t>  It is interesting to note that KPMG's valuation for CHL, Ridge and Heather are very similar to those found by McFarlane and McEwen, and its valuation of JCL is much closer to that of McEwen than that of McFarlane.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465</w:t>
      </w:r>
      <w:r>
        <w:rPr>
          <w:rFonts w:ascii="arial" w:eastAsia="arial" w:hAnsi="arial" w:cs="arial"/>
          <w:color w:val="000000"/>
          <w:sz w:val="20"/>
          <w:lang w:val="en-US" w:eastAsia="en-US" w:bidi="ar-SA"/>
        </w:rPr>
        <w:t xml:space="preserve">  Applying the </w:t>
      </w:r>
      <w:r>
        <w:rPr>
          <w:rFonts w:ascii="arial" w:eastAsia="arial" w:hAnsi="arial" w:cs="arial"/>
          <w:i/>
          <w:color w:val="000000"/>
          <w:sz w:val="20"/>
          <w:lang w:val="en-US" w:eastAsia="en-US" w:bidi="ar-SA"/>
        </w:rPr>
        <w:t>Cyprus Anvil</w:t>
      </w:r>
      <w:r>
        <w:rPr>
          <w:rFonts w:ascii="arial" w:eastAsia="arial" w:hAnsi="arial" w:cs="arial"/>
          <w:color w:val="000000"/>
          <w:sz w:val="20"/>
          <w:lang w:val="en-US" w:eastAsia="en-US" w:bidi="ar-SA"/>
        </w:rPr>
        <w:t xml:space="preserve"> principle of stepping back and considering the "reasonableness" of experts' opinions, McEwen's opinion appears to be more reasonable than McFarlane's. However, when McFarlane's opinion is adjusted to increase McCandlish's discount rate and remove the redundant assets and cash, her valuation is also within the "reasonable range" expected per </w:t>
      </w:r>
      <w:r>
        <w:rPr>
          <w:rFonts w:ascii="arial" w:eastAsia="arial" w:hAnsi="arial" w:cs="arial"/>
          <w:i/>
          <w:color w:val="000000"/>
          <w:sz w:val="20"/>
          <w:lang w:val="en-US" w:eastAsia="en-US" w:bidi="ar-SA"/>
        </w:rPr>
        <w:t>Cyprus Anvil</w:t>
      </w:r>
      <w:r>
        <w:rPr>
          <w:rFonts w:ascii="arial" w:eastAsia="arial" w:hAnsi="arial" w:cs="arial"/>
          <w:color w:val="000000"/>
          <w:sz w:val="20"/>
          <w:lang w:val="en-US" w:eastAsia="en-US" w:bidi="ar-SA"/>
        </w:rPr>
        <w:t>.</w:t>
      </w:r>
      <w:bookmarkStart w:id="300" w:name="Backward_fnref_fnr-30"/>
      <w:hyperlink w:anchor="Forward_fnref_fnr-30" w:history="1">
        <w:r>
          <w:rPr>
            <w:rFonts w:ascii="arial" w:eastAsia="arial" w:hAnsi="arial" w:cs="arial"/>
            <w:b/>
            <w:color w:val="BE161D"/>
            <w:sz w:val="20"/>
            <w:shd w:val="clear" w:color="auto" w:fill="FFFFFF"/>
            <w:vertAlign w:val="superscript"/>
            <w:lang w:val="en-US" w:eastAsia="en-US" w:bidi="ar-SA"/>
          </w:rPr>
          <w:t>30</w:t>
        </w:r>
      </w:hyperlink>
      <w:bookmarkEnd w:id="300"/>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color w:val="000000"/>
          <w:sz w:val="20"/>
          <w:lang w:val="en-US" w:eastAsia="en-US" w:bidi="ar-SA"/>
        </w:rPr>
        <w:t>4. Conclusion on Value of the Trust Assets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466</w:t>
      </w:r>
      <w:r>
        <w:rPr>
          <w:rFonts w:ascii="arial" w:eastAsia="arial" w:hAnsi="arial" w:cs="arial"/>
          <w:color w:val="000000"/>
          <w:sz w:val="20"/>
          <w:lang w:val="en-US" w:eastAsia="en-US" w:bidi="ar-SA"/>
        </w:rPr>
        <w:t xml:space="preserve">  In my view, there are difficulties with both of the valuations before me for the reasons set out above; most specifically in respect of the valuations of JCL. In my view, the value of JCL lies somewhere in between the two valuations. I am not bound (as noted in </w:t>
      </w:r>
      <w:r>
        <w:rPr>
          <w:rFonts w:ascii="arial" w:eastAsia="arial" w:hAnsi="arial" w:cs="arial"/>
          <w:i/>
          <w:color w:val="000000"/>
          <w:sz w:val="20"/>
          <w:lang w:val="en-US" w:eastAsia="en-US" w:bidi="ar-SA"/>
        </w:rPr>
        <w:t>Cyprus Anvil</w:t>
      </w:r>
      <w:r>
        <w:rPr>
          <w:rFonts w:ascii="arial" w:eastAsia="arial" w:hAnsi="arial" w:cs="arial"/>
          <w:color w:val="000000"/>
          <w:sz w:val="20"/>
          <w:lang w:val="en-US" w:eastAsia="en-US" w:bidi="ar-SA"/>
        </w:rPr>
        <w:t>) to accept any of the expert valuations, either in whole or in part. In my view, the value of JCL is more likely closer to that ascribed to it in the KMPG Report than to the value found by either McFarlane or McEwen. If I increase McCandlish's discount rate to 10% for Pipeline and 11% for Jervis, reduce intangible value to $5 million (the "median" sustainable value in my view), and deduct the value of the redundant assets ($8,000,000 for the Home and Gibson payment and $1.25 million for the three vessels), McFarlane's valuation of JCL would fall to approximately $70.9 million.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467</w:t>
      </w:r>
      <w:r>
        <w:rPr>
          <w:rFonts w:ascii="arial" w:eastAsia="arial" w:hAnsi="arial" w:cs="arial"/>
          <w:color w:val="000000"/>
          <w:sz w:val="20"/>
          <w:lang w:val="en-US" w:eastAsia="en-US" w:bidi="ar-SA"/>
        </w:rPr>
        <w:t>  In regards to McEwen's valuation, while I cannot be as precise with my calculation (as he was not asked to confirm "new" valuations for Pipeline or Jervis based on any other discount rates), by simply increasing the intangible value to $5 million, McEwen's valuation of JCL would increase to some $49.7 million, without accounting for any change to the discount rates.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468</w:t>
      </w:r>
      <w:r>
        <w:rPr>
          <w:rFonts w:ascii="arial" w:eastAsia="arial" w:hAnsi="arial" w:cs="arial"/>
          <w:color w:val="000000"/>
          <w:sz w:val="20"/>
          <w:lang w:val="en-US" w:eastAsia="en-US" w:bidi="ar-SA"/>
        </w:rPr>
        <w:t>  Taking all of this into account, I find that the value of JCL is $65,000,000. To that amount must be added the values of CHL, Ridge, Heather, Shoshone and 1701 Lougheed.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469</w:t>
      </w:r>
      <w:r>
        <w:rPr>
          <w:rFonts w:ascii="arial" w:eastAsia="arial" w:hAnsi="arial" w:cs="arial"/>
          <w:color w:val="000000"/>
          <w:sz w:val="20"/>
          <w:lang w:val="en-US" w:eastAsia="en-US" w:bidi="ar-SA"/>
        </w:rPr>
        <w:t>  Although McFarlane and McEwen arrived at slightly different numbers for the values of CHL, Ridge, Heather and Shoshone, there is such an insignificant difference that I do not intend to review, in-depth, either of their methodologies in arriving at their figures, and I intend simply to take the average of their two values for each of these additional assets. Accordingly, I find the value of the Trust Assets to be $74,489,000, calculated as follows: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091"/>
        <w:gridCol w:w="3346"/>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2048"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JCL</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$65,000,000</w:t>
            </w:r>
          </w:p>
        </w:tc>
        <w:tc>
          <w:tcPr>
            <w:tcW w:w="4301"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2301"/>
        <w:gridCol w:w="3137"/>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2253"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CHL</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$2,577,500</w:t>
            </w:r>
          </w:p>
        </w:tc>
        <w:tc>
          <w:tcPr>
            <w:tcW w:w="4301"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510"/>
        <w:gridCol w:w="2927"/>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Ridge</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$138,000</w:t>
            </w:r>
          </w:p>
        </w:tc>
        <w:tc>
          <w:tcPr>
            <w:tcW w:w="4301"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2823"/>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Heather</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$49,500</w:t>
            </w:r>
          </w:p>
        </w:tc>
        <w:tc>
          <w:tcPr>
            <w:tcW w:w="4301"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1882"/>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Shoshone (20% only)</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$7,000</w:t>
            </w:r>
          </w:p>
        </w:tc>
        <w:tc>
          <w:tcPr>
            <w:tcW w:w="4301" w:type="dxa"/>
            <w:tcBorders>
              <w:bottom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Jack Cewe Inc.</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0</w:t>
            </w:r>
          </w:p>
        </w:tc>
        <w:tc>
          <w:tcPr>
            <w:tcW w:w="4301"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18"/>
                <w:lang w:val="en-US" w:eastAsia="en-US" w:bidi="ar-SA"/>
              </w:rPr>
              <w:t>Total Shares</w:t>
            </w:r>
          </w:p>
        </w:tc>
        <w:tc>
          <w:tcPr>
            <w:tcW w:w="4710"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18"/>
                <w:lang w:val="en-US" w:eastAsia="en-US" w:bidi="ar-SA"/>
              </w:rPr>
              <w:t>$67,772,000</w:t>
            </w:r>
          </w:p>
        </w:tc>
        <w:tc>
          <w:tcPr>
            <w:tcW w:w="1024"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1568"/>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1701 Lougheed (agreed value)</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$6,717,000</w:t>
            </w:r>
          </w:p>
        </w:tc>
        <w:tc>
          <w:tcPr>
            <w:tcW w:w="4301"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1778"/>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Total Value of Trust Assets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$74,489,000</w:t>
            </w:r>
          </w:p>
        </w:tc>
        <w:tc>
          <w:tcPr>
            <w:tcW w:w="4301"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b/>
          <w:color w:val="000000"/>
          <w:sz w:val="20"/>
          <w:lang w:val="en-US" w:eastAsia="en-US" w:bidi="ar-SA"/>
        </w:rPr>
        <w:t>470</w:t>
      </w:r>
      <w:r>
        <w:rPr>
          <w:rFonts w:ascii="arial" w:eastAsia="arial" w:hAnsi="arial" w:cs="arial"/>
          <w:color w:val="000000"/>
          <w:sz w:val="20"/>
          <w:lang w:val="en-US" w:eastAsia="en-US" w:bidi="ar-SA"/>
        </w:rPr>
        <w:t>  If no additional adjustments were required to the fees, applying this valuation to the CFA, the fee payable by the client to the Solicitors would be $12,273,865.28 calculated as follows: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4438"/>
        <w:gridCol w:w="238"/>
        <w:gridCol w:w="412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Total value of the Settlement =</w:t>
            </w:r>
          </w:p>
        </w:tc>
        <w:tc>
          <w:tcPr>
            <w:tcW w:w="102"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$75,849,432</w:t>
            </w:r>
            <w:bookmarkStart w:id="301" w:name="Backward_fnref_fnr-31"/>
            <w:hyperlink w:anchor="Forward_fnref_fnr-31" w:history="1">
              <w:r>
                <w:rPr>
                  <w:rFonts w:ascii="arial" w:eastAsia="arial" w:hAnsi="arial" w:cs="arial"/>
                  <w:b/>
                  <w:color w:val="BE161D"/>
                  <w:sz w:val="18"/>
                  <w:shd w:val="clear" w:color="auto" w:fill="FFFFFF"/>
                  <w:vertAlign w:val="superscript"/>
                  <w:lang w:val="en-US" w:eastAsia="en-US" w:bidi="ar-SA"/>
                </w:rPr>
                <w:t>31</w:t>
              </w:r>
            </w:hyperlink>
            <w:bookmarkEnd w:id="301"/>
          </w:p>
        </w:tc>
        <w:tc>
          <w:tcPr>
            <w:tcW w:w="1024"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Less Deductions: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451"/>
        <w:gridCol w:w="1882"/>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Home and Gibson Payment</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$8,000,000</w:t>
            </w:r>
          </w:p>
        </w:tc>
        <w:tc>
          <w:tcPr>
            <w:tcW w:w="3686"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660"/>
        <w:gridCol w:w="1673"/>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(Declared Taxes - rounded)</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18"/>
                <w:lang w:val="en-US" w:eastAsia="en-US" w:bidi="ar-SA"/>
              </w:rPr>
            </w:pPr>
            <w:r>
              <w:rPr>
                <w:rFonts w:ascii="arial" w:eastAsia="arial" w:hAnsi="arial" w:cs="arial"/>
                <w:color w:val="000000"/>
                <w:sz w:val="18"/>
                <w:lang w:val="en-US" w:eastAsia="en-US" w:bidi="ar-SA"/>
              </w:rPr>
              <w:t> </w:t>
            </w:r>
          </w:p>
        </w:tc>
        <w:tc>
          <w:tcPr>
            <w:tcW w:w="3686" w:type="dxa"/>
            <w:tcBorders>
              <w:bottom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c>
          <w:tcPr>
            <w:tcW w:w="3584"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[not disputed]</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18"/>
                <w:lang w:val="en-US" w:eastAsia="en-US" w:bidi="ar-SA"/>
              </w:rPr>
            </w:pPr>
            <w:r>
              <w:rPr>
                <w:rFonts w:ascii="arial" w:eastAsia="arial" w:hAnsi="arial" w:cs="arial"/>
                <w:color w:val="000000"/>
                <w:sz w:val="18"/>
                <w:lang w:val="en-US" w:eastAsia="en-US" w:bidi="ar-SA"/>
              </w:rPr>
              <w:t>$12,180,626</w:t>
            </w:r>
          </w:p>
        </w:tc>
        <w:tc>
          <w:tcPr>
            <w:tcW w:w="3686" w:type="dxa"/>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18"/>
          <w:lang w:val="en-US" w:eastAsia="en-US" w:bidi="ar-SA"/>
        </w:rPr>
      </w:pPr>
    </w:p>
    <w:p>
      <w:pPr>
        <w:spacing w:line="260" w:lineRule="atLeast"/>
        <w:ind w:left="1080"/>
        <w:rPr>
          <w:rFonts w:ascii="arial" w:eastAsia="arial" w:hAnsi="arial" w:cs="arial"/>
          <w:sz w:val="18"/>
          <w:lang w:val="en-US" w:eastAsia="en-US" w:bidi="ar-SA"/>
        </w:rPr>
      </w:pPr>
      <w:r>
        <w:rPr>
          <w:rFonts w:ascii="arial" w:eastAsia="arial" w:hAnsi="arial" w:cs="arial"/>
          <w:color w:val="000000"/>
          <w:sz w:val="20"/>
          <w:lang w:val="en-US" w:eastAsia="en-US" w:bidi="ar-SA"/>
        </w:rPr>
        <w:t>Estimated additional taxes based on revised valuation</w:t>
      </w:r>
    </w:p>
    <w:p>
      <w:pPr>
        <w:spacing w:line="260" w:lineRule="atLeast"/>
        <w:ind w:left="1080"/>
        <w:rPr>
          <w:rFonts w:ascii="arial" w:eastAsia="arial" w:hAnsi="arial" w:cs="arial"/>
          <w:sz w:val="18"/>
          <w:lang w:val="en-US" w:eastAsia="en-US" w:bidi="ar-SA"/>
        </w:rPr>
      </w:pPr>
      <w:r>
        <w:rPr>
          <w:rFonts w:ascii="arial" w:eastAsia="arial" w:hAnsi="arial" w:cs="arial"/>
          <w:sz w:val="18"/>
          <w:lang w:val="en-US" w:eastAsia="en-US" w:bidi="ar-SA"/>
        </w:rPr>
        <w:br/>
      </w:r>
      <w:bookmarkStart w:id="302" w:name="Backward_fnref_fnr-32"/>
      <w:hyperlink w:anchor="Forward_fnref_fnr-32" w:history="1">
        <w:r>
          <w:rPr>
            <w:rFonts w:ascii="arial" w:eastAsia="arial" w:hAnsi="arial" w:cs="arial"/>
            <w:b/>
            <w:color w:val="BE161D"/>
            <w:sz w:val="20"/>
            <w:shd w:val="clear" w:color="auto" w:fill="FFFFFF"/>
            <w:vertAlign w:val="superscript"/>
            <w:lang w:val="en-US" w:eastAsia="en-US" w:bidi="ar-SA"/>
          </w:rPr>
          <w:t>32</w:t>
        </w:r>
      </w:hyperlink>
      <w:bookmarkEnd w:id="302"/>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$1,000,000</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692"/>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554" w:type="dxa"/>
            <w:tcBorders>
              <w:right w:val="nil"/>
            </w:tcBorders>
            <w:tcMar>
              <w:top w:w="100" w:type="dxa"/>
              <w:bottom w:w="0" w:type="dxa"/>
            </w:tcMar>
            <w:vAlign w:val="top"/>
          </w:tcPr>
          <w:p>
            <w:pPr>
              <w:spacing w:line="220" w:lineRule="atLeast"/>
              <w:jc w:val="righ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$21,180,626</w:t>
            </w:r>
          </w:p>
        </w:tc>
        <w:tc>
          <w:tcPr>
            <w:tcW w:w="3686"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2405"/>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c>
          <w:tcPr>
            <w:tcW w:w="3994" w:type="dxa"/>
            <w:tcBorders>
              <w:bottom w:val="nil"/>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$75,849,432 - $21,180,625 =</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18"/>
                <w:lang w:val="en-US" w:eastAsia="en-US" w:bidi="ar-SA"/>
              </w:rPr>
            </w:pPr>
            <w:r>
              <w:rPr>
                <w:rFonts w:ascii="arial" w:eastAsia="arial" w:hAnsi="arial" w:cs="arial"/>
                <w:color w:val="000000"/>
                <w:sz w:val="18"/>
                <w:lang w:val="en-US" w:eastAsia="en-US" w:bidi="ar-SA"/>
              </w:rPr>
              <w:t> </w:t>
            </w:r>
          </w:p>
        </w:tc>
        <w:tc>
          <w:tcPr>
            <w:tcW w:w="3277" w:type="dxa"/>
            <w:tcBorders>
              <w:bottom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c>
          <w:tcPr>
            <w:tcW w:w="3994"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$54,668,807 x 20% =</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18"/>
                <w:lang w:val="en-US" w:eastAsia="en-US" w:bidi="ar-SA"/>
              </w:rPr>
            </w:pPr>
            <w:r>
              <w:rPr>
                <w:rFonts w:ascii="arial" w:eastAsia="arial" w:hAnsi="arial" w:cs="arial"/>
                <w:color w:val="000000"/>
                <w:sz w:val="18"/>
                <w:lang w:val="en-US" w:eastAsia="en-US" w:bidi="ar-SA"/>
              </w:rPr>
              <w:t>$10,933,761.00</w:t>
            </w:r>
          </w:p>
        </w:tc>
        <w:tc>
          <w:tcPr>
            <w:tcW w:w="3277" w:type="dxa"/>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1778"/>
        <w:gridCol w:w="3346"/>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w:t>
            </w:r>
          </w:p>
        </w:tc>
        <w:tc>
          <w:tcPr>
            <w:tcW w:w="1741"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HST</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$1,312,051.30</w:t>
            </w:r>
          </w:p>
        </w:tc>
        <w:tc>
          <w:tcPr>
            <w:tcW w:w="3277"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w:t>
            </w:r>
          </w:p>
        </w:tc>
        <w:tc>
          <w:tcPr>
            <w:tcW w:w="7270"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Disbursements &amp; taxes on</w:t>
            </w:r>
          </w:p>
        </w:tc>
        <w:tc>
          <w:tcPr>
            <w:tcW w:w="1024"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973"/>
        <w:gridCol w:w="407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disbursements</w:t>
            </w:r>
          </w:p>
        </w:tc>
        <w:tc>
          <w:tcPr>
            <w:tcW w:w="3994"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u w:val="single"/>
                <w:lang w:val="en-US" w:eastAsia="en-US" w:bidi="ar-SA"/>
              </w:rPr>
              <w:t>$28,052.98</w:t>
            </w:r>
          </w:p>
        </w:tc>
        <w:tc>
          <w:tcPr>
            <w:tcW w:w="1024"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18"/>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301"/>
        <w:gridCol w:w="3450"/>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c>
          <w:tcPr>
            <w:tcW w:w="2253" w:type="dxa"/>
            <w:tcBorders>
              <w:right w:val="nil"/>
            </w:tcBorders>
            <w:tcMar>
              <w:top w:w="100" w:type="dxa"/>
              <w:bottom w:w="0" w:type="dxa"/>
            </w:tcMar>
            <w:vAlign w:val="top"/>
          </w:tcPr>
          <w:p>
            <w:pPr>
              <w:spacing w:line="220" w:lineRule="atLeas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TOTAL:</w:t>
            </w:r>
          </w:p>
        </w:tc>
        <w:tc>
          <w:tcPr>
            <w:tcW w:w="3379" w:type="dxa"/>
            <w:tcBorders>
              <w:right w:val="nil"/>
            </w:tcBorders>
            <w:tcMar>
              <w:top w:w="100" w:type="dxa"/>
              <w:bottom w:w="0" w:type="dxa"/>
            </w:tcMar>
            <w:vAlign w:val="top"/>
          </w:tcPr>
          <w:p>
            <w:pPr>
              <w:spacing w:line="220" w:lineRule="atLeast"/>
              <w:jc w:val="right"/>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18"/>
                <w:lang w:val="en-US" w:eastAsia="en-US" w:bidi="ar-SA"/>
              </w:rPr>
              <w:t>$12,273,865.28</w:t>
            </w:r>
          </w:p>
        </w:tc>
        <w:tc>
          <w:tcPr>
            <w:tcW w:w="3277" w:type="dxa"/>
            <w:tcMar>
              <w:top w:w="100" w:type="dxa"/>
              <w:bottom w:w="0" w:type="dxa"/>
            </w:tcMar>
            <w:vAlign w:val="top"/>
          </w:tcPr>
          <w:p>
            <w:pPr>
              <w:rPr>
                <w:rFonts w:ascii="arial" w:eastAsia="arial" w:hAnsi="arial" w:cs="arial"/>
                <w:sz w:val="18"/>
                <w:lang w:val="en-US" w:eastAsia="en-US" w:bidi="ar-SA"/>
              </w:rPr>
            </w:pPr>
            <w:r>
              <w:rPr>
                <w:rFonts w:ascii="arial" w:eastAsia="arial" w:hAnsi="arial" w:cs="arial"/>
                <w:sz w:val="18"/>
                <w:lang w:val="en-US" w:eastAsia="en-US" w:bidi="ar-SA"/>
              </w:rPr>
              <w:br/>
            </w:r>
          </w:p>
        </w:tc>
      </w:tr>
    </w:tbl>
    <w:p>
      <w:pPr>
        <w:rPr>
          <w:rFonts w:ascii="arial" w:eastAsia="arial" w:hAnsi="arial" w:cs="arial"/>
          <w:sz w:val="18"/>
          <w:lang w:val="en-US" w:eastAsia="en-US" w:bidi="ar-SA"/>
        </w:rPr>
      </w:pPr>
    </w:p>
    <w:p>
      <w:pPr>
        <w:spacing w:line="260" w:lineRule="atLeast"/>
        <w:jc w:val="both"/>
        <w:rPr>
          <w:rFonts w:ascii="arial" w:eastAsia="arial" w:hAnsi="arial" w:cs="arial"/>
          <w:sz w:val="18"/>
          <w:lang w:val="en-US" w:eastAsia="en-US" w:bidi="ar-SA"/>
        </w:rPr>
      </w:pPr>
      <w:r>
        <w:rPr>
          <w:rFonts w:ascii="arial" w:eastAsia="arial" w:hAnsi="arial" w:cs="arial"/>
          <w:b/>
          <w:color w:val="000000"/>
          <w:sz w:val="20"/>
          <w:u w:val="single"/>
          <w:lang w:val="en-US" w:eastAsia="en-US" w:bidi="ar-SA"/>
        </w:rPr>
        <w:t>What Fee Should the Client Pay to the Solicitors?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471</w:t>
      </w:r>
      <w:r>
        <w:rPr>
          <w:rFonts w:ascii="arial" w:eastAsia="arial" w:hAnsi="arial" w:cs="arial"/>
          <w:color w:val="000000"/>
          <w:sz w:val="20"/>
          <w:lang w:val="en-US" w:eastAsia="en-US" w:bidi="ar-SA"/>
        </w:rPr>
        <w:t xml:space="preserve">  Although I have deemed the CFA to be fair and reasonable, and have determined the value of the Trust Assets against which the Solicitor's fees ought to be calculated, that does not end my enquiry. I now must determine whether the ultimate fee is in fact reasonable, in accordance with the decision of Goepel J. in </w:t>
      </w:r>
      <w:r>
        <w:rPr>
          <w:rFonts w:ascii="arial" w:eastAsia="arial" w:hAnsi="arial" w:cs="arial"/>
          <w:i/>
          <w:color w:val="000000"/>
          <w:sz w:val="20"/>
          <w:lang w:val="en-US" w:eastAsia="en-US" w:bidi="ar-SA"/>
        </w:rPr>
        <w:t>Sawchuk</w:t>
      </w:r>
      <w:r>
        <w:rPr>
          <w:rFonts w:ascii="arial" w:eastAsia="arial" w:hAnsi="arial" w:cs="arial"/>
          <w:color w:val="000000"/>
          <w:sz w:val="20"/>
          <w:lang w:val="en-US" w:eastAsia="en-US" w:bidi="ar-SA"/>
        </w:rPr>
        <w:t>, at para. 56:</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It is also to be remembered that when an agreement is not cancelled or modified under s. 68(6), it does not necessarily follow that the lawyer will in fact be paid pursuant to the terms of the contract. The lawyers account still remains subject to a review pursuant to s. 70 [of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which review will determine whether the ultimate fee is in fact reasonable.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472</w:t>
      </w:r>
      <w:r>
        <w:rPr>
          <w:rFonts w:ascii="arial" w:eastAsia="arial" w:hAnsi="arial" w:cs="arial"/>
          <w:color w:val="000000"/>
          <w:sz w:val="20"/>
          <w:lang w:val="en-US" w:eastAsia="en-US" w:bidi="ar-SA"/>
        </w:rPr>
        <w:t xml:space="preserve">  Section 70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the section under which a registrar traditionally conducts a review of a lawyer's bill to his client. That review includes consideration of the circumstances existing at the time the bill was rendered rather than the time that a contract for fees was entered into and, at such review, a registrar must consider "all of the circumstances", including:</w:t>
      </w:r>
      <w:r>
        <w:rPr>
          <w:rFonts w:ascii="arial" w:eastAsia="arial" w:hAnsi="arial" w:cs="arial"/>
          <w:sz w:val="18"/>
          <w:lang w:val="en-US" w:eastAsia="en-US" w:bidi="ar-SA"/>
        </w:rPr>
        <w:cr/>
      </w:r>
    </w:p>
    <w:p>
      <w:pPr>
        <w:numPr>
          <w:numId w:val="207"/>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complexity, difficulty or novelty of the issues involved;</w:t>
      </w:r>
    </w:p>
    <w:p>
      <w:pPr>
        <w:numPr>
          <w:numId w:val="208"/>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skill, specialized knowledge and responsibility required of the lawyer;</w:t>
      </w:r>
    </w:p>
    <w:p>
      <w:pPr>
        <w:numPr>
          <w:numId w:val="209"/>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lawyer's character and standing in the profession;</w:t>
      </w:r>
    </w:p>
    <w:p>
      <w:pPr>
        <w:numPr>
          <w:numId w:val="210"/>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amount involved;</w:t>
      </w:r>
    </w:p>
    <w:p>
      <w:pPr>
        <w:numPr>
          <w:numId w:val="211"/>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time reasonably spent;</w:t>
      </w:r>
    </w:p>
    <w:p>
      <w:pPr>
        <w:numPr>
          <w:numId w:val="212"/>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if there has been an agreement that sets a fee rate that is based on an amount per unit of time spent by the lawyer, whether the rate was reasonable;</w:t>
      </w:r>
    </w:p>
    <w:p>
      <w:pPr>
        <w:numPr>
          <w:numId w:val="213"/>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importance of the matter to the client whose bill is being reviewed; and</w:t>
      </w:r>
    </w:p>
    <w:p>
      <w:pPr>
        <w:numPr>
          <w:numId w:val="214"/>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the result obtained.</w:t>
      </w:r>
    </w:p>
    <w:p>
      <w:pPr>
        <w:spacing w:before="120" w:line="260" w:lineRule="atLeast"/>
        <w:ind w:left="720"/>
        <w:rPr>
          <w:rFonts w:ascii="arial" w:eastAsia="arial" w:hAnsi="arial" w:cs="arial"/>
          <w:sz w:val="18"/>
          <w:lang w:val="en-US" w:eastAsia="en-US" w:bidi="ar-SA"/>
        </w:rPr>
      </w:pPr>
      <w:r>
        <w:rPr>
          <w:rFonts w:ascii="arial" w:eastAsia="arial" w:hAnsi="arial" w:cs="arial"/>
          <w:b/>
          <w:color w:val="000000"/>
          <w:sz w:val="20"/>
          <w:lang w:val="en-US" w:eastAsia="en-US" w:bidi="ar-SA"/>
        </w:rPr>
        <w:t>1. Complexity, Difficulty or Novelty of the Issues Involved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473</w:t>
      </w:r>
      <w:r>
        <w:rPr>
          <w:rFonts w:ascii="arial" w:eastAsia="arial" w:hAnsi="arial" w:cs="arial"/>
          <w:color w:val="000000"/>
          <w:sz w:val="20"/>
          <w:lang w:val="en-US" w:eastAsia="en-US" w:bidi="ar-SA"/>
        </w:rPr>
        <w:t>  There is no doubt, as I have confirmed above that, at first blush, the matter was of some complexity and difficulty, and even had some novel aspects. That complexity, difficulty and novelty continued throughout the retainer. I should note, however, that in the end, the actual work the Solicitors did was not large in the sense that when the matter settled, HTLN had not yet undertaken any examinations for discovery; they had only just started the document collection; and they had interviewed very few witnesses. It is fair to say that, at the time it settled, the Action was still in its formative stages. That being said, the Solicitors had drafted complex and lengthy pleadings; they had embarked on a "campaign" of briefing a number of areas of the law relevant to the issues; and they had prepared for a number of applications - all things designed to put maximum pressure on Home and Gibson pursuant to the Client's instructions.</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color w:val="000000"/>
          <w:sz w:val="20"/>
          <w:lang w:val="en-US" w:eastAsia="en-US" w:bidi="ar-SA"/>
        </w:rPr>
        <w:t>2. Skill, Specialized Knowledge and Responsibility Required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474</w:t>
      </w:r>
      <w:r>
        <w:rPr>
          <w:rFonts w:ascii="arial" w:eastAsia="arial" w:hAnsi="arial" w:cs="arial"/>
          <w:color w:val="000000"/>
          <w:sz w:val="20"/>
          <w:lang w:val="en-US" w:eastAsia="en-US" w:bidi="ar-SA"/>
        </w:rPr>
        <w:t>  As I have noted earlier, at the time of this retainer, Mr. Crickmore was considered more intermediate than senior counsel as his date of call to the Bar is September 1, 1995, as compared to the other counsel involved the action: Rhys Davies, Q.C., whose date of call is November 10, 1983; Barry Kirkham, Q.C., whose call date is June 30, 1971; and Mary Hamilton who was called to the Bar of British Columbia on August 5, 1987. Mr. Tomyn and Mr. Hungerford might also be considered "senior counsel." Although junior in respect of her call to the Bar of British Columbia, Ms. Teetaert had experience in a similar lawsuit while with Burnet Duckworth. Mr. Manolis had skills in research.</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475</w:t>
      </w:r>
      <w:r>
        <w:rPr>
          <w:rFonts w:ascii="arial" w:eastAsia="arial" w:hAnsi="arial" w:cs="arial"/>
          <w:color w:val="000000"/>
          <w:sz w:val="20"/>
          <w:lang w:val="en-US" w:eastAsia="en-US" w:bidi="ar-SA"/>
        </w:rPr>
        <w:t>  In his legal opinion, Mr. Roberts said that the "legal services to be rendered in this case were formidable". He also said that HTLN "proved their mettle in having the strategic know-how and courage to name Davis LLP as a defendant." He also noted that the Solicitors employed a "thoughtful and aggressive stance" in their conduct of the Action. Finally, Mr. Roberts opines (at paras. 89-92 of his opinion):</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The Statement of Defence and Counterclaim drawn by HTLN was a masterpiece of pleading and revealed shrewd tactics. The pleading of an allegation of breach of fiduciary duty against the plaintiff Mr. Home gave a significant boost to the allegation of undue influence. The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Davis LLP, while novel because a duty of care is generally owed to the testator and not to beneficiaries, had a reasonable prospect of not being struck out on an interlocutory motion (and as it happened it survived such an application) and therefore would have the consequence of removing Davis LLP from the file, forcing the plaintiff to seek other counsel.</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Then, when the plaintiffs went to the firm of Owen Bird, HTLN wasted little time in developing and putting into play the strategy of having the plaintiffs' second counsel removed from the file.</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In practical terms, the execution of these well-placed strategies had the result that while Kirsten Wilson understood in December 2008 that she was in for a long drawn out contest of uncertain outcome requiring an expenditure of up to a couple of million dollars in legal fees on an hourly rate basis, within a little more than six months she controlled her late grandfather's companies and assets worth many millions of dollars. As Mr. Justice Hinkson stated at the trial level, this was "[a]n estate estimated to be worth in excess of $100 million."</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All of this was brought about through the agency of HTLN.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476</w:t>
      </w:r>
      <w:r>
        <w:rPr>
          <w:rFonts w:ascii="arial" w:eastAsia="arial" w:hAnsi="arial" w:cs="arial"/>
          <w:color w:val="000000"/>
          <w:sz w:val="20"/>
          <w:lang w:val="en-US" w:eastAsia="en-US" w:bidi="ar-SA"/>
        </w:rPr>
        <w:t>  Mr. Hunter, on the other hand, in his opinion states:</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While the skill or specialized knowledge required does not seem to be particularly high, it does appear to me that the Law Firm provided very good service to the client. The statement of defence and counterclaim appear to be well crafted and the mediation submission is quite persuasive.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477</w:t>
      </w:r>
      <w:r>
        <w:rPr>
          <w:rFonts w:ascii="arial" w:eastAsia="arial" w:hAnsi="arial" w:cs="arial"/>
          <w:color w:val="000000"/>
          <w:sz w:val="20"/>
          <w:lang w:val="en-US" w:eastAsia="en-US" w:bidi="ar-SA"/>
        </w:rPr>
        <w:t>  In my view, the Solicitors did bring a degree of skill and specialized knowledge to the matter. The pleadings they crafted were narrative and quite different from what one might consider "normal" pleadings in a case of this type. As noted earlier, an estate case is not necessarily easy and the Client was facing particular difficulties here. She herself testified that, in her view, it was essential that the Solicitors put a lot of pressure on Home. In my view, naming Home as a fiduciary combined with naming Davis LLP as a defendant in the Action, thus requiring Home and Gibson to change solicitors, did place a degree of pressure on Home and Gibson. That, coupled with the subsequent application to remove Owen Bird as their solicitors, did go some way to ensure that pressure was kept on Home and Gibson and, perhaps had a hand in bringing them to settle.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478</w:t>
      </w:r>
      <w:r>
        <w:rPr>
          <w:rFonts w:ascii="arial" w:eastAsia="arial" w:hAnsi="arial" w:cs="arial"/>
          <w:color w:val="000000"/>
          <w:sz w:val="20"/>
          <w:lang w:val="en-US" w:eastAsia="en-US" w:bidi="ar-SA"/>
        </w:rPr>
        <w:t>  Mr. Macintosh argued during his closing submissions for the Client that I should not forget that Home and Gibson had the Nathanson, Schachter firm "on deck" to take over from Owen Bird. While I agree that having experienced and well-regarded counsel ready to take over would, to some extent, negate the pressure on Home and Gibson, it is still expensive and challenging to retain and instruct new counsel. Instructing and educating new counsel would have been a considerable burden in a case such as this.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479</w:t>
      </w:r>
      <w:r>
        <w:rPr>
          <w:rFonts w:ascii="arial" w:eastAsia="arial" w:hAnsi="arial" w:cs="arial"/>
          <w:color w:val="000000"/>
          <w:sz w:val="20"/>
          <w:lang w:val="en-US" w:eastAsia="en-US" w:bidi="ar-SA"/>
        </w:rPr>
        <w:t>  I should also note that the Client does not appear to have any complaints with the legal work done by the Solicitors. In fact at the hearing, I heard a number of voice mail messages Mr. Wilson left for various firm members confirming how pleased he and Ms. Mide-Wilson were with the work done. There are also a number of emails sent by Mr. Wilson praising the HTLN "team" for their legal work. Mr. Rennie confirmed his view that Mr. Crickmore was a talented litigator and that he had no difficulty recommending HTLN to the Client. I do not think the Client actually feels the legal work itself was in any way lacking.</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480</w:t>
      </w:r>
      <w:r>
        <w:rPr>
          <w:rFonts w:ascii="arial" w:eastAsia="arial" w:hAnsi="arial" w:cs="arial"/>
          <w:color w:val="000000"/>
          <w:sz w:val="20"/>
          <w:lang w:val="en-US" w:eastAsia="en-US" w:bidi="ar-SA"/>
        </w:rPr>
        <w:t>  In her submissions the Client intimated it was Mr. Rennie who was the "primary player" and that, in fact, it was he who precipitated the settlement; not HTLN. In his own testimony, Mr. Rennie also suggested that he was the person responsible for negotiating and completing the settlement, not HTLN.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481</w:t>
      </w:r>
      <w:r>
        <w:rPr>
          <w:rFonts w:ascii="arial" w:eastAsia="arial" w:hAnsi="arial" w:cs="arial"/>
          <w:color w:val="000000"/>
          <w:sz w:val="20"/>
          <w:lang w:val="en-US" w:eastAsia="en-US" w:bidi="ar-SA"/>
        </w:rPr>
        <w:t>  In my view, Mr. Rennie was an integral part of the "team" and, to some extent, his relationship with Home brought the Action to a conclusion. However, Mr. Rennie alone could not have achieved the settlement without the work of HTLN who drafted the pleadings, briefed the applications, conceived of the mediation, and ultimately drafted the corporate documents to conclude the settlement.</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color w:val="000000"/>
          <w:sz w:val="20"/>
          <w:lang w:val="en-US" w:eastAsia="en-US" w:bidi="ar-SA"/>
        </w:rPr>
        <w:t>3. Amount Involved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482</w:t>
      </w:r>
      <w:r>
        <w:rPr>
          <w:rFonts w:ascii="arial" w:eastAsia="arial" w:hAnsi="arial" w:cs="arial"/>
          <w:color w:val="000000"/>
          <w:sz w:val="20"/>
          <w:lang w:val="en-US" w:eastAsia="en-US" w:bidi="ar-SA"/>
        </w:rPr>
        <w:t>  As I have found earlier in these reasons, the value of the Trust Assets as at the Valuation Date is $74,489,000.00.</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color w:val="000000"/>
          <w:sz w:val="20"/>
          <w:lang w:val="en-US" w:eastAsia="en-US" w:bidi="ar-SA"/>
        </w:rPr>
        <w:t>4. Time Reasonably Spent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483</w:t>
      </w:r>
      <w:r>
        <w:rPr>
          <w:rFonts w:ascii="arial" w:eastAsia="arial" w:hAnsi="arial" w:cs="arial"/>
          <w:color w:val="000000"/>
          <w:sz w:val="20"/>
          <w:lang w:val="en-US" w:eastAsia="en-US" w:bidi="ar-SA"/>
        </w:rPr>
        <w:t>  I did receive in evidence a "time record" prepared by HTLN containing notations of the time apparently spent by each of the lawyers who worked on the file. Mr. Crickmore testified that this "time record" was "recreated" after the Solicitors had been formally retained in late October 2009. He said that the record was an internal document HTLN intended to use to determine how to divide the fees among members of the HTLN firm.</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484</w:t>
      </w:r>
      <w:r>
        <w:rPr>
          <w:rFonts w:ascii="arial" w:eastAsia="arial" w:hAnsi="arial" w:cs="arial"/>
          <w:color w:val="000000"/>
          <w:sz w:val="20"/>
          <w:lang w:val="en-US" w:eastAsia="en-US" w:bidi="ar-SA"/>
        </w:rPr>
        <w:t>  The time record discloses that the time spent on this matter by various people at HTLN was approximately 2,500 hours. It was clear to me in hearing and reviewing the evidence in this proceeding that the Solicitors put a lot of time and effort into this matter. Mr. Tomyn in particular, would regularly see an article or find some case law relevant to the matters in issue in the Action and forward the article or case to Mr. Crickmore for his review and consideration. Mr. Crickmore, although he agreed he was working on other significant matters during the period of the retainer, spent a great deal of time on this matter. Even Ms. Mide-Wilson, in her testimony, spoke of the large amount of time she spent in conversation with Mr. Crickmore; basically sharing with him, in her words, "her entire life story". The time taken up with that would have been considerable.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485</w:t>
      </w:r>
      <w:r>
        <w:rPr>
          <w:rFonts w:ascii="arial" w:eastAsia="arial" w:hAnsi="arial" w:cs="arial"/>
          <w:color w:val="000000"/>
          <w:sz w:val="20"/>
          <w:lang w:val="en-US" w:eastAsia="en-US" w:bidi="ar-SA"/>
        </w:rPr>
        <w:t>  It is also important that I recognize that if I attribute an average hourly rate of $500 per hour (quite high in my view and representative of rates for those whom one might call "senior" counsel) to the 2,500 hours said to have been spent by HTLN the fees generated by an hourly rate retainer on this file would be $1,250,000, not including Mr. Smith's time which was some 150 hours. Adding Mr. Smith's time would add an additional $75,000</w:t>
      </w:r>
      <w:bookmarkStart w:id="303" w:name="Backward_fnref_fnr-33"/>
      <w:hyperlink w:anchor="Forward_fnref_fnr-33" w:history="1">
        <w:r>
          <w:rPr>
            <w:rFonts w:ascii="arial" w:eastAsia="arial" w:hAnsi="arial" w:cs="arial"/>
            <w:b/>
            <w:color w:val="BE161D"/>
            <w:sz w:val="20"/>
            <w:shd w:val="clear" w:color="auto" w:fill="FFFFFF"/>
            <w:vertAlign w:val="superscript"/>
            <w:lang w:val="en-US" w:eastAsia="en-US" w:bidi="ar-SA"/>
          </w:rPr>
          <w:t>33</w:t>
        </w:r>
      </w:hyperlink>
      <w:bookmarkEnd w:id="303"/>
      <w:r>
        <w:rPr>
          <w:rFonts w:ascii="arial" w:eastAsia="arial" w:hAnsi="arial" w:cs="arial"/>
          <w:color w:val="000000"/>
          <w:sz w:val="20"/>
          <w:lang w:val="en-US" w:eastAsia="en-US" w:bidi="ar-SA"/>
        </w:rPr>
        <w:t xml:space="preserve"> to that hourly fee amount resulting in a total fee of $1,325,000 on an hourly rate basis.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486</w:t>
      </w:r>
      <w:r>
        <w:rPr>
          <w:rFonts w:ascii="arial" w:eastAsia="arial" w:hAnsi="arial" w:cs="arial"/>
          <w:color w:val="000000"/>
          <w:sz w:val="20"/>
          <w:lang w:val="en-US" w:eastAsia="en-US" w:bidi="ar-SA"/>
        </w:rPr>
        <w:t>  In his opinion on this factor, Mr. Hunter (after reviewing the time record) says:</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Given the preliminary stage of the proceedings, these numbers [of hours recorded in the time record] seem high, but in light of the amount involved and the importance to the client, I cannot conclude they are unreasonably high.</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487</w:t>
      </w:r>
      <w:r>
        <w:rPr>
          <w:rFonts w:ascii="arial" w:eastAsia="arial" w:hAnsi="arial" w:cs="arial"/>
          <w:color w:val="000000"/>
          <w:sz w:val="20"/>
          <w:lang w:val="en-US" w:eastAsia="en-US" w:bidi="ar-SA"/>
        </w:rPr>
        <w:t xml:space="preserve">  Mr. Hunter also suggests that, by using hourly rates for lawyers involved ranging between $300 - $500 per hour, "an order of magnitude estimate of the opportunity cost to the firm relative to the usual market for providing comparable legal reviews" would lead to a fee of about $1.1 million. Mr. Hunter then recognizes that (as noted by the Court of Appeal in </w:t>
      </w:r>
      <w:r>
        <w:rPr>
          <w:rFonts w:ascii="arial" w:eastAsia="arial" w:hAnsi="arial" w:cs="arial"/>
          <w:i/>
          <w:color w:val="000000"/>
          <w:sz w:val="20"/>
          <w:lang w:val="en-US" w:eastAsia="en-US" w:bidi="ar-SA"/>
        </w:rPr>
        <w:t>Inmet</w:t>
      </w:r>
      <w:r>
        <w:rPr>
          <w:rFonts w:ascii="arial" w:eastAsia="arial" w:hAnsi="arial" w:cs="arial"/>
          <w:color w:val="000000"/>
          <w:sz w:val="20"/>
          <w:lang w:val="en-US" w:eastAsia="en-US" w:bidi="ar-SA"/>
        </w:rPr>
        <w:t>) a "fair fee" should not simply be a calculation based on bonus times hourly rates, unless the parties have agreed to that formula (which here they have not).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488</w:t>
      </w:r>
      <w:r>
        <w:rPr>
          <w:rFonts w:ascii="arial" w:eastAsia="arial" w:hAnsi="arial" w:cs="arial"/>
          <w:color w:val="000000"/>
          <w:sz w:val="20"/>
          <w:lang w:val="en-US" w:eastAsia="en-US" w:bidi="ar-SA"/>
        </w:rPr>
        <w:t xml:space="preserve">  It is also important to note that, in general, I should take a "holistic" approach to matters such as this, rather than performing a mathematical calculation on the basis of the time spent (per Bauman, J.A. (as he then was), in </w:t>
      </w:r>
      <w:r>
        <w:rPr>
          <w:rFonts w:ascii="arial" w:eastAsia="arial" w:hAnsi="arial" w:cs="arial"/>
          <w:i/>
          <w:color w:val="000000"/>
          <w:sz w:val="20"/>
          <w:lang w:val="en-US" w:eastAsia="en-US" w:bidi="ar-SA"/>
        </w:rPr>
        <w:t>Inmet</w:t>
      </w:r>
      <w:r>
        <w:rPr>
          <w:rFonts w:ascii="arial" w:eastAsia="arial" w:hAnsi="arial" w:cs="arial"/>
          <w:color w:val="000000"/>
          <w:sz w:val="20"/>
          <w:lang w:val="en-US" w:eastAsia="en-US" w:bidi="ar-SA"/>
        </w:rPr>
        <w:t xml:space="preserve"> at para. 111).</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color w:val="000000"/>
          <w:sz w:val="20"/>
          <w:lang w:val="en-US" w:eastAsia="en-US" w:bidi="ar-SA"/>
        </w:rPr>
        <w:t>5. Importance of the Matter to the Client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489</w:t>
      </w:r>
      <w:r>
        <w:rPr>
          <w:rFonts w:ascii="arial" w:eastAsia="arial" w:hAnsi="arial" w:cs="arial"/>
          <w:color w:val="000000"/>
          <w:sz w:val="20"/>
          <w:lang w:val="en-US" w:eastAsia="en-US" w:bidi="ar-SA"/>
        </w:rPr>
        <w:t>  No doubt this matter was of the greatest of importance to the Client. The matter at issue was her grandfather's estate. Her stated objective was to regain control of the Trust Assets. She was not interested in settling the case for a monetary amount. Her sole purpose in retaining the Solicitors was to "get the company back". Mr. Wilson confirmed this in one of his voice mail messages. In his words:</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Nothing is more important than my wife. This is something she absolutely wants so bad, I cannot tell you.</w:t>
      </w:r>
    </w:p>
    <w:p>
      <w:pPr>
        <w:spacing w:before="120" w:line="260" w:lineRule="atLeast"/>
        <w:ind w:left="720"/>
        <w:rPr>
          <w:rFonts w:ascii="arial" w:eastAsia="arial" w:hAnsi="arial" w:cs="arial"/>
          <w:sz w:val="18"/>
          <w:lang w:val="en-US" w:eastAsia="en-US" w:bidi="ar-SA"/>
        </w:rPr>
      </w:pPr>
      <w:r>
        <w:rPr>
          <w:rFonts w:ascii="arial" w:eastAsia="arial" w:hAnsi="arial" w:cs="arial"/>
          <w:b/>
          <w:color w:val="000000"/>
          <w:sz w:val="20"/>
          <w:lang w:val="en-US" w:eastAsia="en-US" w:bidi="ar-SA"/>
        </w:rPr>
        <w:t>6. Result Obtained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490</w:t>
      </w:r>
      <w:r>
        <w:rPr>
          <w:rFonts w:ascii="arial" w:eastAsia="arial" w:hAnsi="arial" w:cs="arial"/>
          <w:color w:val="000000"/>
          <w:sz w:val="20"/>
          <w:lang w:val="en-US" w:eastAsia="en-US" w:bidi="ar-SA"/>
        </w:rPr>
        <w:t>  No doubt the result was excellent. I do not believe that there is any real dispute about that; although Mr. Hunter suggested that the result was simply "satisfactory". There is no doubt, however, that HTLN achieved the sole purpose of the retainer for the Client.</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color w:val="000000"/>
          <w:sz w:val="20"/>
          <w:lang w:val="en-US" w:eastAsia="en-US" w:bidi="ar-SA"/>
        </w:rPr>
        <w:t>7. Other Factors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491</w:t>
      </w:r>
      <w:r>
        <w:rPr>
          <w:rFonts w:ascii="arial" w:eastAsia="arial" w:hAnsi="arial" w:cs="arial"/>
          <w:color w:val="000000"/>
          <w:sz w:val="20"/>
          <w:lang w:val="en-US" w:eastAsia="en-US" w:bidi="ar-SA"/>
        </w:rPr>
        <w:t xml:space="preserve">  In addition to considering the "standard"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xml:space="preserve"> factors,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directs me to consider "all of the circumstances". The phrase "all of the circumstances" has been held to mean "all factors essential to justice and fair play": see, </w:t>
      </w:r>
      <w:r>
        <w:rPr>
          <w:rFonts w:ascii="arial" w:eastAsia="arial" w:hAnsi="arial" w:cs="arial"/>
          <w:i/>
          <w:color w:val="000000"/>
          <w:sz w:val="20"/>
          <w:lang w:val="en-US" w:eastAsia="en-US" w:bidi="ar-SA"/>
        </w:rPr>
        <w:t>Diligenti v. McAlpine, Roberts and Poulus</w:t>
      </w:r>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(1978), 9 B.C.L.R. 153</w:t>
        </w:r>
      </w:hyperlink>
      <w:r>
        <w:rPr>
          <w:rFonts w:ascii="arial" w:eastAsia="arial" w:hAnsi="arial" w:cs="arial"/>
          <w:color w:val="000000"/>
          <w:sz w:val="20"/>
          <w:lang w:val="en-US" w:eastAsia="en-US" w:bidi="ar-SA"/>
        </w:rPr>
        <w:t xml:space="preserve"> (C.A.), at p. 156; and </w:t>
      </w:r>
      <w:r>
        <w:rPr>
          <w:rFonts w:ascii="arial" w:eastAsia="arial" w:hAnsi="arial" w:cs="arial"/>
          <w:i/>
          <w:color w:val="000000"/>
          <w:sz w:val="20"/>
          <w:lang w:val="en-US" w:eastAsia="en-US" w:bidi="ar-SA"/>
        </w:rPr>
        <w:t>Yule.</w:t>
      </w:r>
      <w:r>
        <w:rPr>
          <w:rFonts w:ascii="arial" w:eastAsia="arial" w:hAnsi="arial" w:cs="arial"/>
          <w:color w:val="000000"/>
          <w:sz w:val="20"/>
          <w:lang w:val="en-US" w:eastAsia="en-US" w:bidi="ar-SA"/>
        </w:rPr>
        <w:t xml:space="preserve"> I am therefore not limited to the above factors in determining a fair fee.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492</w:t>
      </w:r>
      <w:r>
        <w:rPr>
          <w:rFonts w:ascii="arial" w:eastAsia="arial" w:hAnsi="arial" w:cs="arial"/>
          <w:color w:val="000000"/>
          <w:sz w:val="20"/>
          <w:lang w:val="en-US" w:eastAsia="en-US" w:bidi="ar-SA"/>
        </w:rPr>
        <w:t xml:space="preserve">  Additional factors that have been considered relevant to a review of a lawyer's bill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are:</w:t>
      </w:r>
      <w:r>
        <w:rPr>
          <w:rFonts w:ascii="arial" w:eastAsia="arial" w:hAnsi="arial" w:cs="arial"/>
          <w:sz w:val="18"/>
          <w:lang w:val="en-US" w:eastAsia="en-US" w:bidi="ar-SA"/>
        </w:rPr>
        <w:cr/>
      </w:r>
    </w:p>
    <w:p>
      <w:pPr>
        <w:numPr>
          <w:numId w:val="215"/>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The ability of the client to pay (see, </w:t>
      </w:r>
      <w:r>
        <w:rPr>
          <w:rFonts w:ascii="arial" w:eastAsia="arial" w:hAnsi="arial" w:cs="arial"/>
          <w:i/>
          <w:color w:val="000000"/>
          <w:sz w:val="20"/>
          <w:lang w:val="en-US" w:eastAsia="en-US" w:bidi="ar-SA"/>
        </w:rPr>
        <w:t>Norton, Stewart &amp; Scarlett v. Mercier Estate</w:t>
      </w:r>
      <w:r>
        <w:rPr>
          <w:rFonts w:ascii="arial" w:eastAsia="arial" w:hAnsi="arial" w:cs="arial"/>
          <w:color w:val="000000"/>
          <w:sz w:val="20"/>
          <w:lang w:val="en-US" w:eastAsia="en-US" w:bidi="ar-SA"/>
        </w:rPr>
        <w:t xml:space="preserve"> </w:t>
      </w:r>
      <w:hyperlink r:id="rId757" w:history="1">
        <w:r>
          <w:rPr>
            <w:rFonts w:ascii="arial" w:eastAsia="arial" w:hAnsi="arial" w:cs="arial"/>
            <w:i/>
            <w:color w:val="0077CC"/>
            <w:sz w:val="20"/>
            <w:u w:val="single"/>
            <w:shd w:val="clear" w:color="auto" w:fill="FFFFFF"/>
            <w:lang w:val="en-US" w:eastAsia="en-US" w:bidi="ar-SA"/>
          </w:rPr>
          <w:t>(1989), 40 B.C.L.R. (2d) 168</w:t>
        </w:r>
      </w:hyperlink>
      <w:r>
        <w:rPr>
          <w:rFonts w:ascii="arial" w:eastAsia="arial" w:hAnsi="arial" w:cs="arial"/>
          <w:color w:val="000000"/>
          <w:sz w:val="20"/>
          <w:lang w:val="en-US" w:eastAsia="en-US" w:bidi="ar-SA"/>
        </w:rPr>
        <w:t xml:space="preserve"> (C.A.)); and</w:t>
      </w:r>
    </w:p>
    <w:p>
      <w:pPr>
        <w:numPr>
          <w:numId w:val="216"/>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The nature of the client (see </w:t>
      </w:r>
      <w:r>
        <w:rPr>
          <w:rFonts w:ascii="arial" w:eastAsia="arial" w:hAnsi="arial" w:cs="arial"/>
          <w:i/>
          <w:color w:val="000000"/>
          <w:sz w:val="20"/>
          <w:lang w:val="en-US" w:eastAsia="en-US" w:bidi="ar-SA"/>
        </w:rPr>
        <w:t>Montaine Black &amp; Co. v. Osadchuk</w:t>
      </w:r>
      <w:r>
        <w:rPr>
          <w:rFonts w:ascii="arial" w:eastAsia="arial" w:hAnsi="arial" w:cs="arial"/>
          <w:color w:val="000000"/>
          <w:sz w:val="20"/>
          <w:lang w:val="en-US" w:eastAsia="en-US" w:bidi="ar-SA"/>
        </w:rPr>
        <w:t xml:space="preserve">, </w:t>
      </w:r>
      <w:hyperlink r:id="rId758" w:history="1">
        <w:r>
          <w:rPr>
            <w:rFonts w:ascii="arial" w:eastAsia="arial" w:hAnsi="arial" w:cs="arial"/>
            <w:i/>
            <w:color w:val="0077CC"/>
            <w:sz w:val="20"/>
            <w:u w:val="single"/>
            <w:shd w:val="clear" w:color="auto" w:fill="FFFFFF"/>
            <w:lang w:val="en-US" w:eastAsia="en-US" w:bidi="ar-SA"/>
          </w:rPr>
          <w:t>[1985] B.C.J. No. 1906</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Montaine Black</w:t>
      </w:r>
      <w:r>
        <w:rPr>
          <w:rFonts w:ascii="arial" w:eastAsia="arial" w:hAnsi="arial" w:cs="arial"/>
          <w:color w:val="000000"/>
          <w:sz w:val="20"/>
          <w:lang w:val="en-US" w:eastAsia="en-US" w:bidi="ar-SA"/>
        </w:rPr>
        <w:t>]; and</w:t>
      </w:r>
    </w:p>
    <w:p>
      <w:pPr>
        <w:numPr>
          <w:numId w:val="217"/>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 xml:space="preserve">The risk that the solicitors undertook in agreeing to represent the client on the basis of a contingent fee arrangement (see </w:t>
      </w:r>
      <w:r>
        <w:rPr>
          <w:rFonts w:ascii="arial" w:eastAsia="arial" w:hAnsi="arial" w:cs="arial"/>
          <w:i/>
          <w:color w:val="000000"/>
          <w:sz w:val="20"/>
          <w:lang w:val="en-US" w:eastAsia="en-US" w:bidi="ar-SA"/>
        </w:rPr>
        <w:t>Eberhardt, Caplan, LaCroix &amp; Silverman v. Goode</w:t>
      </w:r>
      <w:r>
        <w:rPr>
          <w:rFonts w:ascii="arial" w:eastAsia="arial" w:hAnsi="arial" w:cs="arial"/>
          <w:color w:val="000000"/>
          <w:sz w:val="20"/>
          <w:lang w:val="en-US" w:eastAsia="en-US" w:bidi="ar-SA"/>
        </w:rPr>
        <w:t xml:space="preserve"> </w:t>
      </w:r>
      <w:hyperlink r:id="rId759" w:history="1">
        <w:r>
          <w:rPr>
            <w:rFonts w:ascii="arial" w:eastAsia="arial" w:hAnsi="arial" w:cs="arial"/>
            <w:i/>
            <w:color w:val="0077CC"/>
            <w:sz w:val="20"/>
            <w:u w:val="single"/>
            <w:shd w:val="clear" w:color="auto" w:fill="FFFFFF"/>
            <w:lang w:val="en-US" w:eastAsia="en-US" w:bidi="ar-SA"/>
          </w:rPr>
          <w:t>(1987), 11 B.C.L.R. (2d) 112</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18"/>
          <w:lang w:val="en-US" w:eastAsia="en-US" w:bidi="ar-SA"/>
        </w:rPr>
      </w:pPr>
      <w:r>
        <w:rPr>
          <w:rFonts w:ascii="arial" w:eastAsia="arial" w:hAnsi="arial" w:cs="arial"/>
          <w:b/>
          <w:i/>
          <w:color w:val="000000"/>
          <w:sz w:val="20"/>
          <w:lang w:val="en-US" w:eastAsia="en-US" w:bidi="ar-SA"/>
        </w:rPr>
        <w:t>a. Risk</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493</w:t>
      </w:r>
      <w:r>
        <w:rPr>
          <w:rFonts w:ascii="arial" w:eastAsia="arial" w:hAnsi="arial" w:cs="arial"/>
          <w:color w:val="000000"/>
          <w:sz w:val="20"/>
          <w:lang w:val="en-US" w:eastAsia="en-US" w:bidi="ar-SA"/>
        </w:rPr>
        <w:t>  I will begin with the issue of risk which I have addressed earlier in these reasons to some extent.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494</w:t>
      </w:r>
      <w:r>
        <w:rPr>
          <w:rFonts w:ascii="arial" w:eastAsia="arial" w:hAnsi="arial" w:cs="arial"/>
          <w:color w:val="000000"/>
          <w:sz w:val="20"/>
          <w:lang w:val="en-US" w:eastAsia="en-US" w:bidi="ar-SA"/>
        </w:rPr>
        <w:t>  Clearly there was a risk of non-payment if this matter proceeded to trial and if the Client was not successful. Specifically, the Solicitors were risking all of their time and effort. At the time the retainer terminated (and before undertaking examinations for discovery, trial preparation, and in-depth witness interviews) the Solicitors had in excess of $1.25 million "worth" of time invested in the Action.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495</w:t>
      </w:r>
      <w:r>
        <w:rPr>
          <w:rFonts w:ascii="arial" w:eastAsia="arial" w:hAnsi="arial" w:cs="arial"/>
          <w:color w:val="000000"/>
          <w:sz w:val="20"/>
          <w:lang w:val="en-US" w:eastAsia="en-US" w:bidi="ar-SA"/>
        </w:rPr>
        <w:t>  In an unusual case such as this, with such a large amount of money at stake, the temptation to deviate from sound principles in the face of what appears to be a "large fee for a little work" should be resisted. Contingent fee arrangements were introduced in this province for a reason: so that parties with limited means could have access to justice without having to risk all of their assets on legal fees. The expectations of such bargains need to be protected so that contingent fee arrangements are still beneficial to both parties entering into them, and so they remain as a viable option in our legal system.</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496</w:t>
      </w:r>
      <w:r>
        <w:rPr>
          <w:rFonts w:ascii="arial" w:eastAsia="arial" w:hAnsi="arial" w:cs="arial"/>
          <w:color w:val="000000"/>
          <w:sz w:val="20"/>
          <w:lang w:val="en-US" w:eastAsia="en-US" w:bidi="ar-SA"/>
        </w:rPr>
        <w:t>  When comparing the Solicitors' claim to the calculated hourly wage equivalent of work actually done, the discrepancy is obvious. However, this cannot be the focus of this analysis. If the Action had not settled as and when it did and had it instead proceeded to trial, if Ms. Mide-Wilson been unsuccessful in the result, the Solicitors would have been found to have gambled and lost. The possibility of this exact scenario was one of the reasons the Client elected a contingent fee arrangement. It could be argued that, in this scenario, it would bring the legal system "into disrepute" for the Solicitors to try and go back and demand an hourly rate for their efforts after the fact.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497</w:t>
      </w:r>
      <w:r>
        <w:rPr>
          <w:rFonts w:ascii="arial" w:eastAsia="arial" w:hAnsi="arial" w:cs="arial"/>
          <w:color w:val="000000"/>
          <w:sz w:val="20"/>
          <w:lang w:val="en-US" w:eastAsia="en-US" w:bidi="ar-SA"/>
        </w:rPr>
        <w:t>  The Client had sufficient assets to pay the Solicitors through a number of arrangements; a contingent fee arrangement was not the only way for them to obtain legal representation as is often the case with people of limited means. The CFA was a business decision based on risk and made by sophisticated parties. The Client cannot demand one form of retainer, and then retroactively change to another form of payment simply because she finds the fees to be simply too high and not (perhaps) what she anticipated they might be.</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i/>
          <w:color w:val="000000"/>
          <w:sz w:val="20"/>
          <w:lang w:val="en-US" w:eastAsia="en-US" w:bidi="ar-SA"/>
        </w:rPr>
        <w:t>b. Nature of the Client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498</w:t>
      </w:r>
      <w:r>
        <w:rPr>
          <w:rFonts w:ascii="arial" w:eastAsia="arial" w:hAnsi="arial" w:cs="arial"/>
          <w:color w:val="000000"/>
          <w:sz w:val="20"/>
          <w:lang w:val="en-US" w:eastAsia="en-US" w:bidi="ar-SA"/>
        </w:rPr>
        <w:t xml:space="preserve">  As for the "nature of the client", the issue in </w:t>
      </w:r>
      <w:r>
        <w:rPr>
          <w:rFonts w:ascii="arial" w:eastAsia="arial" w:hAnsi="arial" w:cs="arial"/>
          <w:i/>
          <w:color w:val="000000"/>
          <w:sz w:val="20"/>
          <w:lang w:val="en-US" w:eastAsia="en-US" w:bidi="ar-SA"/>
        </w:rPr>
        <w:t>Montaine Black</w:t>
      </w:r>
      <w:r>
        <w:rPr>
          <w:rFonts w:ascii="arial" w:eastAsia="arial" w:hAnsi="arial" w:cs="arial"/>
          <w:color w:val="000000"/>
          <w:sz w:val="20"/>
          <w:lang w:val="en-US" w:eastAsia="en-US" w:bidi="ar-SA"/>
        </w:rPr>
        <w:t xml:space="preserve"> was whether it was appropriate for a judge, in deciding on an appropriate fee for a solicitor, to take into account his conclusion that the client in question was difficult. Taggart, J.A. held, at paras. 33-34:</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I think the judge was quite entitled to take into account the fact that the appellant was a difficult client. The judge reached that conclusion not only on the basis of the evidence adduced before him, but on the basis of his opportunity to observe the appellant during the time that she was giving testimony.</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The fact that a client provides difficulties for the solicitor having the conduct of her affairs is, in my view, relevant if for no other reason than that such difficulties make for considerably more work on the part of the solicitor. I think there is no merit in that third ground.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499</w:t>
      </w:r>
      <w:r>
        <w:rPr>
          <w:rFonts w:ascii="arial" w:eastAsia="arial" w:hAnsi="arial" w:cs="arial"/>
          <w:color w:val="000000"/>
          <w:sz w:val="20"/>
          <w:lang w:val="en-US" w:eastAsia="en-US" w:bidi="ar-SA"/>
        </w:rPr>
        <w:t>  I am in no way suggesting that Ms. Mide-Wilson was difficult but there is no doubt she was single-minded in her instructions. She was adamant that her legacy had been stolen and she was prepared to give no quarter. That, in and of itself, added to the task faced by the Solicitors.</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i/>
          <w:color w:val="000000"/>
          <w:sz w:val="20"/>
          <w:lang w:val="en-US" w:eastAsia="en-US" w:bidi="ar-SA"/>
        </w:rPr>
        <w:t>c. Client's Ability to Pay</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500</w:t>
      </w:r>
      <w:r>
        <w:rPr>
          <w:rFonts w:ascii="arial" w:eastAsia="arial" w:hAnsi="arial" w:cs="arial"/>
          <w:color w:val="000000"/>
          <w:sz w:val="20"/>
          <w:lang w:val="en-US" w:eastAsia="en-US" w:bidi="ar-SA"/>
        </w:rPr>
        <w:t>  To some extent, I have considered the Client's ability to pay earlier in these reasons and will not repeat myself except to confirm that the Client had the ability to pay fees on an hourly basis but instead preferred a contingent fee arrangement.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501</w:t>
      </w:r>
      <w:r>
        <w:rPr>
          <w:rFonts w:ascii="arial" w:eastAsia="arial" w:hAnsi="arial" w:cs="arial"/>
          <w:color w:val="000000"/>
          <w:sz w:val="20"/>
          <w:lang w:val="en-US" w:eastAsia="en-US" w:bidi="ar-SA"/>
        </w:rPr>
        <w:t>  The Client has suggested that if she is required to pay the Solicitors the amount requested, she will have to sell some of the Trust Assets, thus defeating the purpose of the retainer. I found earlier that that, in and of itself, was not sufficient reason to set aside the CFA. As previously noted, applying the CFA to the value of the Trust Assets with tax and settlement adjustments, the fee payable by the Client under the CFA would be $12,273,865.28. While no doubt it would be difficult for the Client to pay that amount to the Solicitors, in my view, it would not be impossible. She owns a number of liquid assets, including Jack Cewe's Port Moody residence.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502</w:t>
      </w:r>
      <w:r>
        <w:rPr>
          <w:rFonts w:ascii="arial" w:eastAsia="arial" w:hAnsi="arial" w:cs="arial"/>
          <w:color w:val="000000"/>
          <w:sz w:val="20"/>
          <w:lang w:val="en-US" w:eastAsia="en-US" w:bidi="ar-SA"/>
        </w:rPr>
        <w:t>  I will now consider whether there are any other factors that I ought to consider as "essential to justice and fair play".</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b/>
          <w:i/>
          <w:color w:val="000000"/>
          <w:sz w:val="20"/>
          <w:lang w:val="en-US" w:eastAsia="en-US" w:bidi="ar-SA"/>
        </w:rPr>
        <w:t>d. Solicitors' Alleged Misconduct (the "Secret Deal" with Mr. Rennie)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503</w:t>
      </w:r>
      <w:r>
        <w:rPr>
          <w:rFonts w:ascii="arial" w:eastAsia="arial" w:hAnsi="arial" w:cs="arial"/>
          <w:color w:val="000000"/>
          <w:sz w:val="20"/>
          <w:lang w:val="en-US" w:eastAsia="en-US" w:bidi="ar-SA"/>
        </w:rPr>
        <w:t>  In her submissions, the Client contends that any "fair fee" should be reduced because of the Solicitors' conduct in respect of Mr. Rennie. Specifically Ms. Mide-Wilson says that the Solicitors "misconducted" themselves in three ways. She says:</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First, the solicitors sought to share their fee with Mr. Rennie, contrary to their professional conduct obligations. The Law Society's </w:t>
      </w:r>
      <w:r>
        <w:rPr>
          <w:rFonts w:ascii="arial" w:eastAsia="arial" w:hAnsi="arial" w:cs="arial"/>
          <w:i/>
          <w:color w:val="000000"/>
          <w:sz w:val="20"/>
          <w:lang w:val="en-US" w:eastAsia="en-US" w:bidi="ar-SA"/>
        </w:rPr>
        <w:t>Professional Conduct Handbook</w:t>
      </w:r>
      <w:r>
        <w:rPr>
          <w:rFonts w:ascii="arial" w:eastAsia="arial" w:hAnsi="arial" w:cs="arial"/>
          <w:color w:val="000000"/>
          <w:sz w:val="20"/>
          <w:lang w:val="en-US" w:eastAsia="en-US" w:bidi="ar-SA"/>
        </w:rPr>
        <w:t xml:space="preserve"> deals with the issue of fees in Chapter 9. Rule 6, under "Sharing fees", states: "... a lawyer must not split, share or divide a client's fee with any person other than another lawyer." The CBA's </w:t>
      </w:r>
      <w:r>
        <w:rPr>
          <w:rFonts w:ascii="arial" w:eastAsia="arial" w:hAnsi="arial" w:cs="arial"/>
          <w:i/>
          <w:color w:val="000000"/>
          <w:sz w:val="20"/>
          <w:lang w:val="en-US" w:eastAsia="en-US" w:bidi="ar-SA"/>
        </w:rPr>
        <w:t>Code of Professional Conduct</w:t>
      </w:r>
      <w:r>
        <w:rPr>
          <w:rFonts w:ascii="arial" w:eastAsia="arial" w:hAnsi="arial" w:cs="arial"/>
          <w:color w:val="000000"/>
          <w:sz w:val="20"/>
          <w:lang w:val="en-US" w:eastAsia="en-US" w:bidi="ar-SA"/>
        </w:rPr>
        <w:t xml:space="preserve"> contains the following Commentary:</w:t>
      </w:r>
    </w:p>
    <w:p>
      <w:pPr>
        <w:spacing w:before="120" w:line="260" w:lineRule="atLeast"/>
        <w:ind w:left="1080"/>
        <w:rPr>
          <w:rFonts w:ascii="arial" w:eastAsia="arial" w:hAnsi="arial" w:cs="arial"/>
          <w:sz w:val="18"/>
          <w:lang w:val="en-US" w:eastAsia="en-US" w:bidi="ar-SA"/>
        </w:rPr>
      </w:pPr>
      <w:r>
        <w:rPr>
          <w:rFonts w:ascii="arial" w:eastAsia="arial" w:hAnsi="arial" w:cs="arial"/>
          <w:color w:val="000000"/>
          <w:sz w:val="20"/>
          <w:lang w:val="en-US" w:eastAsia="en-US" w:bidi="ar-SA"/>
        </w:rPr>
        <w:t>Sharing Fees with Non-Lawyers</w:t>
      </w:r>
    </w:p>
    <w:p>
      <w:pPr>
        <w:numPr>
          <w:numId w:val="218"/>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u w:val="single"/>
          <w:lang w:val="en-US" w:eastAsia="en-US" w:bidi="ar-SA"/>
        </w:rPr>
        <w:t>Any arrangement whereby the lawyer directly or indirectly shares, splits or divides fees with ... non-lawyers who bring or refer business to the lawyer's office is improper and constitutes professional misconduct.</w:t>
      </w:r>
      <w:r>
        <w:rPr>
          <w:rFonts w:ascii="arial" w:eastAsia="arial" w:hAnsi="arial" w:cs="arial"/>
          <w:color w:val="000000"/>
          <w:sz w:val="20"/>
          <w:lang w:val="en-US" w:eastAsia="en-US" w:bidi="ar-SA"/>
        </w:rPr>
        <w:t xml:space="preserve"> It is also improper for the lawyer to give any financial or other reward to such persons for referring business.</w:t>
      </w:r>
    </w:p>
    <w:p>
      <w:pPr>
        <w:spacing w:before="120" w:line="260" w:lineRule="atLeast"/>
        <w:ind w:left="1080"/>
        <w:rPr>
          <w:rFonts w:ascii="arial" w:eastAsia="arial" w:hAnsi="arial" w:cs="arial"/>
          <w:sz w:val="18"/>
          <w:lang w:val="en-US" w:eastAsia="en-US" w:bidi="ar-SA"/>
        </w:rPr>
      </w:pPr>
      <w:r>
        <w:rPr>
          <w:rFonts w:ascii="arial" w:eastAsia="arial" w:hAnsi="arial" w:cs="arial"/>
          <w:color w:val="000000"/>
          <w:sz w:val="20"/>
          <w:lang w:val="en-US" w:eastAsia="en-US" w:bidi="ar-SA"/>
        </w:rPr>
        <w:t>[Emphasis added; footnote omitted]</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Mr. Rennie is not a lawyer, and HTLN's offer to him to share in their fee is improper.</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Second, HTLN knew that Mr. Rennie was Ms. Wilson's advisor, upon whom she relied on an almost daily basis, and yet they never advised her that they had offered him a share in their fee. This information was vital to Ms. Wilson's ability to make a reasoned business decision, as one of the aspects of Mr. Rennie's advice on which she relied was whether or not she could trust HTLN's assurances and thereby sign the Fee Agreement. HTLN had to ensure that Ms. Wilson was advised of the offer to Mr. Rennie to share in their fee, and their failure to meet their duty of candour in this regard is a breach of their duty to Ms. Wilson.</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Third, the client respectfully submits that HTLN was not always candid with this court.</w:t>
      </w:r>
    </w:p>
    <w:p>
      <w:pPr>
        <w:numPr>
          <w:numId w:val="219"/>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HTLN did not admit to having offered Mr. Rennie a share of their fee, but rather sought to explain away their arrangement as a share in a "total professional fee". HTLN denied the conversation with Mr. Rennie in late September and early October of 2008, and Mr. Crickmore tried to explain away the reference to contingency fee matters in his October 2, 2008 time entry. Mr. Crickmore and Mr. Tomyn alleged that they told Ms. Wilson on October 28, 2008 that they would pay Mr. Rennie's fee, when that conversation never took place. Mr. Crickmore also mischaracterized the true nature of the conversation he had with Mr. Rennie at Caffè Artigiano.</w:t>
      </w:r>
    </w:p>
    <w:p>
      <w:pPr>
        <w:numPr>
          <w:numId w:val="220"/>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Mr. Crickmore was disingenuous when he testified that he thought Ms. Wilson's objective was to "become the primary beneficiary of her grandfather's estate" but that he was not told she wanted to regain the company and keep it operating as a going concern. The unambiguous documentary evidence, along with Mr. Tomyn and Ms. Wilson's unequivocal testimony, is overwhelming in proving that he was clearly told this was her objective. He probably denied such knowledge in order to try to avoid the point that the Fee Agreement as he interprets it would render that objective impossible.</w:t>
      </w:r>
    </w:p>
    <w:p>
      <w:pPr>
        <w:numPr>
          <w:numId w:val="221"/>
        </w:numPr>
        <w:spacing w:before="120" w:line="260" w:lineRule="atLeast"/>
        <w:jc w:val="both"/>
        <w:rPr>
          <w:rFonts w:ascii="arial" w:eastAsia="arial" w:hAnsi="arial" w:cs="arial"/>
          <w:sz w:val="18"/>
          <w:lang w:val="en-US" w:eastAsia="en-US" w:bidi="ar-SA"/>
        </w:rPr>
      </w:pPr>
      <w:r>
        <w:rPr>
          <w:rFonts w:ascii="arial" w:eastAsia="arial" w:hAnsi="arial" w:cs="arial"/>
          <w:color w:val="000000"/>
          <w:sz w:val="20"/>
          <w:lang w:val="en-US" w:eastAsia="en-US" w:bidi="ar-SA"/>
        </w:rPr>
        <w:t>Mr. Crickmore and Mr. Tomyn testified that, in September of 2009, Mr. Rennie, on behalf of Ms. Wilson, told HTLN that they should recover their fee by suing Davis LLP and Mary Hamilton. Mr. Rennie said no such thing and nor did Ms. Wilson ask him to. This evidence appears designed to obfuscate the fact that it was HTLN who had assured Ms. Wilson that she would be able to sue Davis LLP and Ms. Hamilton for the $8 million settlement and HTLN's fee when they later declined to act on her behalf in this regard, alleging that they would have to be witnesses.</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 xml:space="preserve">The client respectfully submits that HTLN does not come to this court with clean hands and should not be entitled to claim a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fee, but should instead by paid only for the time they worked on the file.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504</w:t>
      </w:r>
      <w:r>
        <w:rPr>
          <w:rFonts w:ascii="arial" w:eastAsia="arial" w:hAnsi="arial" w:cs="arial"/>
          <w:color w:val="000000"/>
          <w:sz w:val="20"/>
          <w:lang w:val="en-US" w:eastAsia="en-US" w:bidi="ar-SA"/>
        </w:rPr>
        <w:t>  Mr. Rennie, in his testimony, said that following his September 30 meeting with HTLN, Mr. Tomyn spoke with him and offered him a 1/3 share of HTLN's fee. Specifically his testimony was:</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Q: And in the first meeting, that's you and Mr. Tomyn and probably Mr. Crickmore, do you have any recollection of any discussion regarding fee arrangements for the file?</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A: It was either at that meeting or immediately subsequent to the meeting with the Mides and Mr. Wilson that Harry suggested to me that the fee would be split a third, a third, a third, and I started to speak, and Harry said, and I know that's improper under Law Society Rules, but there's a way around that. You can send us a bill.</w:t>
      </w:r>
    </w:p>
    <w:p>
      <w:pPr>
        <w:spacing w:before="120"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And I said, well, I also have great difficulty with undisclosed fee arrangements myself as a professional. And that was about the extent of the discussion.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505</w:t>
      </w:r>
      <w:r>
        <w:rPr>
          <w:rFonts w:ascii="arial" w:eastAsia="arial" w:hAnsi="arial" w:cs="arial"/>
          <w:color w:val="000000"/>
          <w:sz w:val="20"/>
          <w:lang w:val="en-US" w:eastAsia="en-US" w:bidi="ar-SA"/>
        </w:rPr>
        <w:t>  The Solicitors' evidence was clear. Once the parties agreed on a contingent fee arrangement, the Solicitors believed they were going to "take care of Rennie" as part of that arrangement. Both Mr. Crickmore and Mr. Tomyn testified that they told Ms. Mide-Wilson (and the other members of the "client group") that they intended to pay Mr. Rennie's fee out of their fee; out of the percentage to be paid to them.</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506</w:t>
      </w:r>
      <w:r>
        <w:rPr>
          <w:rFonts w:ascii="arial" w:eastAsia="arial" w:hAnsi="arial" w:cs="arial"/>
          <w:color w:val="000000"/>
          <w:sz w:val="20"/>
          <w:lang w:val="en-US" w:eastAsia="en-US" w:bidi="ar-SA"/>
        </w:rPr>
        <w:t>  Ms. Mide-Wilson strongly denies being told any such thing. Specifically, she said that she would never have wanted such an arrangement as Mr. Rennie was "our guy", meaning their advisor and a person to whom she (and Ryan Wilson and Carsten Mide) intended to turn for assistance in respect of the Action and matters arising in connection with the Action, including her dealings with HTLN.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507</w:t>
      </w:r>
      <w:r>
        <w:rPr>
          <w:rFonts w:ascii="arial" w:eastAsia="arial" w:hAnsi="arial" w:cs="arial"/>
          <w:color w:val="000000"/>
          <w:sz w:val="20"/>
          <w:lang w:val="en-US" w:eastAsia="en-US" w:bidi="ar-SA"/>
        </w:rPr>
        <w:t>  The discussion regarding HTLN being responsible for Mr. Rennie's fees was alleged to have taken place at the October 28, 2008 meeting. Ms. Teetaert, who was at that meeting, appeared to have no recollection of any discussion about Mr. Rennie's fees. Mr. Tomyn's notes of the October 28 meeting make no mention of it. The CFA, which contains a "whole agreement" clause, makes no mention of the Solicitors' intention to pay Mr. Rennie's fees out of the fees to be paid to them by the Client under that CFA.</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508</w:t>
      </w:r>
      <w:r>
        <w:rPr>
          <w:rFonts w:ascii="arial" w:eastAsia="arial" w:hAnsi="arial" w:cs="arial"/>
          <w:color w:val="000000"/>
          <w:sz w:val="20"/>
          <w:lang w:val="en-US" w:eastAsia="en-US" w:bidi="ar-SA"/>
        </w:rPr>
        <w:t>  In her submissions the Client says that, on this issue, I ought to prefer Mr. Rennie's testimony over that of the Solicitors' as Mr. Rennie's evidence was given "against his own interest". By that she meant that when Mr. Tomyn suggested a fee split, Mr. Rennie should have disclosed that to Ms. Mide-Wilson (and to Mr. Wilson and Carsten Mide) but he did not.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509</w:t>
      </w:r>
      <w:r>
        <w:rPr>
          <w:rFonts w:ascii="arial" w:eastAsia="arial" w:hAnsi="arial" w:cs="arial"/>
          <w:color w:val="000000"/>
          <w:sz w:val="20"/>
          <w:lang w:val="en-US" w:eastAsia="en-US" w:bidi="ar-SA"/>
        </w:rPr>
        <w:t>  On the other hand, the Solicitors submit I ought to prefer their evidence on these issues instead; particularly as the specifics of neither of these alleged conversations with Mr. Rennie about a fee split were put to Mr. Tomyn in cross-examination. On cross Mr. Tomyn was only asked whether he had made a note of the alleged discussion with the Client and with Mr. Rennie wherein the Solicitors said that they would take care of Mr. Rennie's fees. He was not, as he should have been, asked to confirm (or deny) Mr. Rennie's suggestion that he (Tomyn) suggested that the fees be split 1/3 (to Tomyn), 1/3 (to Crickmore) and 1/3 (to Rennie). Nor was Mr. Tomyn asked to confirm (or deny) that he told Mr. Rennie that, while fee splitting was against the rules of the Law Society, he (Tomyn) knew a way around those rules. And, finally, Mr. Tomyn was not asked to confirm (or deny) on cross-examination if Mr. Rennie advised him (as alleged) of his reluctance to enter into undisclosed fee-sharing arrangements.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510</w:t>
      </w:r>
      <w:r>
        <w:rPr>
          <w:rFonts w:ascii="arial" w:eastAsia="arial" w:hAnsi="arial" w:cs="arial"/>
          <w:color w:val="000000"/>
          <w:sz w:val="20"/>
          <w:lang w:val="en-US" w:eastAsia="en-US" w:bidi="ar-SA"/>
        </w:rPr>
        <w:t>  Generally I found Mr. Rennie to be a credible witness, however, on this particular fact I simply cannot agree with his recollection. There is no doubt in my mind that had such a suggestion been made to him by Mr. Tomyn he should have (and would have) reported it to Ms. Mide-Wilson. This is particularly so since he said he would work with anyone she wished him to and, if he truly was uncomfortable about a fee split or fee sharing arrangement made so early in the parties' discussions and long before HTLN were retained (as he said it was), he would not have wished the Client to continue with HTLN. Rather, he would have suggested that Ms. Mide-Wilson meet with the other lawyer he was recommending, Gary Wilson of Borden Ladner Gervais; or that she retain Mr. Hordo or stay with Mr. Van Ommen.</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511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Farnya v. Chorny</w:t>
      </w:r>
      <w:r>
        <w:rPr>
          <w:rFonts w:ascii="arial" w:eastAsia="arial" w:hAnsi="arial" w:cs="arial"/>
          <w:color w:val="000000"/>
          <w:sz w:val="20"/>
          <w:lang w:val="en-US" w:eastAsia="en-US" w:bidi="ar-SA"/>
        </w:rPr>
        <w:t xml:space="preserve">, </w:t>
      </w:r>
      <w:hyperlink r:id="rId250"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on the issue of credibility, the court said at p. 357:</w:t>
      </w:r>
      <w:r>
        <w:rPr>
          <w:rFonts w:ascii="arial" w:eastAsia="arial" w:hAnsi="arial" w:cs="arial"/>
          <w:sz w:val="18"/>
          <w:lang w:val="en-US" w:eastAsia="en-US" w:bidi="ar-SA"/>
        </w:rPr>
        <w:cr/>
      </w:r>
    </w:p>
    <w:p>
      <w:pPr>
        <w:spacing w:line="260" w:lineRule="atLeast"/>
        <w:ind w:left="720"/>
        <w:rPr>
          <w:rFonts w:ascii="arial" w:eastAsia="arial" w:hAnsi="arial" w:cs="arial"/>
          <w:sz w:val="18"/>
          <w:lang w:val="en-US" w:eastAsia="en-US" w:bidi="ar-SA"/>
        </w:rPr>
      </w:pPr>
      <w:r>
        <w:rPr>
          <w:rFonts w:ascii="arial" w:eastAsia="arial" w:hAnsi="arial" w:cs="arial"/>
          <w:color w:val="000000"/>
          <w:sz w:val="20"/>
          <w:lang w:val="en-US" w:eastAsia="en-US" w:bidi="ar-SA"/>
        </w:rPr>
        <w:t>The credibility of interested witnesses, particularly in cases of conflict of evidence, cannot be gauged solely by the test of whether the personal demeanour of the particular witness carried conviction of the truth. The test must reasonably subject his story to an examination of its consistency with the probabilities that surround the currently existing conditions. In short, the real test of the truth of the story of a witness in such a case must be its harmony with the preponderance of the probabilities which a practical and informed person would readily recognize as reasonable and that place and in those conditions. ...</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512</w:t>
      </w:r>
      <w:r>
        <w:rPr>
          <w:rFonts w:ascii="arial" w:eastAsia="arial" w:hAnsi="arial" w:cs="arial"/>
          <w:color w:val="000000"/>
          <w:sz w:val="20"/>
          <w:lang w:val="en-US" w:eastAsia="en-US" w:bidi="ar-SA"/>
        </w:rPr>
        <w:t>  I agree with the above statement and, in fact, it is binding upon me. Here, the preponderance of probabilities supports the Solicitors' position, not the Client's. On the evidence before me, I am satisfied that, during the October 28 meeting, HTLN suggested that Mr. Rennie's fees would be paid to him by them from the amount payable if a contingent fee retainer was entered into. I also find that the parties did not make any specific arrangements as to how to this payment might actually be made, as, at the time the discussion took place (October 28), the parties were having a "general" discussion with respect to fees and how the fees were to be determined, including whether HTLN would be retained on a contingent basis or otherwise.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513</w:t>
      </w:r>
      <w:r>
        <w:rPr>
          <w:rFonts w:ascii="arial" w:eastAsia="arial" w:hAnsi="arial" w:cs="arial"/>
          <w:color w:val="000000"/>
          <w:sz w:val="20"/>
          <w:lang w:val="en-US" w:eastAsia="en-US" w:bidi="ar-SA"/>
        </w:rPr>
        <w:t>  Mr. Rennie's recollection with respect to timing on a number of the issues was clearly not correct. He recounted certain events that had happened on obviously different dates; for example, issues regarding the mediation and who attended on which day of the mediation. Certainly the issue of a contingency fee agreement did not, in my view, come into play until October 28 or thereabouts. It does not make sense then that in the very early stages, as recounted by Mr. Rennie, the Solicitors suggested they would split the fee three ways, particularly as, at that point in time, no one knew how the Solicitors were to be paid. It does not make any sense that the Solicitors would offer to share with Mr. Rennie one-third of their fee if they did not have any idea at that time whether, firstly they had even been retained, and secondly, if retained, on what basis they might be retained.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514</w:t>
      </w:r>
      <w:r>
        <w:rPr>
          <w:rFonts w:ascii="arial" w:eastAsia="arial" w:hAnsi="arial" w:cs="arial"/>
          <w:color w:val="000000"/>
          <w:sz w:val="20"/>
          <w:lang w:val="en-US" w:eastAsia="en-US" w:bidi="ar-SA"/>
        </w:rPr>
        <w:t>  As noted earlier, all other things being equal, based on a settlement value of $75,849,432 (less deductions -- income taxes and the settlement amount), the fees payable by the Client to the Solicitors pursuant to the CFA would be $10,933,761 (not including HST or disbursements).</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515</w:t>
      </w:r>
      <w:r>
        <w:rPr>
          <w:rFonts w:ascii="arial" w:eastAsia="arial" w:hAnsi="arial" w:cs="arial"/>
          <w:color w:val="000000"/>
          <w:sz w:val="20"/>
          <w:lang w:val="en-US" w:eastAsia="en-US" w:bidi="ar-SA"/>
        </w:rPr>
        <w:t xml:space="preserve">  No doubt that amount is substantial. Mr. Hunter suggested that, in deciding the "fair fee" I should also be mindful of the fact that HTLN is seeking a substantial recovery (some 15 to 18 times the amount their fees would be had this file been billed on an hourly rate basis). Mr. Hunter says that both the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the Law Society Rules relating to contingent fee arrangements and fee arrangements in general suggest that there is a "cap" on legal fees in the sense that legal fees must be "reasonable" in all of the circumstances, and that I should not award HTLN fees at such a level as to bring the legal profession into some disrepute.</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516</w:t>
      </w:r>
      <w:r>
        <w:rPr>
          <w:rFonts w:ascii="arial" w:eastAsia="arial" w:hAnsi="arial" w:cs="arial"/>
          <w:color w:val="000000"/>
          <w:sz w:val="20"/>
          <w:lang w:val="en-US" w:eastAsia="en-US" w:bidi="ar-SA"/>
        </w:rPr>
        <w:t xml:space="preserve">  Registrar Cameron recently considered this matter in </w:t>
      </w:r>
      <w:r>
        <w:rPr>
          <w:rFonts w:ascii="arial" w:eastAsia="arial" w:hAnsi="arial" w:cs="arial"/>
          <w:i/>
          <w:color w:val="000000"/>
          <w:sz w:val="20"/>
          <w:lang w:val="en-US" w:eastAsia="en-US" w:bidi="ar-SA"/>
        </w:rPr>
        <w:t>McQuarrie Hunter v. Parpatt</w:t>
      </w:r>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2011 BCSC 800</w:t>
        </w:r>
      </w:hyperlink>
      <w:r>
        <w:rPr>
          <w:rFonts w:ascii="arial" w:eastAsia="arial" w:hAnsi="arial" w:cs="arial"/>
          <w:color w:val="000000"/>
          <w:sz w:val="20"/>
          <w:lang w:val="en-US" w:eastAsia="en-US" w:bidi="ar-SA"/>
        </w:rPr>
        <w:t>. In that case, the learned Registrar reduced the fee to the law firm to "maintain the integrity of the profession and to arrive at a fee that is reasonable" (at para. 73). In that case, the learned Registrar felt that a 100% premium on the time spent by the law firm to the date of settlement was reasonable. In my view, that decision must be read in its particular context and circumstances. In general, in my view, it is imperative that parties be held to the bargain they made. Solicitors who enter into contingency fee arrangement should be able to do so with confidence; knowing that, if their bargain is fair and reasonable, it will, for the most part, be upheld. This applies equally to clients who, in entering into agreements with their counsel, must be able to move forward in their matter knowing exactly how the fees are to be calculated and thus make reasoned decisions regarding settlement of their matter knowing they cannot be charged any more than a set percentage of recovery.</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517</w:t>
      </w:r>
      <w:r>
        <w:rPr>
          <w:rFonts w:ascii="arial" w:eastAsia="arial" w:hAnsi="arial" w:cs="arial"/>
          <w:color w:val="000000"/>
          <w:sz w:val="20"/>
          <w:lang w:val="en-US" w:eastAsia="en-US" w:bidi="ar-SA"/>
        </w:rPr>
        <w:t xml:space="preserve">  In my view, taking into account all of the factors set out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including all those "essential to justice and fair play", the amount of the fees reasonably necessary and proper to conduct the Action is $9,000,000. Disbursements have been agreed at $26,895.22. Taxes on such disbursements are $1,157.76. Taxes on the fees are $1,080,000. Accordingly, as I understand that no monies have been paid by the Client to the Solicitors since the conclusion of the retainer, the Solicitors are entitled to a certificate of fees in the amount of $10,108,052.98.</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518</w:t>
      </w:r>
      <w:r>
        <w:rPr>
          <w:rFonts w:ascii="arial" w:eastAsia="arial" w:hAnsi="arial" w:cs="arial"/>
          <w:color w:val="000000"/>
          <w:sz w:val="20"/>
          <w:lang w:val="en-US" w:eastAsia="en-US" w:bidi="ar-SA"/>
        </w:rPr>
        <w:t xml:space="preserve">  Pursuant to s. 73(3)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Solicitors are also entitled to pre-judgment interest on the fees and disbursements from the date of the bill to the date of any certificate I might sign in this matter. The bill before me is dated March 25, 2011, however there was an earlier </w:t>
      </w:r>
      <w:r>
        <w:rPr>
          <w:rFonts w:ascii="arial" w:eastAsia="arial" w:hAnsi="arial" w:cs="arial"/>
          <w:i/>
          <w:color w:val="000000"/>
          <w:sz w:val="20"/>
          <w:lang w:val="en-US" w:eastAsia="en-US" w:bidi="ar-SA"/>
        </w:rPr>
        <w:t>pro forma</w:t>
      </w:r>
      <w:r>
        <w:rPr>
          <w:rFonts w:ascii="arial" w:eastAsia="arial" w:hAnsi="arial" w:cs="arial"/>
          <w:color w:val="000000"/>
          <w:sz w:val="20"/>
          <w:lang w:val="en-US" w:eastAsia="en-US" w:bidi="ar-SA"/>
        </w:rPr>
        <w:t xml:space="preserve"> bill issued claiming 20% of the value of the Trust Assets, yet to be determined. In my view, all other things being equal, interest should accrue from the date of the bill I actually reviewed (the one dated March 25, 2011) to the date these reasons are issued.</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b/>
          <w:color w:val="000000"/>
          <w:sz w:val="20"/>
          <w:lang w:val="en-US" w:eastAsia="en-US" w:bidi="ar-SA"/>
        </w:rPr>
        <w:t>519</w:t>
      </w:r>
      <w:r>
        <w:rPr>
          <w:rFonts w:ascii="arial" w:eastAsia="arial" w:hAnsi="arial" w:cs="arial"/>
          <w:color w:val="000000"/>
          <w:sz w:val="20"/>
          <w:lang w:val="en-US" w:eastAsia="en-US" w:bidi="ar-SA"/>
        </w:rPr>
        <w:t xml:space="preserve">  As to costs, I have reduced the bill by more than one-sixth and, absent "special circumstances", the Client is entitled to her costs in respect of this review (s. 72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 am not aware of any special circumstances but I am prepared to hear from the parties in respect of the issue of costs and interest if the parties are unable to resolve the issues of entitlement to costs and the calculation of the interest. I note that I am not seized of any appointment to assess the Client's costs should the parties agree as to her entitlement.</w:t>
      </w:r>
    </w:p>
    <w:p>
      <w:pPr>
        <w:spacing w:line="260" w:lineRule="atLeast"/>
        <w:jc w:val="both"/>
        <w:rPr>
          <w:rFonts w:ascii="arial" w:eastAsia="arial" w:hAnsi="arial" w:cs="arial"/>
          <w:sz w:val="18"/>
          <w:lang w:val="en-US" w:eastAsia="en-US" w:bidi="ar-SA"/>
        </w:rPr>
      </w:pPr>
      <w:r>
        <w:rPr>
          <w:rFonts w:ascii="arial" w:eastAsia="arial" w:hAnsi="arial" w:cs="arial"/>
          <w:sz w:val="18"/>
          <w:lang w:val="en-US" w:eastAsia="en-US" w:bidi="ar-SA"/>
        </w:rPr>
        <w:br/>
      </w:r>
      <w:r>
        <w:rPr>
          <w:rFonts w:ascii="arial" w:eastAsia="arial" w:hAnsi="arial" w:cs="arial"/>
          <w:color w:val="000000"/>
          <w:sz w:val="20"/>
          <w:lang w:val="en-US" w:eastAsia="en-US" w:bidi="ar-SA"/>
        </w:rPr>
        <w:t>REGISTRAR K.S. SAINTY</w:t>
      </w:r>
      <w:r>
        <w:rPr>
          <w:rFonts w:ascii="arial" w:eastAsia="arial" w:hAnsi="arial" w:cs="arial"/>
          <w:sz w:val="18"/>
          <w:lang w:val="en-US" w:eastAsia="en-US" w:bidi="ar-SA"/>
        </w:rPr>
        <w:cr/>
      </w:r>
    </w:p>
    <w:p>
      <w:pPr>
        <w:spacing w:after="240"/>
        <w:rPr>
          <w:rFonts w:ascii="arial" w:eastAsia="arial" w:hAnsi="arial" w:cs="arial"/>
          <w:sz w:val="18"/>
          <w:lang w:val="en-US" w:eastAsia="en-US" w:bidi="ar-SA"/>
        </w:rPr>
      </w:pPr>
      <w:r>
        <w:pict>
          <v:line id="_x0000_s1222" style="position:absolute;z-index:251889664" from="0,15pt" to="180pt,15pt" strokecolor="#bcbeb0" strokeweight="0.5pt">
            <v:stroke linestyle="single"/>
          </v:line>
        </w:pict>
      </w:r>
    </w:p>
    <w:p>
      <w:pPr>
        <w:rPr>
          <w:rFonts w:ascii="arial" w:eastAsia="arial" w:hAnsi="arial" w:cs="arial"/>
          <w:sz w:val="18"/>
          <w:lang w:val="en-US" w:eastAsia="en-US" w:bidi="ar-SA"/>
        </w:rPr>
      </w:pPr>
    </w:p>
    <w:p>
      <w:pPr>
        <w:spacing w:before="120" w:after="20" w:line="240" w:lineRule="atLeast"/>
        <w:ind w:left="720" w:hanging="360"/>
        <w:jc w:val="both"/>
        <w:rPr>
          <w:rFonts w:ascii="arial" w:eastAsia="arial" w:hAnsi="arial" w:cs="arial"/>
          <w:sz w:val="18"/>
          <w:lang w:val="en-US" w:eastAsia="en-US" w:bidi="ar-SA"/>
        </w:rPr>
      </w:pPr>
      <w:bookmarkStart w:id="304"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304"/>
      <w:r>
        <w:rPr>
          <w:rFonts w:ascii="arial" w:eastAsia="arial" w:hAnsi="arial" w:cs="arial"/>
          <w:sz w:val="18"/>
          <w:lang w:val="en-US" w:eastAsia="en-US" w:bidi="ar-SA"/>
        </w:rPr>
        <w:tab/>
      </w:r>
      <w:r>
        <w:rPr>
          <w:rFonts w:ascii="arial" w:eastAsia="arial" w:hAnsi="arial" w:cs="arial"/>
          <w:color w:val="6D6E71"/>
          <w:sz w:val="18"/>
          <w:lang w:val="en-US" w:eastAsia="en-US" w:bidi="ar-SA"/>
        </w:rPr>
        <w:t>Home apparently recommended Ms. Hamilton.</w:t>
      </w:r>
    </w:p>
    <w:p>
      <w:pPr>
        <w:spacing w:before="120" w:after="20" w:line="240" w:lineRule="atLeast"/>
        <w:ind w:left="720" w:hanging="360"/>
        <w:jc w:val="both"/>
        <w:rPr>
          <w:rFonts w:ascii="arial" w:eastAsia="arial" w:hAnsi="arial" w:cs="arial"/>
          <w:sz w:val="18"/>
          <w:lang w:val="en-US" w:eastAsia="en-US" w:bidi="ar-SA"/>
        </w:rPr>
      </w:pPr>
      <w:bookmarkStart w:id="305" w:name="Forward_fnref_fnr-2"/>
      <w:hyperlink w:anchor="Backward_fnref_fnr-2" w:history="1">
        <w:r>
          <w:rPr>
            <w:rFonts w:ascii="arial" w:eastAsia="arial" w:hAnsi="arial" w:cs="arial"/>
            <w:b/>
            <w:color w:val="BE161D"/>
            <w:sz w:val="18"/>
            <w:shd w:val="clear" w:color="auto" w:fill="FFFFFF"/>
            <w:lang w:val="en-US" w:eastAsia="en-US" w:bidi="ar-SA"/>
          </w:rPr>
          <w:t>2</w:t>
        </w:r>
      </w:hyperlink>
      <w:bookmarkEnd w:id="305"/>
      <w:r>
        <w:rPr>
          <w:rFonts w:ascii="arial" w:eastAsia="arial" w:hAnsi="arial" w:cs="arial"/>
          <w:sz w:val="18"/>
          <w:lang w:val="en-US" w:eastAsia="en-US" w:bidi="ar-SA"/>
        </w:rPr>
        <w:tab/>
      </w:r>
      <w:r>
        <w:rPr>
          <w:rFonts w:ascii="arial" w:eastAsia="arial" w:hAnsi="arial" w:cs="arial"/>
          <w:color w:val="6D6E71"/>
          <w:sz w:val="18"/>
          <w:lang w:val="en-US" w:eastAsia="en-US" w:bidi="ar-SA"/>
        </w:rPr>
        <w:t>This clause was referred to in this proceeding by Mr. Crickmore as the "widows and orphans" clause.</w:t>
      </w:r>
    </w:p>
    <w:p>
      <w:pPr>
        <w:spacing w:before="120" w:after="20" w:line="240" w:lineRule="atLeast"/>
        <w:ind w:left="720" w:hanging="360"/>
        <w:jc w:val="both"/>
        <w:rPr>
          <w:rFonts w:ascii="arial" w:eastAsia="arial" w:hAnsi="arial" w:cs="arial"/>
          <w:sz w:val="18"/>
          <w:lang w:val="en-US" w:eastAsia="en-US" w:bidi="ar-SA"/>
        </w:rPr>
      </w:pPr>
      <w:bookmarkStart w:id="306" w:name="Forward_fnref_fnr-3"/>
      <w:hyperlink w:anchor="Backward_fnref_fnr-3" w:history="1">
        <w:r>
          <w:rPr>
            <w:rFonts w:ascii="arial" w:eastAsia="arial" w:hAnsi="arial" w:cs="arial"/>
            <w:b/>
            <w:color w:val="BE161D"/>
            <w:sz w:val="18"/>
            <w:shd w:val="clear" w:color="auto" w:fill="FFFFFF"/>
            <w:lang w:val="en-US" w:eastAsia="en-US" w:bidi="ar-SA"/>
          </w:rPr>
          <w:t>3</w:t>
        </w:r>
      </w:hyperlink>
      <w:bookmarkEnd w:id="306"/>
      <w:r>
        <w:rPr>
          <w:rFonts w:ascii="arial" w:eastAsia="arial" w:hAnsi="arial" w:cs="arial"/>
          <w:sz w:val="18"/>
          <w:lang w:val="en-US" w:eastAsia="en-US" w:bidi="ar-SA"/>
        </w:rPr>
        <w:tab/>
      </w:r>
      <w:r>
        <w:rPr>
          <w:rFonts w:ascii="arial" w:eastAsia="arial" w:hAnsi="arial" w:cs="arial"/>
          <w:color w:val="6D6E71"/>
          <w:sz w:val="18"/>
          <w:lang w:val="en-US" w:eastAsia="en-US" w:bidi="ar-SA"/>
        </w:rPr>
        <w:t>Some of the specifics of what happened at this meeting are disputed between the parties.</w:t>
      </w:r>
    </w:p>
    <w:p>
      <w:pPr>
        <w:spacing w:before="120" w:after="20" w:line="240" w:lineRule="atLeast"/>
        <w:ind w:left="720" w:hanging="360"/>
        <w:jc w:val="both"/>
        <w:rPr>
          <w:rFonts w:ascii="arial" w:eastAsia="arial" w:hAnsi="arial" w:cs="arial"/>
          <w:sz w:val="18"/>
          <w:lang w:val="en-US" w:eastAsia="en-US" w:bidi="ar-SA"/>
        </w:rPr>
      </w:pPr>
      <w:bookmarkStart w:id="307" w:name="Forward_fnref_fnr-4"/>
      <w:hyperlink w:anchor="Backward_fnref_fnr-4" w:history="1">
        <w:r>
          <w:rPr>
            <w:rFonts w:ascii="arial" w:eastAsia="arial" w:hAnsi="arial" w:cs="arial"/>
            <w:b/>
            <w:color w:val="BE161D"/>
            <w:sz w:val="18"/>
            <w:shd w:val="clear" w:color="auto" w:fill="FFFFFF"/>
            <w:lang w:val="en-US" w:eastAsia="en-US" w:bidi="ar-SA"/>
          </w:rPr>
          <w:t>4</w:t>
        </w:r>
      </w:hyperlink>
      <w:bookmarkEnd w:id="307"/>
      <w:r>
        <w:rPr>
          <w:rFonts w:ascii="arial" w:eastAsia="arial" w:hAnsi="arial" w:cs="arial"/>
          <w:sz w:val="18"/>
          <w:lang w:val="en-US" w:eastAsia="en-US" w:bidi="ar-SA"/>
        </w:rPr>
        <w:tab/>
      </w:r>
      <w:r>
        <w:rPr>
          <w:rFonts w:ascii="arial" w:eastAsia="arial" w:hAnsi="arial" w:cs="arial"/>
          <w:color w:val="6D6E71"/>
          <w:sz w:val="18"/>
          <w:lang w:val="en-US" w:eastAsia="en-US" w:bidi="ar-SA"/>
        </w:rPr>
        <w:t>Many of the details about the making of the CFA (and the specifics of this meeting) are disputed. I will review, in detail, the disputed facts when I deal with my decision on the fairness and reasonableness of the CFA later in these reasons.</w:t>
      </w:r>
    </w:p>
    <w:p>
      <w:pPr>
        <w:spacing w:before="120" w:after="20" w:line="240" w:lineRule="atLeast"/>
        <w:ind w:left="720" w:hanging="360"/>
        <w:jc w:val="both"/>
        <w:rPr>
          <w:rFonts w:ascii="arial" w:eastAsia="arial" w:hAnsi="arial" w:cs="arial"/>
          <w:sz w:val="18"/>
          <w:lang w:val="en-US" w:eastAsia="en-US" w:bidi="ar-SA"/>
        </w:rPr>
      </w:pPr>
      <w:bookmarkStart w:id="308" w:name="Forward_fnref_fnr-5"/>
      <w:hyperlink w:anchor="Backward_fnref_fnr-5" w:history="1">
        <w:r>
          <w:rPr>
            <w:rFonts w:ascii="arial" w:eastAsia="arial" w:hAnsi="arial" w:cs="arial"/>
            <w:b/>
            <w:color w:val="BE161D"/>
            <w:sz w:val="18"/>
            <w:shd w:val="clear" w:color="auto" w:fill="FFFFFF"/>
            <w:lang w:val="en-US" w:eastAsia="en-US" w:bidi="ar-SA"/>
          </w:rPr>
          <w:t>5</w:t>
        </w:r>
      </w:hyperlink>
      <w:bookmarkEnd w:id="308"/>
      <w:r>
        <w:rPr>
          <w:rFonts w:ascii="arial" w:eastAsia="arial" w:hAnsi="arial" w:cs="arial"/>
          <w:sz w:val="18"/>
          <w:lang w:val="en-US" w:eastAsia="en-US" w:bidi="ar-SA"/>
        </w:rPr>
        <w:tab/>
      </w:r>
      <w:r>
        <w:rPr>
          <w:rFonts w:ascii="arial" w:eastAsia="arial" w:hAnsi="arial" w:cs="arial"/>
          <w:color w:val="6D6E71"/>
          <w:sz w:val="18"/>
          <w:lang w:val="en-US" w:eastAsia="en-US" w:bidi="ar-SA"/>
        </w:rPr>
        <w:t>Exactly how long they were gone is not clear but it was longer than a half an hour and could have been for as long as an hour and a half. Nothing in this decision turns on the length of that meeting.</w:t>
      </w:r>
    </w:p>
    <w:p>
      <w:pPr>
        <w:spacing w:before="120" w:after="20" w:line="240" w:lineRule="atLeast"/>
        <w:ind w:left="720" w:hanging="360"/>
        <w:jc w:val="both"/>
        <w:rPr>
          <w:rFonts w:ascii="arial" w:eastAsia="arial" w:hAnsi="arial" w:cs="arial"/>
          <w:sz w:val="18"/>
          <w:lang w:val="en-US" w:eastAsia="en-US" w:bidi="ar-SA"/>
        </w:rPr>
      </w:pPr>
      <w:bookmarkStart w:id="309" w:name="Forward_fnref_fnr-6"/>
      <w:hyperlink w:anchor="Backward_fnref_fnr-6" w:history="1">
        <w:r>
          <w:rPr>
            <w:rFonts w:ascii="arial" w:eastAsia="arial" w:hAnsi="arial" w:cs="arial"/>
            <w:b/>
            <w:color w:val="BE161D"/>
            <w:sz w:val="18"/>
            <w:shd w:val="clear" w:color="auto" w:fill="FFFFFF"/>
            <w:lang w:val="en-US" w:eastAsia="en-US" w:bidi="ar-SA"/>
          </w:rPr>
          <w:t>6</w:t>
        </w:r>
      </w:hyperlink>
      <w:bookmarkEnd w:id="309"/>
      <w:r>
        <w:rPr>
          <w:rFonts w:ascii="arial" w:eastAsia="arial" w:hAnsi="arial" w:cs="arial"/>
          <w:sz w:val="18"/>
          <w:lang w:val="en-US" w:eastAsia="en-US" w:bidi="ar-SA"/>
        </w:rPr>
        <w:tab/>
      </w:r>
      <w:r>
        <w:rPr>
          <w:rFonts w:ascii="arial" w:eastAsia="arial" w:hAnsi="arial" w:cs="arial"/>
          <w:color w:val="6D6E71"/>
          <w:sz w:val="18"/>
          <w:lang w:val="en-US" w:eastAsia="en-US" w:bidi="ar-SA"/>
        </w:rPr>
        <w:t>The evidence is not clear as to whether Ryan Wilson attended this meeting (in person or by phone). Nothing in my reasons turns on his attendance (or not).</w:t>
      </w:r>
    </w:p>
    <w:p>
      <w:pPr>
        <w:spacing w:before="120" w:after="20" w:line="240" w:lineRule="atLeast"/>
        <w:ind w:left="720" w:hanging="360"/>
        <w:jc w:val="both"/>
        <w:rPr>
          <w:rFonts w:ascii="arial" w:eastAsia="arial" w:hAnsi="arial" w:cs="arial"/>
          <w:sz w:val="18"/>
          <w:lang w:val="en-US" w:eastAsia="en-US" w:bidi="ar-SA"/>
        </w:rPr>
      </w:pPr>
      <w:bookmarkStart w:id="310" w:name="Forward_fnref_fnr-7"/>
      <w:hyperlink w:anchor="Backward_fnref_fnr-7" w:history="1">
        <w:r>
          <w:rPr>
            <w:rFonts w:ascii="arial" w:eastAsia="arial" w:hAnsi="arial" w:cs="arial"/>
            <w:b/>
            <w:color w:val="BE161D"/>
            <w:sz w:val="18"/>
            <w:shd w:val="clear" w:color="auto" w:fill="FFFFFF"/>
            <w:lang w:val="en-US" w:eastAsia="en-US" w:bidi="ar-SA"/>
          </w:rPr>
          <w:t>7</w:t>
        </w:r>
      </w:hyperlink>
      <w:bookmarkEnd w:id="310"/>
      <w:r>
        <w:rPr>
          <w:rFonts w:ascii="arial" w:eastAsia="arial" w:hAnsi="arial" w:cs="arial"/>
          <w:sz w:val="18"/>
          <w:lang w:val="en-US" w:eastAsia="en-US" w:bidi="ar-SA"/>
        </w:rPr>
        <w:tab/>
      </w:r>
      <w:r>
        <w:rPr>
          <w:rFonts w:ascii="arial" w:eastAsia="arial" w:hAnsi="arial" w:cs="arial"/>
          <w:color w:val="6D6E71"/>
          <w:sz w:val="18"/>
          <w:lang w:val="en-US" w:eastAsia="en-US" w:bidi="ar-SA"/>
        </w:rPr>
        <w:t>The second amended statement of position states the meeting occurred on December 4. During this proceeding it was made clear that the meeting took place on December 5. Nothing turns on the date of the meeting.</w:t>
      </w:r>
    </w:p>
    <w:p>
      <w:pPr>
        <w:spacing w:before="120" w:after="20" w:line="240" w:lineRule="atLeast"/>
        <w:ind w:left="720" w:hanging="360"/>
        <w:jc w:val="both"/>
        <w:rPr>
          <w:rFonts w:ascii="arial" w:eastAsia="arial" w:hAnsi="arial" w:cs="arial"/>
          <w:sz w:val="18"/>
          <w:lang w:val="en-US" w:eastAsia="en-US" w:bidi="ar-SA"/>
        </w:rPr>
      </w:pPr>
      <w:bookmarkStart w:id="311" w:name="Forward_fnref_fnr-8"/>
      <w:hyperlink w:anchor="Backward_fnref_fnr-8" w:history="1">
        <w:r>
          <w:rPr>
            <w:rFonts w:ascii="arial" w:eastAsia="arial" w:hAnsi="arial" w:cs="arial"/>
            <w:b/>
            <w:color w:val="BE161D"/>
            <w:sz w:val="18"/>
            <w:shd w:val="clear" w:color="auto" w:fill="FFFFFF"/>
            <w:lang w:val="en-US" w:eastAsia="en-US" w:bidi="ar-SA"/>
          </w:rPr>
          <w:t>8</w:t>
        </w:r>
      </w:hyperlink>
      <w:bookmarkEnd w:id="311"/>
      <w:r>
        <w:rPr>
          <w:rFonts w:ascii="arial" w:eastAsia="arial" w:hAnsi="arial" w:cs="arial"/>
          <w:sz w:val="18"/>
          <w:lang w:val="en-US" w:eastAsia="en-US" w:bidi="ar-SA"/>
        </w:rPr>
        <w:tab/>
      </w:r>
      <w:r>
        <w:rPr>
          <w:rFonts w:ascii="arial" w:eastAsia="arial" w:hAnsi="arial" w:cs="arial"/>
          <w:color w:val="6D6E71"/>
          <w:sz w:val="18"/>
          <w:lang w:val="en-US" w:eastAsia="en-US" w:bidi="ar-SA"/>
        </w:rPr>
        <w:t>Lexpert/American Lawyer Guide to the Leading 500 Lawyers in Canada</w:t>
      </w:r>
    </w:p>
    <w:p>
      <w:pPr>
        <w:spacing w:before="120" w:after="20" w:line="240" w:lineRule="atLeast"/>
        <w:ind w:left="720" w:hanging="360"/>
        <w:jc w:val="both"/>
        <w:rPr>
          <w:rFonts w:ascii="arial" w:eastAsia="arial" w:hAnsi="arial" w:cs="arial"/>
          <w:sz w:val="18"/>
          <w:lang w:val="en-US" w:eastAsia="en-US" w:bidi="ar-SA"/>
        </w:rPr>
      </w:pPr>
      <w:bookmarkStart w:id="312" w:name="Forward_fnref_fnr-9"/>
      <w:hyperlink w:anchor="Backward_fnref_fnr-9" w:history="1">
        <w:r>
          <w:rPr>
            <w:rFonts w:ascii="arial" w:eastAsia="arial" w:hAnsi="arial" w:cs="arial"/>
            <w:b/>
            <w:color w:val="BE161D"/>
            <w:sz w:val="18"/>
            <w:shd w:val="clear" w:color="auto" w:fill="FFFFFF"/>
            <w:lang w:val="en-US" w:eastAsia="en-US" w:bidi="ar-SA"/>
          </w:rPr>
          <w:t>9</w:t>
        </w:r>
      </w:hyperlink>
      <w:bookmarkEnd w:id="312"/>
      <w:r>
        <w:rPr>
          <w:rFonts w:ascii="arial" w:eastAsia="arial" w:hAnsi="arial" w:cs="arial"/>
          <w:sz w:val="18"/>
          <w:lang w:val="en-US" w:eastAsia="en-US" w:bidi="ar-SA"/>
        </w:rPr>
        <w:tab/>
      </w:r>
      <w:r>
        <w:rPr>
          <w:rFonts w:ascii="arial" w:eastAsia="arial" w:hAnsi="arial" w:cs="arial"/>
          <w:color w:val="6D6E71"/>
          <w:sz w:val="18"/>
          <w:lang w:val="en-US" w:eastAsia="en-US" w:bidi="ar-SA"/>
        </w:rPr>
        <w:t xml:space="preserve">Referring to the decision of the Saskatchewan Court of Appeal in </w:t>
      </w:r>
      <w:r>
        <w:rPr>
          <w:rFonts w:ascii="arial" w:eastAsia="arial" w:hAnsi="arial" w:cs="arial"/>
          <w:i/>
          <w:color w:val="6D6E71"/>
          <w:sz w:val="18"/>
          <w:lang w:val="en-US" w:eastAsia="en-US" w:bidi="ar-SA"/>
        </w:rPr>
        <w:t>Yule v. City of Saskatoon</w:t>
      </w:r>
      <w:r>
        <w:rPr>
          <w:rFonts w:ascii="arial" w:eastAsia="arial" w:hAnsi="arial" w:cs="arial"/>
          <w:color w:val="6D6E71"/>
          <w:sz w:val="18"/>
          <w:lang w:val="en-US" w:eastAsia="en-US" w:bidi="ar-SA"/>
        </w:rPr>
        <w:t xml:space="preserve">, (1955), 16 W.W.R. 305 (Sask. Q.B.), aff'd </w:t>
      </w:r>
      <w:hyperlink r:id="rId570" w:history="1">
        <w:r>
          <w:rPr>
            <w:rFonts w:ascii="arial" w:eastAsia="arial" w:hAnsi="arial" w:cs="arial"/>
            <w:i/>
            <w:color w:val="0077CC"/>
            <w:sz w:val="18"/>
            <w:u w:val="single"/>
            <w:shd w:val="clear" w:color="auto" w:fill="FFFFFF"/>
            <w:lang w:val="en-US" w:eastAsia="en-US" w:bidi="ar-SA"/>
          </w:rPr>
          <w:t>17 W.W.R. 296</w:t>
        </w:r>
      </w:hyperlink>
    </w:p>
    <w:p>
      <w:pPr>
        <w:spacing w:before="120" w:after="20" w:line="240" w:lineRule="atLeast"/>
        <w:ind w:left="720" w:hanging="360"/>
        <w:jc w:val="both"/>
        <w:rPr>
          <w:rFonts w:ascii="arial" w:eastAsia="arial" w:hAnsi="arial" w:cs="arial"/>
          <w:sz w:val="18"/>
          <w:lang w:val="en-US" w:eastAsia="en-US" w:bidi="ar-SA"/>
        </w:rPr>
      </w:pPr>
      <w:bookmarkStart w:id="313" w:name="Forward_fnref_fnr-10"/>
      <w:hyperlink w:anchor="Backward_fnref_fnr-10" w:history="1">
        <w:r>
          <w:rPr>
            <w:rFonts w:ascii="arial" w:eastAsia="arial" w:hAnsi="arial" w:cs="arial"/>
            <w:b/>
            <w:color w:val="BE161D"/>
            <w:sz w:val="18"/>
            <w:shd w:val="clear" w:color="auto" w:fill="FFFFFF"/>
            <w:lang w:val="en-US" w:eastAsia="en-US" w:bidi="ar-SA"/>
          </w:rPr>
          <w:t>10</w:t>
        </w:r>
      </w:hyperlink>
      <w:bookmarkEnd w:id="313"/>
      <w:r>
        <w:rPr>
          <w:rFonts w:ascii="arial" w:eastAsia="arial" w:hAnsi="arial" w:cs="arial"/>
          <w:sz w:val="18"/>
          <w:lang w:val="en-US" w:eastAsia="en-US" w:bidi="ar-SA"/>
        </w:rPr>
        <w:tab/>
      </w:r>
      <w:r>
        <w:rPr>
          <w:rFonts w:ascii="arial" w:eastAsia="arial" w:hAnsi="arial" w:cs="arial"/>
          <w:i/>
          <w:color w:val="6D6E71"/>
          <w:sz w:val="18"/>
          <w:lang w:val="en-US" w:eastAsia="en-US" w:bidi="ar-SA"/>
        </w:rPr>
        <w:t>Phillips v. Phillips</w:t>
      </w:r>
      <w:r>
        <w:rPr>
          <w:rFonts w:ascii="arial" w:eastAsia="arial" w:hAnsi="arial" w:cs="arial"/>
          <w:color w:val="6D6E71"/>
          <w:sz w:val="18"/>
          <w:lang w:val="en-US" w:eastAsia="en-US" w:bidi="ar-SA"/>
        </w:rPr>
        <w:t xml:space="preserve">, </w:t>
      </w:r>
      <w:hyperlink r:id="rId761" w:history="1">
        <w:r>
          <w:rPr>
            <w:rFonts w:ascii="arial" w:eastAsia="arial" w:hAnsi="arial" w:cs="arial"/>
            <w:i/>
            <w:color w:val="0077CC"/>
            <w:sz w:val="18"/>
            <w:u w:val="single"/>
            <w:shd w:val="clear" w:color="auto" w:fill="FFFFFF"/>
            <w:lang w:val="en-US" w:eastAsia="en-US" w:bidi="ar-SA"/>
          </w:rPr>
          <w:t>2005 ABQB 566</w:t>
        </w:r>
      </w:hyperlink>
      <w:r>
        <w:rPr>
          <w:rFonts w:ascii="arial" w:eastAsia="arial" w:hAnsi="arial" w:cs="arial"/>
          <w:color w:val="6D6E71"/>
          <w:sz w:val="18"/>
          <w:lang w:val="en-US" w:eastAsia="en-US" w:bidi="ar-SA"/>
        </w:rPr>
        <w:t xml:space="preserve">; </w:t>
      </w:r>
      <w:r>
        <w:rPr>
          <w:rFonts w:ascii="arial" w:eastAsia="arial" w:hAnsi="arial" w:cs="arial"/>
          <w:i/>
          <w:color w:val="6D6E71"/>
          <w:sz w:val="18"/>
          <w:lang w:val="en-US" w:eastAsia="en-US" w:bidi="ar-SA"/>
        </w:rPr>
        <w:t>Phillips v. Phillips</w:t>
      </w:r>
      <w:r>
        <w:rPr>
          <w:rFonts w:ascii="arial" w:eastAsia="arial" w:hAnsi="arial" w:cs="arial"/>
          <w:color w:val="6D6E71"/>
          <w:sz w:val="18"/>
          <w:lang w:val="en-US" w:eastAsia="en-US" w:bidi="ar-SA"/>
        </w:rPr>
        <w:t xml:space="preserve"> </w:t>
      </w:r>
      <w:hyperlink r:id="rId762" w:history="1">
        <w:r>
          <w:rPr>
            <w:rFonts w:ascii="arial" w:eastAsia="arial" w:hAnsi="arial" w:cs="arial"/>
            <w:i/>
            <w:color w:val="0077CC"/>
            <w:sz w:val="18"/>
            <w:u w:val="single"/>
            <w:shd w:val="clear" w:color="auto" w:fill="FFFFFF"/>
            <w:lang w:val="en-US" w:eastAsia="en-US" w:bidi="ar-SA"/>
          </w:rPr>
          <w:t>2005 ABCA 405</w:t>
        </w:r>
      </w:hyperlink>
      <w:r>
        <w:rPr>
          <w:rFonts w:ascii="arial" w:eastAsia="arial" w:hAnsi="arial" w:cs="arial"/>
          <w:color w:val="6D6E71"/>
          <w:sz w:val="18"/>
          <w:lang w:val="en-US" w:eastAsia="en-US" w:bidi="ar-SA"/>
        </w:rPr>
        <w:t xml:space="preserve">; </w:t>
      </w:r>
      <w:r>
        <w:rPr>
          <w:rFonts w:ascii="arial" w:eastAsia="arial" w:hAnsi="arial" w:cs="arial"/>
          <w:i/>
          <w:color w:val="6D6E71"/>
          <w:sz w:val="18"/>
          <w:lang w:val="en-US" w:eastAsia="en-US" w:bidi="ar-SA"/>
        </w:rPr>
        <w:t>Phillips v. Avena</w:t>
      </w:r>
      <w:r>
        <w:rPr>
          <w:rFonts w:ascii="arial" w:eastAsia="arial" w:hAnsi="arial" w:cs="arial"/>
          <w:color w:val="6D6E71"/>
          <w:sz w:val="18"/>
          <w:lang w:val="en-US" w:eastAsia="en-US" w:bidi="ar-SA"/>
        </w:rPr>
        <w:t xml:space="preserve"> </w:t>
      </w:r>
      <w:hyperlink r:id="rId763" w:history="1">
        <w:r>
          <w:rPr>
            <w:rFonts w:ascii="arial" w:eastAsia="arial" w:hAnsi="arial" w:cs="arial"/>
            <w:i/>
            <w:color w:val="0077CC"/>
            <w:sz w:val="18"/>
            <w:u w:val="single"/>
            <w:shd w:val="clear" w:color="auto" w:fill="FFFFFF"/>
            <w:lang w:val="en-US" w:eastAsia="en-US" w:bidi="ar-SA"/>
          </w:rPr>
          <w:t>2005 ABCA 342</w:t>
        </w:r>
      </w:hyperlink>
      <w:r>
        <w:rPr>
          <w:rFonts w:ascii="arial" w:eastAsia="arial" w:hAnsi="arial" w:cs="arial"/>
          <w:color w:val="6D6E71"/>
          <w:sz w:val="18"/>
          <w:lang w:val="en-US" w:eastAsia="en-US" w:bidi="ar-SA"/>
        </w:rPr>
        <w:t xml:space="preserve">; </w:t>
      </w:r>
      <w:r>
        <w:rPr>
          <w:rFonts w:ascii="arial" w:eastAsia="arial" w:hAnsi="arial" w:cs="arial"/>
          <w:i/>
          <w:color w:val="6D6E71"/>
          <w:sz w:val="18"/>
          <w:lang w:val="en-US" w:eastAsia="en-US" w:bidi="ar-SA"/>
        </w:rPr>
        <w:t>Phillips v. Avena</w:t>
      </w:r>
      <w:r>
        <w:rPr>
          <w:rFonts w:ascii="arial" w:eastAsia="arial" w:hAnsi="arial" w:cs="arial"/>
          <w:color w:val="6D6E71"/>
          <w:sz w:val="18"/>
          <w:lang w:val="en-US" w:eastAsia="en-US" w:bidi="ar-SA"/>
        </w:rPr>
        <w:t xml:space="preserve"> </w:t>
      </w:r>
      <w:hyperlink r:id="rId764" w:history="1">
        <w:r>
          <w:rPr>
            <w:rFonts w:ascii="arial" w:eastAsia="arial" w:hAnsi="arial" w:cs="arial"/>
            <w:i/>
            <w:color w:val="0077CC"/>
            <w:sz w:val="18"/>
            <w:u w:val="single"/>
            <w:shd w:val="clear" w:color="auto" w:fill="FFFFFF"/>
            <w:lang w:val="en-US" w:eastAsia="en-US" w:bidi="ar-SA"/>
          </w:rPr>
          <w:t>2006 ABCA 19</w:t>
        </w:r>
      </w:hyperlink>
      <w:r>
        <w:rPr>
          <w:rFonts w:ascii="arial" w:eastAsia="arial" w:hAnsi="arial" w:cs="arial"/>
          <w:color w:val="6D6E71"/>
          <w:sz w:val="18"/>
          <w:lang w:val="en-US" w:eastAsia="en-US" w:bidi="ar-SA"/>
        </w:rPr>
        <w:t xml:space="preserve">, leave to appeal to the Supreme Court of Canada ref'd </w:t>
      </w:r>
      <w:hyperlink r:id="rId765" w:history="1">
        <w:r>
          <w:rPr>
            <w:rFonts w:ascii="arial" w:eastAsia="arial" w:hAnsi="arial" w:cs="arial"/>
            <w:i/>
            <w:color w:val="0077CC"/>
            <w:sz w:val="18"/>
            <w:u w:val="single"/>
            <w:shd w:val="clear" w:color="auto" w:fill="FFFFFF"/>
            <w:lang w:val="en-US" w:eastAsia="en-US" w:bidi="ar-SA"/>
          </w:rPr>
          <w:t>[2006] S.C.C.A. No. 95</w:t>
        </w:r>
      </w:hyperlink>
      <w:r>
        <w:rPr>
          <w:rFonts w:ascii="arial" w:eastAsia="arial" w:hAnsi="arial" w:cs="arial"/>
          <w:color w:val="6D6E71"/>
          <w:sz w:val="18"/>
          <w:lang w:val="en-US" w:eastAsia="en-US" w:bidi="ar-SA"/>
        </w:rPr>
        <w:t xml:space="preserve">; </w:t>
      </w:r>
      <w:r>
        <w:rPr>
          <w:rFonts w:ascii="arial" w:eastAsia="arial" w:hAnsi="arial" w:cs="arial"/>
          <w:i/>
          <w:color w:val="6D6E71"/>
          <w:sz w:val="18"/>
          <w:lang w:val="en-US" w:eastAsia="en-US" w:bidi="ar-SA"/>
        </w:rPr>
        <w:t>Phillips (Estate)</w:t>
      </w:r>
      <w:r>
        <w:rPr>
          <w:rFonts w:ascii="arial" w:eastAsia="arial" w:hAnsi="arial" w:cs="arial"/>
          <w:color w:val="6D6E71"/>
          <w:sz w:val="18"/>
          <w:lang w:val="en-US" w:eastAsia="en-US" w:bidi="ar-SA"/>
        </w:rPr>
        <w:t xml:space="preserve"> </w:t>
      </w:r>
      <w:hyperlink r:id="rId766" w:history="1">
        <w:r>
          <w:rPr>
            <w:rFonts w:ascii="arial" w:eastAsia="arial" w:hAnsi="arial" w:cs="arial"/>
            <w:i/>
            <w:color w:val="0077CC"/>
            <w:sz w:val="18"/>
            <w:u w:val="single"/>
            <w:shd w:val="clear" w:color="auto" w:fill="FFFFFF"/>
            <w:lang w:val="en-US" w:eastAsia="en-US" w:bidi="ar-SA"/>
          </w:rPr>
          <w:t>2007 ABQB 265</w:t>
        </w:r>
      </w:hyperlink>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18"/>
          <w:lang w:val="en-US" w:eastAsia="en-US" w:bidi="ar-SA"/>
        </w:rPr>
      </w:pPr>
      <w:bookmarkStart w:id="314" w:name="Forward_fnref_fnr-11"/>
      <w:hyperlink w:anchor="Backward_fnref_fnr-11" w:history="1">
        <w:r>
          <w:rPr>
            <w:rFonts w:ascii="arial" w:eastAsia="arial" w:hAnsi="arial" w:cs="arial"/>
            <w:b/>
            <w:color w:val="BE161D"/>
            <w:sz w:val="18"/>
            <w:shd w:val="clear" w:color="auto" w:fill="FFFFFF"/>
            <w:lang w:val="en-US" w:eastAsia="en-US" w:bidi="ar-SA"/>
          </w:rPr>
          <w:t>11</w:t>
        </w:r>
      </w:hyperlink>
      <w:bookmarkEnd w:id="314"/>
      <w:r>
        <w:rPr>
          <w:rFonts w:ascii="arial" w:eastAsia="arial" w:hAnsi="arial" w:cs="arial"/>
          <w:sz w:val="18"/>
          <w:lang w:val="en-US" w:eastAsia="en-US" w:bidi="ar-SA"/>
        </w:rPr>
        <w:tab/>
      </w:r>
      <w:r>
        <w:rPr>
          <w:rFonts w:ascii="arial" w:eastAsia="arial" w:hAnsi="arial" w:cs="arial"/>
          <w:color w:val="6D6E71"/>
          <w:sz w:val="18"/>
          <w:lang w:val="en-US" w:eastAsia="en-US" w:bidi="ar-SA"/>
        </w:rPr>
        <w:t>Both parties have accepted Beresford's report and thus agree that there are 94,129,000 metric tons of available aggregate reserves at Pipeline (which includes 24,675,000 metric tons of main seam gravel) and 13,405,100 metric tons of remaining aggregate reserves at Jervis.</w:t>
      </w:r>
    </w:p>
    <w:p>
      <w:pPr>
        <w:spacing w:before="120" w:after="20" w:line="240" w:lineRule="atLeast"/>
        <w:ind w:left="720" w:hanging="360"/>
        <w:jc w:val="both"/>
        <w:rPr>
          <w:rFonts w:ascii="arial" w:eastAsia="arial" w:hAnsi="arial" w:cs="arial"/>
          <w:sz w:val="18"/>
          <w:lang w:val="en-US" w:eastAsia="en-US" w:bidi="ar-SA"/>
        </w:rPr>
      </w:pPr>
      <w:bookmarkStart w:id="315" w:name="Forward_fnref_fnr-12"/>
      <w:hyperlink w:anchor="Backward_fnref_fnr-12" w:history="1">
        <w:r>
          <w:rPr>
            <w:rFonts w:ascii="arial" w:eastAsia="arial" w:hAnsi="arial" w:cs="arial"/>
            <w:b/>
            <w:color w:val="BE161D"/>
            <w:sz w:val="18"/>
            <w:shd w:val="clear" w:color="auto" w:fill="FFFFFF"/>
            <w:lang w:val="en-US" w:eastAsia="en-US" w:bidi="ar-SA"/>
          </w:rPr>
          <w:t>12</w:t>
        </w:r>
      </w:hyperlink>
      <w:bookmarkEnd w:id="315"/>
      <w:r>
        <w:rPr>
          <w:rFonts w:ascii="arial" w:eastAsia="arial" w:hAnsi="arial" w:cs="arial"/>
          <w:sz w:val="18"/>
          <w:lang w:val="en-US" w:eastAsia="en-US" w:bidi="ar-SA"/>
        </w:rPr>
        <w:tab/>
      </w:r>
      <w:r>
        <w:rPr>
          <w:rFonts w:ascii="arial" w:eastAsia="arial" w:hAnsi="arial" w:cs="arial"/>
          <w:color w:val="6D6E71"/>
          <w:sz w:val="18"/>
          <w:lang w:val="en-US" w:eastAsia="en-US" w:bidi="ar-SA"/>
        </w:rPr>
        <w:t>This number represents the mid-point in the range of $105,200,000 (low) to $106,900,000 (high) determined by McFarlane as the value of JCL as set out in the Critique Report.</w:t>
      </w:r>
    </w:p>
    <w:p>
      <w:pPr>
        <w:spacing w:before="120" w:after="20" w:line="240" w:lineRule="atLeast"/>
        <w:ind w:left="720" w:hanging="360"/>
        <w:jc w:val="both"/>
        <w:rPr>
          <w:rFonts w:ascii="arial" w:eastAsia="arial" w:hAnsi="arial" w:cs="arial"/>
          <w:sz w:val="18"/>
          <w:lang w:val="en-US" w:eastAsia="en-US" w:bidi="ar-SA"/>
        </w:rPr>
      </w:pPr>
      <w:bookmarkStart w:id="316" w:name="Forward_fnref_fnr-13"/>
      <w:hyperlink w:anchor="Backward_fnref_fnr-13" w:history="1">
        <w:r>
          <w:rPr>
            <w:rFonts w:ascii="arial" w:eastAsia="arial" w:hAnsi="arial" w:cs="arial"/>
            <w:b/>
            <w:color w:val="BE161D"/>
            <w:sz w:val="18"/>
            <w:shd w:val="clear" w:color="auto" w:fill="FFFFFF"/>
            <w:lang w:val="en-US" w:eastAsia="en-US" w:bidi="ar-SA"/>
          </w:rPr>
          <w:t>13</w:t>
        </w:r>
      </w:hyperlink>
      <w:bookmarkEnd w:id="316"/>
      <w:r>
        <w:rPr>
          <w:rFonts w:ascii="arial" w:eastAsia="arial" w:hAnsi="arial" w:cs="arial"/>
          <w:sz w:val="18"/>
          <w:lang w:val="en-US" w:eastAsia="en-US" w:bidi="ar-SA"/>
        </w:rPr>
        <w:tab/>
      </w:r>
      <w:r>
        <w:rPr>
          <w:rFonts w:ascii="arial" w:eastAsia="arial" w:hAnsi="arial" w:cs="arial"/>
          <w:color w:val="6D6E71"/>
          <w:sz w:val="18"/>
          <w:lang w:val="en-US" w:eastAsia="en-US" w:bidi="ar-SA"/>
        </w:rPr>
        <w:t>This amount is the revised value of CHL determined by McEwen per his letter to Ms. Mide-Wilson's counsel dated May 13, 2011.</w:t>
      </w:r>
    </w:p>
    <w:p>
      <w:pPr>
        <w:spacing w:before="120" w:after="20" w:line="240" w:lineRule="atLeast"/>
        <w:ind w:left="720" w:hanging="360"/>
        <w:jc w:val="both"/>
        <w:rPr>
          <w:rFonts w:ascii="arial" w:eastAsia="arial" w:hAnsi="arial" w:cs="arial"/>
          <w:sz w:val="18"/>
          <w:lang w:val="en-US" w:eastAsia="en-US" w:bidi="ar-SA"/>
        </w:rPr>
      </w:pPr>
      <w:bookmarkStart w:id="317" w:name="Forward_fnref_fnr-14"/>
      <w:hyperlink w:anchor="Backward_fnref_fnr-14" w:history="1">
        <w:r>
          <w:rPr>
            <w:rFonts w:ascii="arial" w:eastAsia="arial" w:hAnsi="arial" w:cs="arial"/>
            <w:b/>
            <w:color w:val="BE161D"/>
            <w:sz w:val="18"/>
            <w:shd w:val="clear" w:color="auto" w:fill="FFFFFF"/>
            <w:lang w:val="en-US" w:eastAsia="en-US" w:bidi="ar-SA"/>
          </w:rPr>
          <w:t>14</w:t>
        </w:r>
      </w:hyperlink>
      <w:bookmarkEnd w:id="317"/>
      <w:r>
        <w:rPr>
          <w:rFonts w:ascii="arial" w:eastAsia="arial" w:hAnsi="arial" w:cs="arial"/>
          <w:sz w:val="18"/>
          <w:lang w:val="en-US" w:eastAsia="en-US" w:bidi="ar-SA"/>
        </w:rPr>
        <w:tab/>
      </w:r>
      <w:r>
        <w:rPr>
          <w:rFonts w:ascii="arial" w:eastAsia="arial" w:hAnsi="arial" w:cs="arial"/>
          <w:color w:val="6D6E71"/>
          <w:sz w:val="18"/>
          <w:lang w:val="en-US" w:eastAsia="en-US" w:bidi="ar-SA"/>
        </w:rPr>
        <w:t>This definition is worded slightly differently than the definition of FMV used by McFarlane and McEwen (who both rely on the FMV definition employed by certified business valuators).</w:t>
      </w:r>
    </w:p>
    <w:p>
      <w:pPr>
        <w:spacing w:before="120" w:after="20" w:line="240" w:lineRule="atLeast"/>
        <w:ind w:left="720" w:hanging="360"/>
        <w:jc w:val="both"/>
        <w:rPr>
          <w:rFonts w:ascii="arial" w:eastAsia="arial" w:hAnsi="arial" w:cs="arial"/>
          <w:sz w:val="18"/>
          <w:lang w:val="en-US" w:eastAsia="en-US" w:bidi="ar-SA"/>
        </w:rPr>
      </w:pPr>
      <w:bookmarkStart w:id="318" w:name="Forward_fnref_fnr-15"/>
      <w:hyperlink w:anchor="Backward_fnref_fnr-15" w:history="1">
        <w:r>
          <w:rPr>
            <w:rFonts w:ascii="arial" w:eastAsia="arial" w:hAnsi="arial" w:cs="arial"/>
            <w:b/>
            <w:color w:val="BE161D"/>
            <w:sz w:val="18"/>
            <w:shd w:val="clear" w:color="auto" w:fill="FFFFFF"/>
            <w:lang w:val="en-US" w:eastAsia="en-US" w:bidi="ar-SA"/>
          </w:rPr>
          <w:t>15</w:t>
        </w:r>
      </w:hyperlink>
      <w:bookmarkEnd w:id="318"/>
      <w:r>
        <w:rPr>
          <w:rFonts w:ascii="arial" w:eastAsia="arial" w:hAnsi="arial" w:cs="arial"/>
          <w:sz w:val="18"/>
          <w:lang w:val="en-US" w:eastAsia="en-US" w:bidi="ar-SA"/>
        </w:rPr>
        <w:tab/>
      </w:r>
      <w:r>
        <w:rPr>
          <w:rFonts w:ascii="arial" w:eastAsia="arial" w:hAnsi="arial" w:cs="arial"/>
          <w:color w:val="6D6E71"/>
          <w:sz w:val="18"/>
          <w:lang w:val="en-US" w:eastAsia="en-US" w:bidi="ar-SA"/>
        </w:rPr>
        <w:t>This rate reflects the real rate of return, not the inflated rate of return. McFarlane and McEwen use the inflated rate of return in their respective valuations.</w:t>
      </w:r>
    </w:p>
    <w:p>
      <w:pPr>
        <w:spacing w:before="120" w:after="20" w:line="240" w:lineRule="atLeast"/>
        <w:ind w:left="720" w:hanging="360"/>
        <w:jc w:val="both"/>
        <w:rPr>
          <w:rFonts w:ascii="arial" w:eastAsia="arial" w:hAnsi="arial" w:cs="arial"/>
          <w:sz w:val="18"/>
          <w:lang w:val="en-US" w:eastAsia="en-US" w:bidi="ar-SA"/>
        </w:rPr>
      </w:pPr>
      <w:bookmarkStart w:id="319" w:name="Forward_fnref_fnr-16"/>
      <w:hyperlink w:anchor="Backward_fnref_fnr-16" w:history="1">
        <w:r>
          <w:rPr>
            <w:rFonts w:ascii="arial" w:eastAsia="arial" w:hAnsi="arial" w:cs="arial"/>
            <w:b/>
            <w:color w:val="BE161D"/>
            <w:sz w:val="18"/>
            <w:shd w:val="clear" w:color="auto" w:fill="FFFFFF"/>
            <w:lang w:val="en-US" w:eastAsia="en-US" w:bidi="ar-SA"/>
          </w:rPr>
          <w:t>16</w:t>
        </w:r>
      </w:hyperlink>
      <w:bookmarkEnd w:id="319"/>
      <w:r>
        <w:rPr>
          <w:rFonts w:ascii="arial" w:eastAsia="arial" w:hAnsi="arial" w:cs="arial"/>
          <w:sz w:val="18"/>
          <w:lang w:val="en-US" w:eastAsia="en-US" w:bidi="ar-SA"/>
        </w:rPr>
        <w:tab/>
      </w:r>
      <w:r>
        <w:rPr>
          <w:rFonts w:ascii="arial" w:eastAsia="arial" w:hAnsi="arial" w:cs="arial"/>
          <w:color w:val="6D6E71"/>
          <w:sz w:val="18"/>
          <w:lang w:val="en-US" w:eastAsia="en-US" w:bidi="ar-SA"/>
        </w:rPr>
        <w:t>In his direct testimony, McCandlish confirmed that he felt there was no sovereign (or country) risk; no political risk; and no environmental risk - all factors to be considered in determining "location risk".</w:t>
      </w:r>
    </w:p>
    <w:p>
      <w:pPr>
        <w:spacing w:before="120" w:after="20" w:line="240" w:lineRule="atLeast"/>
        <w:ind w:left="720" w:hanging="360"/>
        <w:jc w:val="both"/>
        <w:rPr>
          <w:rFonts w:ascii="arial" w:eastAsia="arial" w:hAnsi="arial" w:cs="arial"/>
          <w:sz w:val="18"/>
          <w:lang w:val="en-US" w:eastAsia="en-US" w:bidi="ar-SA"/>
        </w:rPr>
      </w:pPr>
      <w:bookmarkStart w:id="320" w:name="Forward_fnref_fnr-17"/>
      <w:hyperlink w:anchor="Backward_fnref_fnr-17" w:history="1">
        <w:r>
          <w:rPr>
            <w:rFonts w:ascii="arial" w:eastAsia="arial" w:hAnsi="arial" w:cs="arial"/>
            <w:b/>
            <w:color w:val="BE161D"/>
            <w:sz w:val="18"/>
            <w:shd w:val="clear" w:color="auto" w:fill="FFFFFF"/>
            <w:lang w:val="en-US" w:eastAsia="en-US" w:bidi="ar-SA"/>
          </w:rPr>
          <w:t>17</w:t>
        </w:r>
      </w:hyperlink>
      <w:bookmarkEnd w:id="320"/>
      <w:r>
        <w:rPr>
          <w:rFonts w:ascii="arial" w:eastAsia="arial" w:hAnsi="arial" w:cs="arial"/>
          <w:sz w:val="18"/>
          <w:lang w:val="en-US" w:eastAsia="en-US" w:bidi="ar-SA"/>
        </w:rPr>
        <w:tab/>
      </w:r>
      <w:r>
        <w:rPr>
          <w:rFonts w:ascii="arial" w:eastAsia="arial" w:hAnsi="arial" w:cs="arial"/>
          <w:color w:val="6D6E71"/>
          <w:sz w:val="18"/>
          <w:lang w:val="en-US" w:eastAsia="en-US" w:bidi="ar-SA"/>
        </w:rPr>
        <w:t>In his initial report, McCandlish found an NPV for Jervis of $33.3 million which figure was based on an assumed pit life of 19 years. When the final reserve numbers were received from Beresford, McCandlish readjusted his figures to reflect a pit life of 18 years and thus a NPV of $32.1 million.</w:t>
      </w:r>
    </w:p>
    <w:p>
      <w:pPr>
        <w:spacing w:before="120" w:after="20" w:line="240" w:lineRule="atLeast"/>
        <w:ind w:left="720" w:hanging="360"/>
        <w:jc w:val="both"/>
        <w:rPr>
          <w:rFonts w:ascii="arial" w:eastAsia="arial" w:hAnsi="arial" w:cs="arial"/>
          <w:sz w:val="18"/>
          <w:lang w:val="en-US" w:eastAsia="en-US" w:bidi="ar-SA"/>
        </w:rPr>
      </w:pPr>
      <w:bookmarkStart w:id="321" w:name="Forward_fnref_fnr-18"/>
      <w:hyperlink w:anchor="Backward_fnref_fnr-18" w:history="1">
        <w:r>
          <w:rPr>
            <w:rFonts w:ascii="arial" w:eastAsia="arial" w:hAnsi="arial" w:cs="arial"/>
            <w:b/>
            <w:color w:val="BE161D"/>
            <w:sz w:val="18"/>
            <w:shd w:val="clear" w:color="auto" w:fill="FFFFFF"/>
            <w:lang w:val="en-US" w:eastAsia="en-US" w:bidi="ar-SA"/>
          </w:rPr>
          <w:t>18</w:t>
        </w:r>
      </w:hyperlink>
      <w:bookmarkEnd w:id="321"/>
      <w:r>
        <w:rPr>
          <w:rFonts w:ascii="arial" w:eastAsia="arial" w:hAnsi="arial" w:cs="arial"/>
          <w:sz w:val="18"/>
          <w:lang w:val="en-US" w:eastAsia="en-US" w:bidi="ar-SA"/>
        </w:rPr>
        <w:tab/>
      </w:r>
      <w:r>
        <w:rPr>
          <w:rFonts w:ascii="arial" w:eastAsia="arial" w:hAnsi="arial" w:cs="arial"/>
          <w:color w:val="6D6E71"/>
          <w:sz w:val="18"/>
          <w:lang w:val="en-US" w:eastAsia="en-US" w:bidi="ar-SA"/>
        </w:rPr>
        <w:t>As noted earlier, McCandlish used a real as opposed to nominal risk-free rate of 2.14% in his calculations. In addition, McCandlish used a 12-month average while McFarlane used the rate in place as at the Valuation Date. This choice affects the determination of FMV as McCandlish uses pre-recession data and lower risk-free rates in his calculations.</w:t>
      </w:r>
    </w:p>
    <w:p>
      <w:pPr>
        <w:spacing w:before="120" w:after="20" w:line="240" w:lineRule="atLeast"/>
        <w:ind w:left="720" w:hanging="360"/>
        <w:jc w:val="both"/>
        <w:rPr>
          <w:rFonts w:ascii="arial" w:eastAsia="arial" w:hAnsi="arial" w:cs="arial"/>
          <w:sz w:val="18"/>
          <w:lang w:val="en-US" w:eastAsia="en-US" w:bidi="ar-SA"/>
        </w:rPr>
      </w:pPr>
      <w:bookmarkStart w:id="322" w:name="Forward_fnref_fnr-19"/>
      <w:hyperlink w:anchor="Backward_fnref_fnr-19" w:history="1">
        <w:r>
          <w:rPr>
            <w:rFonts w:ascii="arial" w:eastAsia="arial" w:hAnsi="arial" w:cs="arial"/>
            <w:b/>
            <w:color w:val="BE161D"/>
            <w:sz w:val="18"/>
            <w:shd w:val="clear" w:color="auto" w:fill="FFFFFF"/>
            <w:lang w:val="en-US" w:eastAsia="en-US" w:bidi="ar-SA"/>
          </w:rPr>
          <w:t>19</w:t>
        </w:r>
      </w:hyperlink>
      <w:bookmarkEnd w:id="322"/>
      <w:r>
        <w:rPr>
          <w:rFonts w:ascii="arial" w:eastAsia="arial" w:hAnsi="arial" w:cs="arial"/>
          <w:sz w:val="18"/>
          <w:lang w:val="en-US" w:eastAsia="en-US" w:bidi="ar-SA"/>
        </w:rPr>
        <w:tab/>
      </w:r>
      <w:r>
        <w:rPr>
          <w:rFonts w:ascii="arial" w:eastAsia="arial" w:hAnsi="arial" w:cs="arial"/>
          <w:color w:val="6D6E71"/>
          <w:sz w:val="18"/>
          <w:lang w:val="en-US" w:eastAsia="en-US" w:bidi="ar-SA"/>
        </w:rPr>
        <w:t>McFarlane says that in estimating company specific risk she considered a wide range of factors including, but not limited to, the economic outlook for the Canadian and BC economies at the Valuation Date; the existence of competitors in the industry; dependency on municipal customers; and the industry risk premium associated with companies in highway and street construction.</w:t>
      </w:r>
    </w:p>
    <w:p>
      <w:pPr>
        <w:spacing w:before="120" w:after="20" w:line="240" w:lineRule="atLeast"/>
        <w:ind w:left="720" w:hanging="360"/>
        <w:jc w:val="both"/>
        <w:rPr>
          <w:rFonts w:ascii="arial" w:eastAsia="arial" w:hAnsi="arial" w:cs="arial"/>
          <w:sz w:val="18"/>
          <w:lang w:val="en-US" w:eastAsia="en-US" w:bidi="ar-SA"/>
        </w:rPr>
      </w:pPr>
      <w:bookmarkStart w:id="323" w:name="Forward_fnref_fnr-20"/>
      <w:hyperlink w:anchor="Backward_fnref_fnr-20" w:history="1">
        <w:r>
          <w:rPr>
            <w:rFonts w:ascii="arial" w:eastAsia="arial" w:hAnsi="arial" w:cs="arial"/>
            <w:b/>
            <w:color w:val="BE161D"/>
            <w:sz w:val="18"/>
            <w:shd w:val="clear" w:color="auto" w:fill="FFFFFF"/>
            <w:lang w:val="en-US" w:eastAsia="en-US" w:bidi="ar-SA"/>
          </w:rPr>
          <w:t>20</w:t>
        </w:r>
      </w:hyperlink>
      <w:bookmarkEnd w:id="323"/>
      <w:r>
        <w:rPr>
          <w:rFonts w:ascii="arial" w:eastAsia="arial" w:hAnsi="arial" w:cs="arial"/>
          <w:sz w:val="18"/>
          <w:lang w:val="en-US" w:eastAsia="en-US" w:bidi="ar-SA"/>
        </w:rPr>
        <w:tab/>
      </w:r>
      <w:r>
        <w:rPr>
          <w:rFonts w:ascii="arial" w:eastAsia="arial" w:hAnsi="arial" w:cs="arial"/>
          <w:color w:val="6D6E71"/>
          <w:sz w:val="18"/>
          <w:lang w:val="en-US" w:eastAsia="en-US" w:bidi="ar-SA"/>
        </w:rPr>
        <w:t>These values are increased in the Critique Report to between $105.2 million (low) and $106.9 million (high).</w:t>
      </w:r>
    </w:p>
    <w:p>
      <w:pPr>
        <w:spacing w:before="120" w:after="20" w:line="240" w:lineRule="atLeast"/>
        <w:ind w:left="720" w:hanging="360"/>
        <w:jc w:val="both"/>
        <w:rPr>
          <w:rFonts w:ascii="arial" w:eastAsia="arial" w:hAnsi="arial" w:cs="arial"/>
          <w:sz w:val="18"/>
          <w:lang w:val="en-US" w:eastAsia="en-US" w:bidi="ar-SA"/>
        </w:rPr>
      </w:pPr>
      <w:bookmarkStart w:id="324" w:name="Forward_fnref_fnr-21"/>
      <w:hyperlink w:anchor="Backward_fnref_fnr-21" w:history="1">
        <w:r>
          <w:rPr>
            <w:rFonts w:ascii="arial" w:eastAsia="arial" w:hAnsi="arial" w:cs="arial"/>
            <w:b/>
            <w:color w:val="BE161D"/>
            <w:sz w:val="18"/>
            <w:shd w:val="clear" w:color="auto" w:fill="FFFFFF"/>
            <w:lang w:val="en-US" w:eastAsia="en-US" w:bidi="ar-SA"/>
          </w:rPr>
          <w:t>21</w:t>
        </w:r>
      </w:hyperlink>
      <w:bookmarkEnd w:id="324"/>
      <w:r>
        <w:rPr>
          <w:rFonts w:ascii="arial" w:eastAsia="arial" w:hAnsi="arial" w:cs="arial"/>
          <w:sz w:val="18"/>
          <w:lang w:val="en-US" w:eastAsia="en-US" w:bidi="ar-SA"/>
        </w:rPr>
        <w:tab/>
      </w:r>
      <w:r>
        <w:rPr>
          <w:rFonts w:ascii="arial" w:eastAsia="arial" w:hAnsi="arial" w:cs="arial"/>
          <w:color w:val="6D6E71"/>
          <w:sz w:val="18"/>
          <w:lang w:val="en-US" w:eastAsia="en-US" w:bidi="ar-SA"/>
        </w:rPr>
        <w:t>This is the mid-point of McFarlane's low and high ranges of values for JCL.</w:t>
      </w:r>
    </w:p>
    <w:p>
      <w:pPr>
        <w:spacing w:before="120" w:after="20" w:line="240" w:lineRule="atLeast"/>
        <w:ind w:left="720" w:hanging="360"/>
        <w:jc w:val="both"/>
        <w:rPr>
          <w:rFonts w:ascii="arial" w:eastAsia="arial" w:hAnsi="arial" w:cs="arial"/>
          <w:sz w:val="18"/>
          <w:lang w:val="en-US" w:eastAsia="en-US" w:bidi="ar-SA"/>
        </w:rPr>
      </w:pPr>
      <w:bookmarkStart w:id="325" w:name="Forward_fnref_fnr-22"/>
      <w:hyperlink w:anchor="Backward_fnref_fnr-22" w:history="1">
        <w:r>
          <w:rPr>
            <w:rFonts w:ascii="arial" w:eastAsia="arial" w:hAnsi="arial" w:cs="arial"/>
            <w:b/>
            <w:color w:val="BE161D"/>
            <w:sz w:val="18"/>
            <w:shd w:val="clear" w:color="auto" w:fill="FFFFFF"/>
            <w:lang w:val="en-US" w:eastAsia="en-US" w:bidi="ar-SA"/>
          </w:rPr>
          <w:t>22</w:t>
        </w:r>
      </w:hyperlink>
      <w:bookmarkEnd w:id="325"/>
      <w:r>
        <w:rPr>
          <w:rFonts w:ascii="arial" w:eastAsia="arial" w:hAnsi="arial" w:cs="arial"/>
          <w:sz w:val="18"/>
          <w:lang w:val="en-US" w:eastAsia="en-US" w:bidi="ar-SA"/>
        </w:rPr>
        <w:tab/>
      </w:r>
      <w:r>
        <w:rPr>
          <w:rFonts w:ascii="arial" w:eastAsia="arial" w:hAnsi="arial" w:cs="arial"/>
          <w:color w:val="6D6E71"/>
          <w:sz w:val="18"/>
          <w:lang w:val="en-US" w:eastAsia="en-US" w:bidi="ar-SA"/>
        </w:rPr>
        <w:t>In the BDO Valuation Report, McFarlane uses a slightly higher value (not the agreed value) as the value for 1701 Lougheed. At the hearing before me, McFarlane adjusted her opinion to account for the agreed upon value of 1701 Lougheed to arrive at this range.</w:t>
      </w:r>
    </w:p>
    <w:p>
      <w:pPr>
        <w:spacing w:before="120" w:after="20" w:line="240" w:lineRule="atLeast"/>
        <w:ind w:left="720" w:hanging="360"/>
        <w:jc w:val="both"/>
        <w:rPr>
          <w:rFonts w:ascii="arial" w:eastAsia="arial" w:hAnsi="arial" w:cs="arial"/>
          <w:sz w:val="18"/>
          <w:lang w:val="en-US" w:eastAsia="en-US" w:bidi="ar-SA"/>
        </w:rPr>
      </w:pPr>
      <w:bookmarkStart w:id="326" w:name="Forward_fnref_fnr-23"/>
      <w:hyperlink w:anchor="Backward_fnref_fnr-23" w:history="1">
        <w:r>
          <w:rPr>
            <w:rFonts w:ascii="arial" w:eastAsia="arial" w:hAnsi="arial" w:cs="arial"/>
            <w:b/>
            <w:color w:val="BE161D"/>
            <w:sz w:val="18"/>
            <w:shd w:val="clear" w:color="auto" w:fill="FFFFFF"/>
            <w:lang w:val="en-US" w:eastAsia="en-US" w:bidi="ar-SA"/>
          </w:rPr>
          <w:t>23</w:t>
        </w:r>
      </w:hyperlink>
      <w:bookmarkEnd w:id="326"/>
      <w:r>
        <w:rPr>
          <w:rFonts w:ascii="arial" w:eastAsia="arial" w:hAnsi="arial" w:cs="arial"/>
          <w:sz w:val="18"/>
          <w:lang w:val="en-US" w:eastAsia="en-US" w:bidi="ar-SA"/>
        </w:rPr>
        <w:tab/>
      </w:r>
      <w:r>
        <w:rPr>
          <w:rFonts w:ascii="arial" w:eastAsia="arial" w:hAnsi="arial" w:cs="arial"/>
          <w:color w:val="6D6E71"/>
          <w:sz w:val="18"/>
          <w:lang w:val="en-US" w:eastAsia="en-US" w:bidi="ar-SA"/>
        </w:rPr>
        <w:t>The build-up method is defined as: "an additive model in which the return on an asset is estimated as the sum of a risk-free rate and one or more risk premia. Each premium represents the reward an investor receives for taking on a specific risk." (Ibbotson SBBI 2008 Valuation Yearbook, Page 37).</w:t>
      </w:r>
    </w:p>
    <w:p>
      <w:pPr>
        <w:spacing w:before="120" w:after="20" w:line="240" w:lineRule="atLeast"/>
        <w:ind w:left="720" w:hanging="360"/>
        <w:jc w:val="both"/>
        <w:rPr>
          <w:rFonts w:ascii="arial" w:eastAsia="arial" w:hAnsi="arial" w:cs="arial"/>
          <w:sz w:val="18"/>
          <w:lang w:val="en-US" w:eastAsia="en-US" w:bidi="ar-SA"/>
        </w:rPr>
      </w:pPr>
      <w:bookmarkStart w:id="327" w:name="Forward_fnref_fnr-24"/>
      <w:hyperlink w:anchor="Backward_fnref_fnr-24" w:history="1">
        <w:r>
          <w:rPr>
            <w:rFonts w:ascii="arial" w:eastAsia="arial" w:hAnsi="arial" w:cs="arial"/>
            <w:b/>
            <w:color w:val="BE161D"/>
            <w:sz w:val="18"/>
            <w:shd w:val="clear" w:color="auto" w:fill="FFFFFF"/>
            <w:lang w:val="en-US" w:eastAsia="en-US" w:bidi="ar-SA"/>
          </w:rPr>
          <w:t>24</w:t>
        </w:r>
      </w:hyperlink>
      <w:bookmarkEnd w:id="327"/>
      <w:r>
        <w:rPr>
          <w:rFonts w:ascii="arial" w:eastAsia="arial" w:hAnsi="arial" w:cs="arial"/>
          <w:sz w:val="18"/>
          <w:lang w:val="en-US" w:eastAsia="en-US" w:bidi="ar-SA"/>
        </w:rPr>
        <w:tab/>
      </w:r>
      <w:r>
        <w:rPr>
          <w:rFonts w:ascii="arial" w:eastAsia="arial" w:hAnsi="arial" w:cs="arial"/>
          <w:color w:val="6D6E71"/>
          <w:sz w:val="18"/>
          <w:lang w:val="en-US" w:eastAsia="en-US" w:bidi="ar-SA"/>
        </w:rPr>
        <w:t>As there is little difference between the McFarlane and McEwen reports in respect of the values each has placed on the Trust Assets (other than JCL), I do not intend to review, in any detail, the methodology used by either of them in arriving at their valuations of CHL, Ridge, Heather, Shoshone. In addition, neither McFarlane nor McEwen places a value on Jack Cewe Inc. and I do not intend to make any further comments on that.</w:t>
      </w:r>
    </w:p>
    <w:p>
      <w:pPr>
        <w:spacing w:before="120" w:after="20" w:line="240" w:lineRule="atLeast"/>
        <w:ind w:left="720" w:hanging="360"/>
        <w:jc w:val="both"/>
        <w:rPr>
          <w:rFonts w:ascii="arial" w:eastAsia="arial" w:hAnsi="arial" w:cs="arial"/>
          <w:sz w:val="18"/>
          <w:lang w:val="en-US" w:eastAsia="en-US" w:bidi="ar-SA"/>
        </w:rPr>
      </w:pPr>
      <w:bookmarkStart w:id="328" w:name="Forward_fnref_fnr-25"/>
      <w:hyperlink w:anchor="Backward_fnref_fnr-25" w:history="1">
        <w:r>
          <w:rPr>
            <w:rFonts w:ascii="arial" w:eastAsia="arial" w:hAnsi="arial" w:cs="arial"/>
            <w:b/>
            <w:color w:val="BE161D"/>
            <w:sz w:val="18"/>
            <w:shd w:val="clear" w:color="auto" w:fill="FFFFFF"/>
            <w:lang w:val="en-US" w:eastAsia="en-US" w:bidi="ar-SA"/>
          </w:rPr>
          <w:t>25</w:t>
        </w:r>
      </w:hyperlink>
      <w:bookmarkEnd w:id="328"/>
      <w:r>
        <w:rPr>
          <w:rFonts w:ascii="arial" w:eastAsia="arial" w:hAnsi="arial" w:cs="arial"/>
          <w:sz w:val="18"/>
          <w:lang w:val="en-US" w:eastAsia="en-US" w:bidi="ar-SA"/>
        </w:rPr>
        <w:tab/>
      </w:r>
      <w:r>
        <w:rPr>
          <w:rFonts w:ascii="arial" w:eastAsia="arial" w:hAnsi="arial" w:cs="arial"/>
          <w:color w:val="6D6E71"/>
          <w:sz w:val="18"/>
          <w:lang w:val="en-US" w:eastAsia="en-US" w:bidi="ar-SA"/>
        </w:rPr>
        <w:t>See footnote 13.</w:t>
      </w:r>
    </w:p>
    <w:p>
      <w:pPr>
        <w:spacing w:before="120" w:after="20" w:line="240" w:lineRule="atLeast"/>
        <w:ind w:left="720" w:hanging="360"/>
        <w:jc w:val="both"/>
        <w:rPr>
          <w:rFonts w:ascii="arial" w:eastAsia="arial" w:hAnsi="arial" w:cs="arial"/>
          <w:sz w:val="18"/>
          <w:lang w:val="en-US" w:eastAsia="en-US" w:bidi="ar-SA"/>
        </w:rPr>
      </w:pPr>
      <w:bookmarkStart w:id="329" w:name="Forward_fnref_fnr-26"/>
      <w:hyperlink w:anchor="Backward_fnref_fnr-26" w:history="1">
        <w:r>
          <w:rPr>
            <w:rFonts w:ascii="arial" w:eastAsia="arial" w:hAnsi="arial" w:cs="arial"/>
            <w:b/>
            <w:color w:val="BE161D"/>
            <w:sz w:val="18"/>
            <w:shd w:val="clear" w:color="auto" w:fill="FFFFFF"/>
            <w:lang w:val="en-US" w:eastAsia="en-US" w:bidi="ar-SA"/>
          </w:rPr>
          <w:t>26</w:t>
        </w:r>
      </w:hyperlink>
      <w:bookmarkEnd w:id="329"/>
      <w:r>
        <w:rPr>
          <w:rFonts w:ascii="arial" w:eastAsia="arial" w:hAnsi="arial" w:cs="arial"/>
          <w:sz w:val="18"/>
          <w:lang w:val="en-US" w:eastAsia="en-US" w:bidi="ar-SA"/>
        </w:rPr>
        <w:tab/>
      </w:r>
      <w:r>
        <w:rPr>
          <w:rFonts w:ascii="arial" w:eastAsia="arial" w:hAnsi="arial" w:cs="arial"/>
          <w:color w:val="6D6E71"/>
          <w:sz w:val="18"/>
          <w:lang w:val="en-US" w:eastAsia="en-US" w:bidi="ar-SA"/>
        </w:rPr>
        <w:t>In preparing his report and in deciding the appropriate discount rate to apply, McEwen looked at two stock market analysts report on Polaris: one dated 10 August 2009 prepared by Canaccord/Adams which uses a 12% discount rate to determine NPV for Polaris; a second prepared by Desjardins Securities dated August 11, 2009 and uses a 15% discount rate to value Polaris.</w:t>
      </w:r>
    </w:p>
    <w:p>
      <w:pPr>
        <w:spacing w:before="120" w:after="20" w:line="240" w:lineRule="atLeast"/>
        <w:ind w:left="720" w:hanging="360"/>
        <w:jc w:val="both"/>
        <w:rPr>
          <w:rFonts w:ascii="arial" w:eastAsia="arial" w:hAnsi="arial" w:cs="arial"/>
          <w:sz w:val="18"/>
          <w:lang w:val="en-US" w:eastAsia="en-US" w:bidi="ar-SA"/>
        </w:rPr>
      </w:pPr>
      <w:bookmarkStart w:id="330" w:name="Forward_fnref_fnr-27"/>
      <w:hyperlink w:anchor="Backward_fnref_fnr-27" w:history="1">
        <w:r>
          <w:rPr>
            <w:rFonts w:ascii="arial" w:eastAsia="arial" w:hAnsi="arial" w:cs="arial"/>
            <w:b/>
            <w:color w:val="BE161D"/>
            <w:sz w:val="18"/>
            <w:shd w:val="clear" w:color="auto" w:fill="FFFFFF"/>
            <w:lang w:val="en-US" w:eastAsia="en-US" w:bidi="ar-SA"/>
          </w:rPr>
          <w:t>27</w:t>
        </w:r>
      </w:hyperlink>
      <w:bookmarkEnd w:id="330"/>
      <w:r>
        <w:rPr>
          <w:rFonts w:ascii="arial" w:eastAsia="arial" w:hAnsi="arial" w:cs="arial"/>
          <w:sz w:val="18"/>
          <w:lang w:val="en-US" w:eastAsia="en-US" w:bidi="ar-SA"/>
        </w:rPr>
        <w:tab/>
      </w:r>
      <w:r>
        <w:rPr>
          <w:rFonts w:ascii="arial" w:eastAsia="arial" w:hAnsi="arial" w:cs="arial"/>
          <w:color w:val="6D6E71"/>
          <w:sz w:val="18"/>
          <w:lang w:val="en-US" w:eastAsia="en-US" w:bidi="ar-SA"/>
        </w:rPr>
        <w:t>Richard Wise, "Valuation Issues Relating to Shares of Private Corporations", Canadian Tax Foundation 56th Annual Tax Conference (September 24-26, 2004) at 16 [</w:t>
      </w:r>
      <w:r>
        <w:rPr>
          <w:rFonts w:ascii="arial" w:eastAsia="arial" w:hAnsi="arial" w:cs="arial"/>
          <w:i/>
          <w:color w:val="6D6E71"/>
          <w:sz w:val="18"/>
          <w:lang w:val="en-US" w:eastAsia="en-US" w:bidi="ar-SA"/>
        </w:rPr>
        <w:t>Wise</w:t>
      </w:r>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18"/>
          <w:lang w:val="en-US" w:eastAsia="en-US" w:bidi="ar-SA"/>
        </w:rPr>
      </w:pPr>
      <w:bookmarkStart w:id="331" w:name="Forward_fnref_fnr-28"/>
      <w:hyperlink w:anchor="Backward_fnref_fnr-28" w:history="1">
        <w:r>
          <w:rPr>
            <w:rFonts w:ascii="arial" w:eastAsia="arial" w:hAnsi="arial" w:cs="arial"/>
            <w:b/>
            <w:color w:val="BE161D"/>
            <w:sz w:val="18"/>
            <w:shd w:val="clear" w:color="auto" w:fill="FFFFFF"/>
            <w:lang w:val="en-US" w:eastAsia="en-US" w:bidi="ar-SA"/>
          </w:rPr>
          <w:t>28</w:t>
        </w:r>
      </w:hyperlink>
      <w:bookmarkEnd w:id="331"/>
      <w:r>
        <w:rPr>
          <w:rFonts w:ascii="arial" w:eastAsia="arial" w:hAnsi="arial" w:cs="arial"/>
          <w:sz w:val="18"/>
          <w:lang w:val="en-US" w:eastAsia="en-US" w:bidi="ar-SA"/>
        </w:rPr>
        <w:tab/>
      </w:r>
      <w:r>
        <w:rPr>
          <w:rFonts w:ascii="arial" w:eastAsia="arial" w:hAnsi="arial" w:cs="arial"/>
          <w:color w:val="6D6E71"/>
          <w:sz w:val="18"/>
          <w:lang w:val="en-US" w:eastAsia="en-US" w:bidi="ar-SA"/>
        </w:rPr>
        <w:t xml:space="preserve">See, for example, </w:t>
      </w:r>
      <w:r>
        <w:rPr>
          <w:rFonts w:ascii="arial" w:eastAsia="arial" w:hAnsi="arial" w:cs="arial"/>
          <w:i/>
          <w:color w:val="6D6E71"/>
          <w:sz w:val="18"/>
          <w:lang w:val="en-US" w:eastAsia="en-US" w:bidi="ar-SA"/>
        </w:rPr>
        <w:t>Laycock v. The Queen</w:t>
      </w:r>
      <w:r>
        <w:rPr>
          <w:rFonts w:ascii="arial" w:eastAsia="arial" w:hAnsi="arial" w:cs="arial"/>
          <w:color w:val="6D6E71"/>
          <w:sz w:val="18"/>
          <w:lang w:val="en-US" w:eastAsia="en-US" w:bidi="ar-SA"/>
        </w:rPr>
        <w:t xml:space="preserve"> </w:t>
      </w:r>
      <w:hyperlink r:id="rId767" w:history="1">
        <w:r>
          <w:rPr>
            <w:rFonts w:ascii="arial" w:eastAsia="arial" w:hAnsi="arial" w:cs="arial"/>
            <w:i/>
            <w:color w:val="0077CC"/>
            <w:sz w:val="18"/>
            <w:u w:val="single"/>
            <w:shd w:val="clear" w:color="auto" w:fill="FFFFFF"/>
            <w:lang w:val="en-US" w:eastAsia="en-US" w:bidi="ar-SA"/>
          </w:rPr>
          <w:t>(1978), 78 DTC 6349</w:t>
        </w:r>
      </w:hyperlink>
      <w:r>
        <w:rPr>
          <w:rFonts w:ascii="arial" w:eastAsia="arial" w:hAnsi="arial" w:cs="arial"/>
          <w:color w:val="6D6E71"/>
          <w:sz w:val="18"/>
          <w:lang w:val="en-US" w:eastAsia="en-US" w:bidi="ar-SA"/>
        </w:rPr>
        <w:t xml:space="preserve"> [</w:t>
      </w:r>
      <w:r>
        <w:rPr>
          <w:rFonts w:ascii="arial" w:eastAsia="arial" w:hAnsi="arial" w:cs="arial"/>
          <w:i/>
          <w:color w:val="6D6E71"/>
          <w:sz w:val="18"/>
          <w:lang w:val="en-US" w:eastAsia="en-US" w:bidi="ar-SA"/>
        </w:rPr>
        <w:t>Laycock</w:t>
      </w:r>
      <w:r>
        <w:rPr>
          <w:rFonts w:ascii="arial" w:eastAsia="arial" w:hAnsi="arial" w:cs="arial"/>
          <w:color w:val="6D6E71"/>
          <w:sz w:val="18"/>
          <w:lang w:val="en-US" w:eastAsia="en-US" w:bidi="ar-SA"/>
        </w:rPr>
        <w:t>].</w:t>
      </w:r>
    </w:p>
    <w:p>
      <w:pPr>
        <w:spacing w:before="120" w:after="20" w:line="240" w:lineRule="atLeast"/>
        <w:ind w:left="720" w:hanging="360"/>
        <w:jc w:val="both"/>
        <w:rPr>
          <w:rFonts w:ascii="arial" w:eastAsia="arial" w:hAnsi="arial" w:cs="arial"/>
          <w:sz w:val="18"/>
          <w:lang w:val="en-US" w:eastAsia="en-US" w:bidi="ar-SA"/>
        </w:rPr>
      </w:pPr>
      <w:bookmarkStart w:id="332" w:name="Forward_fnref_fnr-29"/>
      <w:hyperlink w:anchor="Backward_fnref_fnr-29" w:history="1">
        <w:r>
          <w:rPr>
            <w:rFonts w:ascii="arial" w:eastAsia="arial" w:hAnsi="arial" w:cs="arial"/>
            <w:b/>
            <w:color w:val="BE161D"/>
            <w:sz w:val="18"/>
            <w:shd w:val="clear" w:color="auto" w:fill="FFFFFF"/>
            <w:lang w:val="en-US" w:eastAsia="en-US" w:bidi="ar-SA"/>
          </w:rPr>
          <w:t>29</w:t>
        </w:r>
      </w:hyperlink>
      <w:bookmarkEnd w:id="332"/>
      <w:r>
        <w:rPr>
          <w:rFonts w:ascii="arial" w:eastAsia="arial" w:hAnsi="arial" w:cs="arial"/>
          <w:sz w:val="18"/>
          <w:lang w:val="en-US" w:eastAsia="en-US" w:bidi="ar-SA"/>
        </w:rPr>
        <w:tab/>
      </w:r>
      <w:r>
        <w:rPr>
          <w:rFonts w:ascii="arial" w:eastAsia="arial" w:hAnsi="arial" w:cs="arial"/>
          <w:color w:val="6D6E71"/>
          <w:sz w:val="18"/>
          <w:lang w:val="en-US" w:eastAsia="en-US" w:bidi="ar-SA"/>
        </w:rPr>
        <w:t>On the balance sheet, Bank A sets are shown as negative indicating that JCL was in an overdraft position on the Valuation Date.</w:t>
      </w:r>
    </w:p>
    <w:p>
      <w:pPr>
        <w:spacing w:before="120" w:after="20" w:line="240" w:lineRule="atLeast"/>
        <w:ind w:left="720" w:hanging="360"/>
        <w:jc w:val="both"/>
        <w:rPr>
          <w:rFonts w:ascii="arial" w:eastAsia="arial" w:hAnsi="arial" w:cs="arial"/>
          <w:sz w:val="18"/>
          <w:lang w:val="en-US" w:eastAsia="en-US" w:bidi="ar-SA"/>
        </w:rPr>
      </w:pPr>
      <w:bookmarkStart w:id="333" w:name="Forward_fnref_fnr-30"/>
      <w:hyperlink w:anchor="Backward_fnref_fnr-30" w:history="1">
        <w:r>
          <w:rPr>
            <w:rFonts w:ascii="arial" w:eastAsia="arial" w:hAnsi="arial" w:cs="arial"/>
            <w:b/>
            <w:color w:val="BE161D"/>
            <w:sz w:val="18"/>
            <w:shd w:val="clear" w:color="auto" w:fill="FFFFFF"/>
            <w:lang w:val="en-US" w:eastAsia="en-US" w:bidi="ar-SA"/>
          </w:rPr>
          <w:t>30</w:t>
        </w:r>
      </w:hyperlink>
      <w:bookmarkEnd w:id="333"/>
      <w:r>
        <w:rPr>
          <w:rFonts w:ascii="arial" w:eastAsia="arial" w:hAnsi="arial" w:cs="arial"/>
          <w:sz w:val="18"/>
          <w:lang w:val="en-US" w:eastAsia="en-US" w:bidi="ar-SA"/>
        </w:rPr>
        <w:tab/>
      </w:r>
      <w:r>
        <w:rPr>
          <w:rFonts w:ascii="arial" w:eastAsia="arial" w:hAnsi="arial" w:cs="arial"/>
          <w:color w:val="6D6E71"/>
          <w:sz w:val="18"/>
          <w:lang w:val="en-US" w:eastAsia="en-US" w:bidi="ar-SA"/>
        </w:rPr>
        <w:t>Per KPMG, the capitalized cash flow approach involves capitalizing maintainable after-tax cash flow from operations. The cash flow approach to value assumes no capital cost allowance or depreciation but capitalizes maintainable earnings:</w:t>
      </w:r>
    </w:p>
    <w:p>
      <w:pPr>
        <w:numPr>
          <w:numId w:val="222"/>
        </w:numPr>
        <w:spacing w:before="120" w:after="20" w:line="240" w:lineRule="atLeast"/>
        <w:ind w:left="1080"/>
        <w:jc w:val="both"/>
        <w:rPr>
          <w:rFonts w:ascii="arial" w:eastAsia="arial" w:hAnsi="arial" w:cs="arial"/>
          <w:sz w:val="18"/>
          <w:lang w:val="en-US" w:eastAsia="en-US" w:bidi="ar-SA"/>
        </w:rPr>
      </w:pPr>
      <w:r>
        <w:rPr>
          <w:rFonts w:ascii="arial" w:eastAsia="arial" w:hAnsi="arial" w:cs="arial"/>
          <w:color w:val="000000"/>
          <w:sz w:val="18"/>
          <w:lang w:val="en-US" w:eastAsia="en-US" w:bidi="ar-SA"/>
        </w:rPr>
        <w:t>Before depreciation but after notionally assumed income tax on net income before depreciation</w:t>
      </w:r>
    </w:p>
    <w:p>
      <w:pPr>
        <w:numPr>
          <w:numId w:val="223"/>
        </w:numPr>
        <w:spacing w:before="120" w:after="20" w:line="240" w:lineRule="atLeast"/>
        <w:jc w:val="both"/>
        <w:rPr>
          <w:rFonts w:ascii="arial" w:eastAsia="arial" w:hAnsi="arial" w:cs="arial"/>
          <w:sz w:val="18"/>
          <w:lang w:val="en-US" w:eastAsia="en-US" w:bidi="ar-SA"/>
        </w:rPr>
      </w:pPr>
      <w:r>
        <w:rPr>
          <w:rFonts w:ascii="arial" w:eastAsia="arial" w:hAnsi="arial" w:cs="arial"/>
          <w:color w:val="000000"/>
          <w:sz w:val="18"/>
          <w:lang w:val="en-US" w:eastAsia="en-US" w:bidi="ar-SA"/>
        </w:rPr>
        <w:t>After sustaining capital reinvestment net of the related tax shield</w:t>
      </w:r>
    </w:p>
    <w:p>
      <w:pPr>
        <w:spacing w:before="120" w:after="20" w:line="240" w:lineRule="atLeast"/>
        <w:ind w:left="720"/>
        <w:jc w:val="both"/>
        <w:rPr>
          <w:rFonts w:ascii="arial" w:eastAsia="arial" w:hAnsi="arial" w:cs="arial"/>
          <w:sz w:val="18"/>
          <w:lang w:val="en-US" w:eastAsia="en-US" w:bidi="ar-SA"/>
        </w:rPr>
      </w:pPr>
      <w:r>
        <w:rPr>
          <w:rFonts w:ascii="arial" w:eastAsia="arial" w:hAnsi="arial" w:cs="arial"/>
          <w:color w:val="6D6E71"/>
          <w:sz w:val="18"/>
          <w:lang w:val="en-US" w:eastAsia="en-US" w:bidi="ar-SA"/>
        </w:rPr>
        <w:t xml:space="preserve"> </w:t>
      </w:r>
      <w:r>
        <w:rPr>
          <w:rFonts w:ascii="arial" w:eastAsia="arial" w:hAnsi="arial" w:cs="arial"/>
          <w:color w:val="6D6E71"/>
          <w:sz w:val="18"/>
          <w:lang w:val="en-US" w:eastAsia="en-US" w:bidi="ar-SA"/>
        </w:rPr>
        <w:t>The present values of the tax advantage accruing as a result of capital cost allowance available (the "tax shield") at the valuation date is added to the capitalized cash flow as previously defined.</w:t>
      </w:r>
    </w:p>
    <w:p>
      <w:pPr>
        <w:spacing w:before="120" w:after="20" w:line="240" w:lineRule="atLeast"/>
        <w:ind w:left="720" w:hanging="360"/>
        <w:jc w:val="both"/>
        <w:rPr>
          <w:rFonts w:ascii="arial" w:eastAsia="arial" w:hAnsi="arial" w:cs="arial"/>
          <w:sz w:val="18"/>
          <w:lang w:val="en-US" w:eastAsia="en-US" w:bidi="ar-SA"/>
        </w:rPr>
      </w:pPr>
      <w:bookmarkStart w:id="334" w:name="Forward_fnref_fnr-31"/>
      <w:hyperlink w:anchor="Backward_fnref_fnr-31" w:history="1">
        <w:r>
          <w:rPr>
            <w:rFonts w:ascii="arial" w:eastAsia="arial" w:hAnsi="arial" w:cs="arial"/>
            <w:b/>
            <w:color w:val="BE161D"/>
            <w:sz w:val="18"/>
            <w:shd w:val="clear" w:color="auto" w:fill="FFFFFF"/>
            <w:lang w:val="en-US" w:eastAsia="en-US" w:bidi="ar-SA"/>
          </w:rPr>
          <w:t>31</w:t>
        </w:r>
      </w:hyperlink>
      <w:bookmarkEnd w:id="334"/>
      <w:r>
        <w:rPr>
          <w:rFonts w:ascii="arial" w:eastAsia="arial" w:hAnsi="arial" w:cs="arial"/>
          <w:sz w:val="18"/>
          <w:lang w:val="en-US" w:eastAsia="en-US" w:bidi="ar-SA"/>
        </w:rPr>
        <w:tab/>
      </w:r>
      <w:r>
        <w:rPr>
          <w:rFonts w:ascii="arial" w:eastAsia="arial" w:hAnsi="arial" w:cs="arial"/>
          <w:color w:val="6D6E71"/>
          <w:sz w:val="18"/>
          <w:lang w:val="en-US" w:eastAsia="en-US" w:bidi="ar-SA"/>
        </w:rPr>
        <w:t>Personal Property Value ($1,360,432) [not disputed] plus Business Value ($74,489,000).</w:t>
      </w:r>
    </w:p>
    <w:p>
      <w:pPr>
        <w:spacing w:before="120" w:after="20" w:line="240" w:lineRule="atLeast"/>
        <w:ind w:left="720" w:hanging="360"/>
        <w:jc w:val="both"/>
        <w:rPr>
          <w:rFonts w:ascii="arial" w:eastAsia="arial" w:hAnsi="arial" w:cs="arial"/>
          <w:sz w:val="18"/>
          <w:lang w:val="en-US" w:eastAsia="en-US" w:bidi="ar-SA"/>
        </w:rPr>
      </w:pPr>
      <w:bookmarkStart w:id="335" w:name="Forward_fnref_fnr-32"/>
      <w:hyperlink w:anchor="Backward_fnref_fnr-32" w:history="1">
        <w:r>
          <w:rPr>
            <w:rFonts w:ascii="arial" w:eastAsia="arial" w:hAnsi="arial" w:cs="arial"/>
            <w:b/>
            <w:color w:val="BE161D"/>
            <w:sz w:val="18"/>
            <w:shd w:val="clear" w:color="auto" w:fill="FFFFFF"/>
            <w:lang w:val="en-US" w:eastAsia="en-US" w:bidi="ar-SA"/>
          </w:rPr>
          <w:t>32</w:t>
        </w:r>
      </w:hyperlink>
      <w:bookmarkEnd w:id="335"/>
      <w:r>
        <w:rPr>
          <w:rFonts w:ascii="arial" w:eastAsia="arial" w:hAnsi="arial" w:cs="arial"/>
          <w:sz w:val="18"/>
          <w:lang w:val="en-US" w:eastAsia="en-US" w:bidi="ar-SA"/>
        </w:rPr>
        <w:tab/>
      </w:r>
      <w:r>
        <w:rPr>
          <w:rFonts w:ascii="arial" w:eastAsia="arial" w:hAnsi="arial" w:cs="arial"/>
          <w:color w:val="6D6E71"/>
          <w:sz w:val="18"/>
          <w:lang w:val="en-US" w:eastAsia="en-US" w:bidi="ar-SA"/>
        </w:rPr>
        <w:t>I have not performed any precise accounting of this but for reasons that follow, a precise calculation is not necessary.</w:t>
      </w:r>
    </w:p>
    <w:p>
      <w:pPr>
        <w:spacing w:before="120" w:after="20" w:line="240" w:lineRule="atLeast"/>
        <w:ind w:left="720" w:hanging="360"/>
        <w:jc w:val="both"/>
        <w:rPr>
          <w:rFonts w:ascii="arial" w:eastAsia="arial" w:hAnsi="arial" w:cs="arial"/>
          <w:sz w:val="18"/>
          <w:lang w:val="en-US" w:eastAsia="en-US" w:bidi="ar-SA"/>
        </w:rPr>
      </w:pPr>
      <w:bookmarkStart w:id="336" w:name="Forward_fnref_fnr-33"/>
      <w:hyperlink w:anchor="Backward_fnref_fnr-33" w:history="1">
        <w:r>
          <w:rPr>
            <w:rFonts w:ascii="arial" w:eastAsia="arial" w:hAnsi="arial" w:cs="arial"/>
            <w:b/>
            <w:color w:val="BE161D"/>
            <w:sz w:val="18"/>
            <w:shd w:val="clear" w:color="auto" w:fill="FFFFFF"/>
            <w:lang w:val="en-US" w:eastAsia="en-US" w:bidi="ar-SA"/>
          </w:rPr>
          <w:t>33</w:t>
        </w:r>
      </w:hyperlink>
      <w:bookmarkEnd w:id="336"/>
      <w:r>
        <w:rPr>
          <w:rFonts w:ascii="arial" w:eastAsia="arial" w:hAnsi="arial" w:cs="arial"/>
          <w:sz w:val="18"/>
          <w:lang w:val="en-US" w:eastAsia="en-US" w:bidi="ar-SA"/>
        </w:rPr>
        <w:tab/>
      </w:r>
      <w:r>
        <w:rPr>
          <w:rFonts w:ascii="arial" w:eastAsia="arial" w:hAnsi="arial" w:cs="arial"/>
          <w:color w:val="6D6E71"/>
          <w:sz w:val="18"/>
          <w:lang w:val="en-US" w:eastAsia="en-US" w:bidi="ar-SA"/>
        </w:rPr>
        <w:t>Based on his account to the Solicitors which was in evidence in this proceeding.</w:t>
      </w:r>
    </w:p>
    <w:p>
      <w:pPr>
        <w:rPr>
          <w:rFonts w:ascii="arial" w:eastAsia="arial" w:hAnsi="arial" w:cs="arial"/>
          <w:sz w:val="18"/>
          <w:lang w:val="en-US" w:eastAsia="en-US" w:bidi="ar-SA"/>
        </w:rPr>
      </w:pPr>
    </w:p>
    <w:p>
      <w:pPr>
        <w:ind w:left="200"/>
        <w:rPr>
          <w:rFonts w:ascii="arial" w:eastAsia="arial" w:hAnsi="arial" w:cs="arial"/>
          <w:sz w:val="18"/>
          <w:lang w:val="en-US" w:eastAsia="en-US" w:bidi="ar-SA"/>
        </w:rPr>
        <w:sectPr>
          <w:type w:val="continuous"/>
          <w:pgMar w:top="840" w:right="1000" w:bottom="840" w:left="1000" w:header="400" w:footer="400"/>
          <w:pgNumType w:fmt="decimal"/>
          <w:cols w:space="720"/>
        </w:sectPr>
      </w:pPr>
      <w:r>
        <w:rPr>
          <w:rFonts w:ascii="arial" w:eastAsia="arial" w:hAnsi="arial" w:cs="arial"/>
          <w:sz w:val="18"/>
          <w:lang w:val="en-US" w:eastAsia="en-US" w:bidi="ar-SA"/>
        </w:rPr>
        <w:br/>
      </w:r>
      <w:r>
        <w:pict>
          <v:line id="_x0000_s1223" style="position:absolute;z-index:2518968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68"/>
          <w:headerReference w:type="default" r:id="rId769"/>
          <w:footerReference w:type="even" r:id="rId770"/>
          <w:footerReference w:type="default" r:id="rId771"/>
          <w:headerReference w:type="first" r:id="rId772"/>
          <w:footerReference w:type="first" r:id="rId77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74" w:history="1">
        <w:r>
          <w:rPr>
            <w:rFonts w:ascii="arial" w:eastAsia="arial" w:hAnsi="arial" w:cs="arial"/>
            <w:b/>
            <w:bCs/>
            <w:i/>
            <w:color w:val="0077CC"/>
            <w:kern w:val="32"/>
            <w:sz w:val="28"/>
            <w:szCs w:val="32"/>
            <w:u w:val="single"/>
            <w:shd w:val="clear" w:color="auto" w:fill="FFFFFF"/>
            <w:lang w:val="en-US" w:eastAsia="en-US" w:bidi="ar-SA"/>
          </w:rPr>
          <w:t>Insurance Corp. of British Columbia v. General Accident Assurance Co. of Canada, [2002] B.C.J. No. 2596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Henderson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October 31,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L013675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2596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1589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 B.C.L.R. (4th) 330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43 C.C.L.I. (3d) 254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CarswellBC 2783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120 A.C.W.S. (3d) 868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Insurance Corporation of British Columbia, petitioner, and General Accident Assurance Company of Canada and now known as CGU,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4"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37" w:name="Keywords_40"/>
      <w:bookmarkEnd w:id="337"/>
      <w:r>
        <w:rPr>
          <w:rFonts w:ascii="arial" w:eastAsia="arial" w:hAnsi="arial" w:cs="arial"/>
          <w:b/>
          <w:color w:val="000000"/>
          <w:sz w:val="20"/>
          <w:lang w:val="en-US" w:eastAsia="en-US" w:bidi="ar-SA"/>
        </w:rPr>
        <w:t>Insurance — The insurance contract — Interpretation of contract — By context — Insurers — Duties — Duty to defend — Fire insurance — Personal property coverage — Exclusions — Property coverage — Property description, ambiguity.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38" w:name="Case Summary_39"/>
            <w:bookmarkEnd w:id="33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Insurance Corporation of British Columbia for a declaration that General Accident had a duty to defend Terrace Truck. Truck owners left their trucks at Terrace Truck's repair facility. The trucks had locked toolboxes in them. General Accident insured Terrace Truck for fire damage. In the early morning hours, a fire started in the electrical system of Terrace Truck's repair facility, spread to the trucks, and destroyed them. Terrace Truck's insurance coverage with General Accident included property damage but excluded personal property. The terms were contained in clauses of a formal insurance contract. Damage to Terrace Truck's own property was dealt with in separate clauses. ICBC argued that the personal property exclusion referred only to Terrace Truck's own personal property and not the trucks and toolboxes. ICBC further argued that Terrace Truck's workers may have caused the fire and that General Accident insured the resulting losses, and that the toolboxes in the trucks were not in the care or custody of Terrace Truck. There was no mention of the possibility of employees' fault or responsibility for toolboxes in the pleadings.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39" w:name="Holdings of Court_36"/>
            <w:bookmarkEnd w:id="339"/>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reason to interpret personal property to mean Terrace Truck's own personal property rather than its normal legal meaning, as it was contained in a formal legal contract and Terrace Truck's own property was dealt with elsewhere in the contract. Given the hour of the fire it was unlikely that employees would be working at that time and be responsible for the fire, and in any case the pleadings did not raise the possibility of employees being at fault. Since the pleadings did not allege responsibility for the toolboxes, there was no claim against General Accident as being responsible for them under its care and control.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40" w:name="Counsel_41"/>
      <w:bookmarkEnd w:id="34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5"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R.F. Shirreff, for the petitioner. W.G. Neen, for the respondent.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41" w:name="Judgment_41"/>
      <w:bookmarkEnd w:id="341"/>
      <w:r>
        <w:pict>
          <v:line id="_x0000_s1226" style="position:absolute;z-index:25180364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6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42" w:name="HENDERSON J. (orally)"/>
            <w:bookmarkEnd w:id="342"/>
            <w:r>
              <w:rPr>
                <w:rFonts w:ascii="arial" w:eastAsia="arial" w:hAnsi="arial" w:cs="arial"/>
                <w:b/>
                <w:color w:val="000000"/>
                <w:sz w:val="30"/>
                <w:lang w:val="en-US" w:eastAsia="en-US" w:bidi="ar-SA"/>
              </w:rPr>
              <w:t>HENDERSON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petitioner, Insurance Corporation of British Columbia, seeks these declarations: that the respondent, General Accident Assurance Company of Canada, has a duty to defend both the personal defendants and the corporate defendant, Terrace Truck and Diesel, in B.C. Supreme Court Action No. C965785 (which is due for trial December 9, 2002) and that the respondent is obligated to contribute towards any amount of loss for which the petitioner is obligated to indemnify the defendants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action in which it is said the duty to defend arises is one in which ICBC has already undertaken that duty. The corporate defendant in the action, Terrace Truck and Diesel, was operating a truck maintenance and repair business. The pleading alleges that the various plaintiffs delivered by way of bailment certain pieces of equipment to Terrace Diesel. For the most part these are trucks and other mobile industrial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pleading goes on to say that, in the early morning of January 13, 1996, a fire was discovered burning in the premises of Terrace Truck and Diesel. There is no dispute that this fire was discovered around 4:18 a.m. The pieces of equipment belonging to the plaintiffs were, it is alleged, damaged in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pleading says (in paragraph 26) that when the fire was first discovered it was confined to the eastern section of the defendant's premises "separate from the plaintiff's equipment." Paragraph 27 goes on to say, "The fire subsequently spread throughout the building of the defendant, ultimately reaching the plaintiff's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particularization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contains a laundry list of every sort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the draftsman considered might conceivably have application after the facts became known. The focus of the inquiry at trial, however, is expected to be upon the building electrical system and whether that system had been properly maintained and inspected.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policy of insurance which is the subject of this application consists of a number of standard printed forms in several parts.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Those parts dealing with liability to third parties are found in a form entitled, "Commercial General Liability Form." That particular portion of the policy obligates the insurer to compensate the insured for losses due to bodily injury or property damage caused by an occurrence. There are a number of exclusions. The material exclusion reads as follows: (I read from clause 2(h))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Property damage to:</w:t>
      </w:r>
    </w:p>
    <w:p>
      <w:pPr>
        <w:numPr>
          <w:numId w:val="2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property you own, rent or occupy;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premises you sell, give away or abandon if the property damage arises out of any part of those premises;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property loaned to you;</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personal property in your care, custody or control;</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particular part of real property on which you or any contractor or subcontractor working directly or indirectly on your behalf is performing operations, if the property damage arises out of those operations; or</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particular part of any property that must be restored, repaired or replaced because your work was incorrectly performed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Much of this application turns on the proper interpretation of the phrase "personal property" in the exclusion I have just read.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will be seen immediately that the draftsman has used the phrase "property" in certain contexts in that exclusion and the phrase "personal property" in sub-item (iv). That was not, of course, accidental. In my view, the intent in the use of the phrase "property" was to encompass both real and personal property; the phrase "personal property" in item (iv) is intended to refer to personalty, that is to say, chattels and choses of action. In other words, it seems to me the phrase "personal property" is used here in its traditional common law sense to distinguish chattels and choses in action from real property and fixtures. It will be noted that there is no definition of the phrase "property damage" or "personal property" in the Commercial General Liability Form (to which I am referring).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reaching this conclusion, I am aware that I am failing to follow a decision of the Newfoundland Court of Appeal in Day &amp; Ross (Nfld.) Ltd. v. Insurance Corp. of Newfoundland Ltd., </w:t>
      </w:r>
      <w:hyperlink r:id="rId775" w:history="1">
        <w:r>
          <w:rPr>
            <w:rFonts w:ascii="arial" w:eastAsia="arial" w:hAnsi="arial" w:cs="arial"/>
            <w:i/>
            <w:color w:val="0077CC"/>
            <w:sz w:val="20"/>
            <w:u w:val="single"/>
            <w:shd w:val="clear" w:color="auto" w:fill="FFFFFF"/>
            <w:lang w:val="en-US" w:eastAsia="en-US" w:bidi="ar-SA"/>
          </w:rPr>
          <w:t>44 D.L.R. (4th) 343</w:t>
        </w:r>
      </w:hyperlink>
      <w:r>
        <w:rPr>
          <w:rFonts w:ascii="arial" w:eastAsia="arial" w:hAnsi="arial" w:cs="arial"/>
          <w:color w:val="000000"/>
          <w:sz w:val="20"/>
          <w:lang w:val="en-US" w:eastAsia="en-US" w:bidi="ar-SA"/>
        </w:rPr>
        <w:t>. On wording which was close to, but not identical to, what I have quoted, that court found that the phrase "personal property" meant, in the context, personal property owned by the insured (i.e. property personal to the insured entity). In reaching that conclusion, the court noted that exclusion clauses must be given a strict construction and that insurance policies, which are standard printed forms drafted by the insurer, must be construed in accordance with the contra roferentum rule. I take no issue with those fundamental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court found a degree of ambiguity in the phrase "personal property" and resolved that ambiguity against the insurer. With great respect to the Newfoundland Court of Appeal, I see no ambiguity in the phrase "personal property". It has had a long and well-known history in the law and has come to mean something quite clear and specific, at least to those with legal training. I see no justification for giving that phrase what one may call its "lay meaning" when it appears, as it does, embedded in a formal contract designed to set out the legal rights and obligations of the respective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addition, it seems to me that the draftsman would have no reason, in an exclusion of this sort, to exclude the insurer's liability to pay compensation for damage to the insured person's own, personally owned, property. This is, after all, the portion of the policy which deals with third party liability. Damage to the insured person's own personal property is dealt with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conclude that both the traditional meaning ascribed to the phrase and the context in which it is found establish that the phrase means "personalty" not "realty." I find no ambiguity in the use of the phrase in this exclusion clause. Therefore, there is nothing to construe strictly against the interests of the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That conclusion answers the first argument of the petitioner, which was a submission that the phrase "personal property" in this context is meant to exclude coverage only for property owned personally by Terrace Truck and Diesel.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second point taken by this petitioner is an argument that the duty to defend arises here because there is a possibility that the court, after trial, will find that the individual employees were working on equipment belonging to the plaintiffs at the time they caused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short answer to this is that the pleading does not allow for a finding of that sort. In any event, the fact that the fire was discovered at 4:18 a.m. makes it quite unlikely that employees were working on equipment at the time the fire was generated.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Paragraphs 26 and 27 of the statement of claim, which I have already quoted, contain a clear allegation that the fire was discovered in a section of the premises which was separate from the equipment that any of the plaintiffs had delivered by bailment into the custody of Terrace Truck. The fire subsequently spread through the building and ultimately reached that equipment. That allegation excludes the possibility that the court will be called upon to decide whether employees were working on equipment belonging to the plaintiffs at the time one or more of them caused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is true that a defendant should not be put in the position, as Mr. Shirreff said, of a prisoner of the pleadings when seeking to impose on its insurer a duty to defend. I agree with that, but the principle does not avail this petitioner in this case. Because the statement of claim is worded in the way I have quoted, there is no possibility, unless there is a very substantial amendment to the pleading, that the court will find that the fire started in the way Mr. Shirreff points to as a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For the most part, applications of this sort must be decided upon the face of the pleadings, particularly the statement of claim. It is true, however, that the pleadings should be given a generous interpretation. The question should be whether or not there is a reasonable possibility of liability of the sort covered by the policy being imposed. I take those principles from, amongst other decisions cited, American Home Assurance Co. v. Nichols, </w:t>
      </w:r>
      <w:hyperlink r:id="rId776" w:history="1">
        <w:r>
          <w:rPr>
            <w:rFonts w:ascii="arial" w:eastAsia="arial" w:hAnsi="arial" w:cs="arial"/>
            <w:i/>
            <w:color w:val="0077CC"/>
            <w:sz w:val="20"/>
            <w:u w:val="single"/>
            <w:shd w:val="clear" w:color="auto" w:fill="FFFFFF"/>
            <w:lang w:val="en-US" w:eastAsia="en-US" w:bidi="ar-SA"/>
          </w:rPr>
          <w:t>[1990] 1 S.C.R. 801</w:t>
        </w:r>
      </w:hyperlink>
      <w:r>
        <w:rPr>
          <w:rFonts w:ascii="arial" w:eastAsia="arial" w:hAnsi="arial" w:cs="arial"/>
          <w:color w:val="000000"/>
          <w:sz w:val="20"/>
          <w:lang w:val="en-US" w:eastAsia="en-US" w:bidi="ar-SA"/>
        </w:rPr>
        <w:t xml:space="preserve">, and Longarini et al v. Zuliani et al, </w:t>
      </w:r>
      <w:hyperlink r:id="rId777" w:history="1">
        <w:r>
          <w:rPr>
            <w:rFonts w:ascii="arial" w:eastAsia="arial" w:hAnsi="arial" w:cs="arial"/>
            <w:i/>
            <w:color w:val="0077CC"/>
            <w:sz w:val="20"/>
            <w:u w:val="single"/>
            <w:shd w:val="clear" w:color="auto" w:fill="FFFFFF"/>
            <w:lang w:val="en-US" w:eastAsia="en-US" w:bidi="ar-SA"/>
          </w:rPr>
          <w:t>[1994] O.J. No. 548</w:t>
        </w:r>
      </w:hyperlink>
      <w:r>
        <w:rPr>
          <w:rFonts w:ascii="arial" w:eastAsia="arial" w:hAnsi="arial" w:cs="arial"/>
          <w:color w:val="000000"/>
          <w:sz w:val="20"/>
          <w:lang w:val="en-US" w:eastAsia="en-US" w:bidi="ar-SA"/>
        </w:rPr>
        <w:t xml:space="preserve"> (Ont. C.A.). Even allowing for that generous interpretation, I do not find any reasonable possibility that the hypothesis posed by Mr. Shirreff will be embodied in a finding of fact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third point taken by the petitioner is that some of the chattels which were on the premises of Terrace Truck and Diesel may not in law have been in its care, custody and control. For example, the sort of equipment delivered by bailment to Terrace Truck would likely have toolboxes containing tools somewhere in the vehicle. These toolboxes may have been locked.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Can it be said that, in law, Terrace Truck and Diesel had the care, custody and control of the contents of a locked toolbox? Was it a bailee of such tools?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statement of claim is reasonably detailed on the question of what was delivered to the defendant and what was damaged in the fire. It itemizes a number of items of equipment and alleges that those items were delivered into the hands of Terrace Diesel by bailment. There is no allegation anywhere in the statement of claim that any property, such as tools, was on the premises but not the subject of a bailment and not in the care, custody and control of Terrace Diesel.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Again, this issue must be decided on the pleadings, read reasonably, and with some appreciation for the context in which the allegations arise. On that approach, I am not satisfied that Terrace Diesel is in jeopardy of a damage award for damage to chattels which were physically on the premises but not in their care, custody and control. I regard that possibility as mere speculation and outside the scope of the case as it is presently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For these reasons, the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(DISCUSSION BETWEEN THE COURT AND COUNSEL 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COURT: I am certainly very far from criticizing your bringing of the application. It presented several arguable points. I think, however, that costs have to follow the event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respondent may have its costs on Scale 3 in any event of the cause, payable forthwith.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is clear to me that the petitioners would have the right to come back here if the pleading changes or if the evidence reveals significant departures from the pleaded facts which call the correctness of my present decision into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HENDERSON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7" style="position:absolute;z-index:251853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8"/>
          <w:headerReference w:type="default" r:id="rId779"/>
          <w:footerReference w:type="even" r:id="rId780"/>
          <w:footerReference w:type="default" r:id="rId781"/>
          <w:headerReference w:type="first" r:id="rId782"/>
          <w:footerReference w:type="first" r:id="rId78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784" w:history="1">
        <w:r>
          <w:rPr>
            <w:rFonts w:ascii="arial" w:eastAsia="arial" w:hAnsi="arial" w:cs="arial"/>
            <w:b/>
            <w:bCs/>
            <w:i/>
            <w:color w:val="0077CC"/>
            <w:kern w:val="32"/>
            <w:sz w:val="28"/>
            <w:szCs w:val="32"/>
            <w:u w:val="single"/>
            <w:shd w:val="clear" w:color="auto" w:fill="FFFFFF"/>
            <w:lang w:val="en-US" w:eastAsia="en-US" w:bidi="ar-SA"/>
          </w:rPr>
          <w:t>J.S. (Guardian ad litem of) v. D.S., [2001] B.C.J. No. 2383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Scarth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Heard: November 7, 2001.</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November 8, 2001.</w:t>
      </w:r>
    </w:p>
    <w:p>
      <w:pPr>
        <w:spacing w:before="120" w:line="260" w:lineRule="atLeast"/>
        <w:jc w:val="center"/>
        <w:rPr>
          <w:lang w:val="en-US" w:eastAsia="en-US" w:bidi="ar-SA"/>
        </w:rPr>
      </w:pPr>
      <w:r>
        <w:rPr>
          <w:rFonts w:ascii="arial" w:eastAsia="arial" w:hAnsi="arial" w:cs="arial"/>
          <w:color w:val="000000"/>
          <w:sz w:val="20"/>
          <w:lang w:val="en-US" w:eastAsia="en-US" w:bidi="ar-SA"/>
        </w:rPr>
        <w:t>Victoria Registry No. 00/0325</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[2001] B.C.J. No. 2383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2001 BCSC 1564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109 A.C.W.S. (3d) 221</w:t>
      </w:r>
    </w:p>
    <w:p>
      <w:pPr>
        <w:spacing w:before="120" w:line="260" w:lineRule="atLeast"/>
        <w:rPr>
          <w:lang w:val="en-US" w:eastAsia="en-US" w:bidi="ar-SA"/>
        </w:rPr>
      </w:pPr>
      <w:r>
        <w:rPr>
          <w:rFonts w:ascii="arial" w:eastAsia="arial" w:hAnsi="arial" w:cs="arial"/>
          <w:color w:val="000000"/>
          <w:sz w:val="20"/>
          <w:lang w:val="en-US" w:eastAsia="en-US" w:bidi="ar-SA"/>
        </w:rPr>
        <w:t>Between J.S., an infant, by her Guardian ad litem, D.S., plaintiff, and D.S. and Her Majesty the Queen in the Right of the Province of British Columbia,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(12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28" style="position:absolute;z-index:25170227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343" w:name="Keywords_41"/>
      <w:bookmarkEnd w:id="343"/>
      <w:r>
        <w:rPr>
          <w:rFonts w:ascii="arial" w:eastAsia="arial" w:hAnsi="arial" w:cs="arial"/>
          <w:b/>
          <w:color w:val="000000"/>
          <w:sz w:val="20"/>
          <w:lang w:val="en-US" w:eastAsia="en-US" w:bidi="ar-SA"/>
        </w:rPr>
        <w:t>Practice — Discovery — Interpretation of discovery rules — Examination, persons who may be examined — Parties — Order for examination for discovery.</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344" w:name="Case Summary_40"/>
            <w:bookmarkEnd w:id="344"/>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British Columbia, one of the defendants, for an order pursuant to Rule 27 of the British Columbia Supreme Court Rules that the defendant and third party, DS, attend examinations for discovery or be examined under oath pursuant to Rule 28. Rule 27 only applied if DS was a party adverse in interest to the Crown. The plaintiff, JS, was apprehended at the age of 17 months and placed in the foster care of DS for approximately two months. JS filed a statement of claim against DS and British Columbia alleging that DS assaulted him and the Crown was vicariously liable or negligent for failing to protect him. British Columbia filed a statement of defence denying liability and pleading that, if JS was abused, only DS was liable. British Columbia also filed a third party notice against DS claiming contribution and indemnity. DS filed a statement of defence denying JS's allegations, but she later withdrew it. After DS's withdrawal, JS obtained default judgment against her. </w:t>
            </w:r>
            <w:r>
              <w:rPr>
                <w:lang w:val="en-US" w:eastAsia="en-US" w:bidi="ar-SA"/>
              </w:rPr>
              <w:cr/>
            </w:r>
          </w:p>
          <w:p>
            <w:pPr>
              <w:spacing w:before="120" w:line="260" w:lineRule="atLeast"/>
              <w:ind w:left="240"/>
              <w:jc w:val="both"/>
              <w:rPr>
                <w:lang w:val="en-US" w:eastAsia="en-US" w:bidi="ar-SA"/>
              </w:rPr>
            </w:pPr>
            <w:bookmarkStart w:id="345" w:name="Holdings of Court_37"/>
            <w:bookmarkEnd w:id="345"/>
            <w:r>
              <w:rPr>
                <w:rFonts w:ascii="arial" w:eastAsia="arial" w:hAnsi="arial" w:cs="arial"/>
                <w:color w:val="000000"/>
                <w:sz w:val="20"/>
                <w:lang w:val="en-US" w:eastAsia="en-US" w:bidi="ar-SA"/>
              </w:rPr>
              <w:t>HELD: Application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Under Rule 27, DS was directed to appear for examination for discovery by British Columbia. Because of her withdrawal of her statement of defence and the entry of default judgment against her, DS was deemed to have admitted the allegations against her in the statement of claim. Since British Columbia argued that only DS was liable for her actions, DS and British Columbia were adverse in interest. Rule 28 did not apply because DS was a party to the action. </w:t>
            </w:r>
            <w:r>
              <w:rPr>
                <w:lang w:val="en-US" w:eastAsia="en-US" w:bidi="ar-SA"/>
              </w:rPr>
              <w:cr/>
            </w:r>
          </w:p>
          <w:p>
            <w:pPr>
              <w:rPr>
                <w:lang w:val="en-US" w:eastAsia="en-US" w:bidi="ar-SA"/>
              </w:rPr>
            </w:pPr>
          </w:p>
        </w:tc>
      </w:tr>
    </w:tbl>
    <w:p>
      <w:pPr>
        <w:jc w:val="both"/>
        <w:rPr>
          <w:lang w:val="en-US" w:eastAsia="en-US" w:bidi="ar-SA"/>
        </w:rPr>
      </w:pPr>
      <w:bookmarkStart w:id="346" w:name="Legislation Cited_27"/>
      <w:bookmarkEnd w:id="34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29" style="position:absolute;z-index:25175347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Rules 27, 27(3), 28.</w:t>
      </w:r>
      <w:r>
        <w:rPr>
          <w:lang w:val="en-US" w:eastAsia="en-US" w:bidi="ar-SA"/>
        </w:rPr>
        <w:cr/>
      </w:r>
    </w:p>
    <w:p>
      <w:pPr>
        <w:keepNext/>
        <w:spacing w:before="240" w:line="340" w:lineRule="atLeast"/>
        <w:rPr>
          <w:lang w:val="en-US" w:eastAsia="en-US" w:bidi="ar-SA"/>
        </w:rPr>
      </w:pPr>
      <w:bookmarkStart w:id="347" w:name="Counsel_42"/>
      <w:bookmarkEnd w:id="347"/>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30" style="position:absolute;z-index:25180467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Daniel D.M. Gelb, for the plaintiff. Leanne D. Johnston, for the Crown. Robert S. Fleming, for the defendant/third party, D.S.</w:t>
      </w:r>
      <w:r>
        <w:rPr>
          <w:lang w:val="en-US" w:eastAsia="en-US" w:bidi="ar-SA"/>
        </w:rPr>
        <w:cr/>
      </w:r>
    </w:p>
    <w:p>
      <w:pPr>
        <w:spacing w:after="240"/>
        <w:rPr>
          <w:lang w:val="en-US" w:eastAsia="en-US" w:bidi="ar-SA"/>
        </w:rPr>
      </w:pPr>
      <w:bookmarkStart w:id="348" w:name="Judgment_42"/>
      <w:bookmarkEnd w:id="348"/>
      <w:r>
        <w:pict>
          <v:line id="_x0000_s1231" style="position:absolute;z-index:251854848"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49" w:name="SCARTH J."/>
            <w:bookmarkEnd w:id="349"/>
            <w:r>
              <w:rPr>
                <w:rFonts w:ascii="arial" w:eastAsia="arial" w:hAnsi="arial" w:cs="arial"/>
                <w:b/>
                <w:color w:val="000000"/>
                <w:sz w:val="30"/>
                <w:lang w:val="en-US" w:eastAsia="en-US" w:bidi="ar-SA"/>
              </w:rPr>
              <w:t>SCARTH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defendant Crown in Right of British Columbia for an order under Rule 27 of the Rules of Court that the defendant/third party - D.S. - appear to be examined for discovery by counsel for the Crown, or in the alternative, be examined on oath pursuant to Rule 28.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conclude that Rule 28 does not apply because Ms. D.S. is a party to the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question under Rule 27 is whether under subrule (3) Ms. D.S. is a party adverse in interest to the Crown. I conclude Ms. D.S. is a party adverse in interest to the Crown given the following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 J.S. was apprehended at the age of 17 months and placed in the foster care of Ms. D.S. from March 7, 1997 to May 3, 1997. It is alleged in the statement of claim that the plaintiff was assaulted by Ms. D.S. whilst the child was in her care or that Ms. D.S. was negligent in failing to protect J.S. from being injured. The Crown, amongst other things, is alleged to be vicariously liable or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placing J.S. with Ms. D.S. and in failing to supervise her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its statement of defence filed on March 1, 2000 the Crown denies liability. It pleads that if the plaintiff was abused by Ms. D.S. and suffered damages as a result then in law Ms. D.S. is liable to the plaintiff and not the Crown. The Crown, on April 17, 2001, filed a third party notice against Ms. D.S. claiming contribution and indemnity.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D.S. filed a statement of defence to the plaintiff's claim on March 14, 2000. In that pleading, amongst other things, she denies assaulting the plaintiff or being negligent in her care of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is plain that both the Crown and Ms. D.S. have a mutuality of interest in establishing that Ms. D.S. neither assaulted the plaintiff nor was negligent in her care of the child. Viewed from that perspective the Crown and defendant/third party Ms. D.S. are not adverse in interest.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Nonetheless, on June 12, 2001 Ms. D.S. filed a notice of withdrawal of her statement of defence and, on July 16, 2001 the plaintiff recovered default judgment against Ms. D.S. on the basis she had failed to file and deliver a statement of defence within the time allowed. Damages and costs are to be assessed.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adversity in interest arises, in my view, because Ms. D.S. has withdrawn her statement of defence. Referring to I.C.BC. v. Sam, </w:t>
      </w:r>
      <w:hyperlink r:id="rId785" w:history="1">
        <w:r>
          <w:rPr>
            <w:rFonts w:ascii="arial" w:eastAsia="arial" w:hAnsi="arial" w:cs="arial"/>
            <w:i/>
            <w:color w:val="0077CC"/>
            <w:sz w:val="20"/>
            <w:u w:val="single"/>
            <w:shd w:val="clear" w:color="auto" w:fill="FFFFFF"/>
            <w:lang w:val="en-US" w:eastAsia="en-US" w:bidi="ar-SA"/>
          </w:rPr>
          <w:t>[1998] B.C.J. No. 947</w:t>
        </w:r>
      </w:hyperlink>
      <w:r>
        <w:rPr>
          <w:rFonts w:ascii="arial" w:eastAsia="arial" w:hAnsi="arial" w:cs="arial"/>
          <w:color w:val="000000"/>
          <w:sz w:val="20"/>
          <w:lang w:val="en-US" w:eastAsia="en-US" w:bidi="ar-SA"/>
        </w:rPr>
        <w:t xml:space="preserve">, Mr. Gelb, for the plaintiff, and Mr. Fleming, for Ms. D.S., argue that by virtue of the withdrawal of her statement of defence and entry of the default judgment Ms. D.S. is deemed to admit the allegations against her in the statement of claim including the allegations of assault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 Mr. Justice Coultas stated in I.C.B.C. v. Sam, para. 24:</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in this case, ICBC has already obtained default judgment against half of the defendants. Those defendants have, therefore, been deemed to have admitted the allegations made against them.</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This plainly creates an adversity in interest between Ms. D.S. and the Crown.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Fleming submits that Ms. D.S. is prejudiced by an order compelling her discovery because the application is made less than two weeks before the trial and without timely disclosure of the police file. Mr. Fleming says further that although the Crown has stated it will not charge Ms. D.S. criminally she remains exposed to that risk if she is deprived of her right to remain silent through the discovery process.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conclude those matters in the circumstances should not preclude the Crown's discovery of Ms. 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defendant/third party Ms. D.S. is directed to appear on Wednesday, November 14, 2001 as arranged by counsel for her examination for discovery by counsel for the Crown.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SCARTH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890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86"/>
          <w:headerReference w:type="default" r:id="rId787"/>
          <w:footerReference w:type="even" r:id="rId788"/>
          <w:footerReference w:type="default" r:id="rId789"/>
          <w:headerReference w:type="first" r:id="rId790"/>
          <w:footerReference w:type="first" r:id="rId79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92" w:history="1">
        <w:r>
          <w:rPr>
            <w:rFonts w:ascii="arial" w:eastAsia="arial" w:hAnsi="arial" w:cs="arial"/>
            <w:b/>
            <w:bCs/>
            <w:i/>
            <w:color w:val="0077CC"/>
            <w:kern w:val="32"/>
            <w:sz w:val="28"/>
            <w:szCs w:val="32"/>
            <w:u w:val="single"/>
            <w:shd w:val="clear" w:color="auto" w:fill="FFFFFF"/>
            <w:lang w:val="en-US" w:eastAsia="en-US" w:bidi="ar-SA"/>
          </w:rPr>
          <w:t>Kalmbach v. Diemert, [2000] B.C.J. No. 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Dawson Creek,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29, 30, July 6 - 8 and July 27 - 29, 1999.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5,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Dawson Creek Registry No. 12316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46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Richard Ernest Kalmbach and Phyllis Arla Kalmbach, plaintiffs, and Brian Douglas Diemert and Darlene Grace Diemert,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3"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50" w:name="Keywords_42"/>
      <w:bookmarkEnd w:id="350"/>
      <w:r>
        <w:rPr>
          <w:rFonts w:ascii="arial" w:eastAsia="arial" w:hAnsi="arial" w:cs="arial"/>
          <w:b/>
          <w:color w:val="000000"/>
          <w:sz w:val="20"/>
          <w:lang w:val="en-US" w:eastAsia="en-US" w:bidi="ar-SA"/>
        </w:rPr>
        <w:t xml:space="preserve">Sale of land — Remedies of purchaser — Damages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misrepresentation — Concealment of defects.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51" w:name="Case Summary_41"/>
            <w:bookmarkEnd w:id="35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Kalmbachs against the Diemerts for damages for fraudulent misrepresentation. In 1996,the Kalmbachs bought a rural home from the Diemerts. After seeing the home for the first time, the Kalmbachs made a written offer in the standard form of a contract of purchase and sale. The Diemerts accepted the offer the next day. The Kalmbachs experienced serious roof leaks during their first winter in the home. In addition, water began to flow through the ceiling in the garage, the water softener did not function properly, and there were problems with the surrounding ground water. The Kalmbachs claimed that they were induced into entering the contract of purchase and sale due to representations made by the Diemerts in a listing agreement, in a property disclosure statement and orally prior to the completion of the sale. Several experts testified as to the structural conditions of the house.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52" w:name="Holdings of Court_38"/>
            <w:bookmarkEnd w:id="352"/>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Kalmbachs failed to prove inducement or that the representations were fraudulently made. The garage roof leak was not a recent or ongoing problem and therefore there was no reason for the Diemerts to disclose it. Based on the expert evidence, the structural defects in the roof were not known to the Diemerts at the time of the contract. The Kalmbachs had a duty to monitor the performance of the roof and take such action as was necessary to prevent the build-up of ice, which they failed to do. The Kalmbachs did not prove that anything was wrong with the water supply other than disuse and ordinary depreciation. No misrepresentations were made as to the condition of the water systems, the water conditioner, or the ground water. The Kalmbachs purchased the house after one incomplete visual inspection, and chose to make an offer without further inquiry.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53" w:name="Counsel_43"/>
      <w:bookmarkEnd w:id="35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4"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Dennis J. Mitchell, Q.C., and A. Vandersluys, for the plaintiffs. Gary J. Higson,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54" w:name="Judgment_43"/>
      <w:bookmarkEnd w:id="354"/>
      <w:r>
        <w:pict>
          <v:line id="_x0000_s1235" style="position:absolute;z-index:25180569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3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55" w:name="LOW J."/>
            <w:bookmarkEnd w:id="355"/>
            <w:r>
              <w:rPr>
                <w:rFonts w:ascii="arial" w:eastAsia="arial" w:hAnsi="arial" w:cs="arial"/>
                <w:b/>
                <w:color w:val="000000"/>
                <w:sz w:val="30"/>
                <w:lang w:val="en-US" w:eastAsia="en-US" w:bidi="ar-SA"/>
              </w:rPr>
              <w:t>LOW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1996, the plaintiffs, Richard and Phyllis Kalmbach, bought a rural home on small acreage near Pouce Coupe, British Columbia, from the defendants, Brian and Darlene Diemert. Problems with the roof structure of the home led to this action in which the plaintiffs claim damages for fraudulent misrepresentation as to the condition of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plead that they were induced "to make and complete the ... contract" by the following representations (paragraph 5 of the statement of claim):</w:t>
      </w:r>
      <w:r>
        <w:rPr>
          <w:rFonts w:ascii="arial" w:eastAsia="arial" w:hAnsi="arial" w:cs="arial"/>
          <w:sz w:val="20"/>
          <w:lang w:val="en-US" w:eastAsia="en-US" w:bidi="ar-SA"/>
        </w:rPr>
        <w:cr/>
      </w:r>
    </w:p>
    <w:p>
      <w:pPr>
        <w:numPr>
          <w:numId w:val="2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were (sic) no leaking from the roof of the structure in the eleven years that the Defendants lived in the lands; except for once during a heavy rain in early July, 1996 when a small drip developed around the range hood in the Kitchen, and further that the roof on the Lands was only three years old;</w:t>
      </w:r>
    </w:p>
    <w:p>
      <w:pPr>
        <w:numPr>
          <w:numId w:val="2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were two pressure systems and a water softener; and</w:t>
      </w:r>
    </w:p>
    <w:p>
      <w:pPr>
        <w:numPr>
          <w:numId w:val="2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were no water problems in or around the house on the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plead that these representations were made in a listing agreement, in a property disclosure statement and orally by the defendants to the plaintiffs prior to completion of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Paragraph 7 of the statement of claim pleads that the representation were untrue in the following particulars: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roof on the Lands leaks and is improperly designed and must be totally replaced;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two water systems and the water conditioner are such that only one system works and that system only lasted four months and had to be totally replaced. The water softener does not work and had obviously not worked for a considerable length of time and had to be replaced;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Water has entered the garage area and crawl space damaging the southwest wall of the house; and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Sewer line had to be replaced.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paragraph 8 the plaintiffs plead that the defendants made the untrue representations fraudulently, either knowing they were untrue or recklessly.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 prayer for relief they sought rescission but have abandoned that remedy. They now pursue their claim for damages for fraudulent misrepresentation. The pleading with respect to the sewer line has not been pursued at trial. There is no evidence of oral representations by the defendants as to the condition of the roof. All statements made about the roof are to be found in the property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do not plead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their statement of defence, the defendants deny that they made any representation "with respect to the roof in order to induce the Plaintiffs to purchase the lands". They admit making representations with respect to the two water systems and a water softener, but plead that the systems were working and that they made no representation and gave no warranty as to the condition of the systems in the future. They admit that the water softener had been disconnected but say that it was working before being disconnected and they were unaware of any problem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defendants deny that they made any representation about ground water. They deny being aware of any leaks or design problems with the roof. They say that any leaks were the result of the plaintiffs not taking reasonable preventive action. They make the same pleading with respect to any ground water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To succeed on a claim of civil fraud the plaintiffs must prove that they were induced into entering into the contract by a fraudulent misrepresentation by the defendants. In the leading case of Derry v. Peek (1889), 14 App. Cas. 337 at 374, Lord Herschell defined fraud thus: "... fraud is proved when it is shown that a false representation has been made, (i) knowingly, or (ii) without belief in its truth, or (iii) recklessly, careless whether it be true or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a number of other cases it has been held that fraud can be established by proof of active concealment of a defect in the thing being sold or by a deliberate suppression of information: see for example Allen v. McCutcheon </w:t>
      </w:r>
      <w:hyperlink r:id="rId793" w:history="1">
        <w:r>
          <w:rPr>
            <w:rFonts w:ascii="arial" w:eastAsia="arial" w:hAnsi="arial" w:cs="arial"/>
            <w:i/>
            <w:color w:val="0077CC"/>
            <w:sz w:val="20"/>
            <w:u w:val="single"/>
            <w:shd w:val="clear" w:color="auto" w:fill="FFFFFF"/>
            <w:lang w:val="en-US" w:eastAsia="en-US" w:bidi="ar-SA"/>
          </w:rPr>
          <w:t>(1979), 10 B.C.L.R. 149</w:t>
        </w:r>
      </w:hyperlink>
      <w:r>
        <w:rPr>
          <w:rFonts w:ascii="arial" w:eastAsia="arial" w:hAnsi="arial" w:cs="arial"/>
          <w:color w:val="000000"/>
          <w:sz w:val="20"/>
          <w:lang w:val="en-US" w:eastAsia="en-US" w:bidi="ar-SA"/>
        </w:rPr>
        <w:t>. The cases make it clear that fraud involves deliberate intent or a wicked or guilty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After unsuccessfully trying to sell their home privately, the defendants listed it on July 20, 1996 with Loiselle Realty Ltd. in Dawson Creek for $198,000. The listing realtor was Linda Goodridge. At the same time, Mr. Diemert completed a "Property Condition Disclosure Statement" which requires answers to a number of questions about the features and condition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11a</w:t>
      </w:r>
      <w:r>
        <w:rPr>
          <w:rFonts w:ascii="arial" w:eastAsia="arial" w:hAnsi="arial" w:cs="arial"/>
          <w:color w:val="000000"/>
          <w:sz w:val="20"/>
          <w:lang w:val="en-US" w:eastAsia="en-US" w:bidi="ar-SA"/>
        </w:rPr>
        <w:t>  Question J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Are you aware of any moisture and/or water problems in basement or crawl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To that question, Mr. Diemert initialled the column headed "No".</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[The Court also numbered this paragraph "10". Quicklaw has assigned the number 11a.]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Question L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Are you aware of any roof leakage or unrepaired damage? (Age of roof if known: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To that question, Mr. Diemert wrote in the figure "3" to indicate the age of the roof and initialled the column headed "Yes". In a space below for comments or explanations, he wrote:</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leaks in past 11 years living here; except for once during heavy rain (3 or 4 days long) in early July/96. A small drip developed around range hood in kitchen. Roofer will inspect and advise repair to be made to correct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Another realtor, Melvin Modien, showed the premises to the plaintiffs on August 2, 1996. They toured the house and yard but apparently made no close inspections. They did not then see the disclosure statement. They saw a listing information sheet which includes under "Listed Features" the following: " ... water softener, filter systems, 2 pressure systems". The defendants agree that in providing this information to their realtor for this document they intended to tell prospective purchasers that these features were in working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the same day, through Mr. Modien, the plaintiffs made a written offer in the form of a standard contract of purchase and sale at a price of $189,000. The defendants accepted the offer the next day. The day after that, August 4th, Mrs. Kalmbach received a copy of the disclosure statement. Mr. Kalmbach did not see it until August 14th when he returned from a business trip. The contract was not made subject to any further inspection of the premises by the plaintiffs or anybody on their behalf. The only condition precedent was a clause making the contract subject to the plaintiffs securing a mortgage by August 9th. On August 8th that clause was removed in writing by a document signed by all four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transaction closed on September 13th and the plaintiffs took possession on the 15th after giving the defendants a couple of extra days to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HISTORY AND ROOF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age of the house is not known. It is in a rural area and no municipal records exist to establish when it was built. It is more than thirty years old, perhaps forty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house is of standard woodframe construction. It has a partial basement and an attic. There was an extension of the entire north end. Later still, a large family room was added off the south wall on the east side, adjacent to the dining room. Finally, a large garage and storage area was added abutting the family room on its west end and abutting the south wall of the original house on its north side. Stairs from the kitchen near the southwest corner of the original house lead to a rear-entrance foyer in this area. The back door to the house is on the north wall of the garage adjacent to the southwest corner of the original house. The garage extends well beyond the west wall of the original house. The family room extends beyond the south wall of the garage. The result is a house of irregular shape which defies clear geometric description.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is not known when each addition was done. They were all done before the defendants bought the house in April, 1987.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roof is even more difficult to describe physically. In the original part of the house, the peak of the roof runs north and south. There is a small dormer roof over the front entrance in the center of the east wall. On the west side of the original house, over an attic bedroom and the kitchen below, is a much larger dormer roof. It is at the southwest of the original house and also extends over the rear-entrance foyer at that corner. The southern slope of that dormer roof overhangs the northeast corner of the garage roof. The garage roof is flat and has a tar-and-gravel surface. The rest of the roof is covered with asphalt shingles.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peak of the roof over the family room also runs north and south. It is a little lower than the roof over the main part of the house. Its west slope overhangs the east end of the flat garage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Stairs in approximately the center of the main part of the house lead to the attic above the original part of the house and the first extension (north end of the house). When the plaintiffs purchased the house, the attic had three bedrooms, a common area and a small storage area. Along the entire east wall (above - from north to south - the master bedroom, the living room, the front entrance and the dining room) there is space rendered unusable by the slope of the roof. The large dormer roof on the west wall (above - from south to north - the rear entrance, the kitchen) permits space for one of the attic bedrooms, on either side of which the slopes of the roof structure create unusable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experienced serious roof leaks during their first winter in the home. Over the laundry room (northwest corner of the house adjacent to the kitchen) is a ventilation device described in the evidence as a "whirlybird". Not long before the sale of property, Mr. Diemert installed this device into the roof, an event I will return to. In January, 1997 Mr. Kalmbach discovered water coming through the ceiling into the laundry room directly under the whirlybird. He went onto the roof and discovered an ice build-up in the roof valley south of the whirlybird. That valley is formed by the west slope of the main roof and the north slope of the large dormer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next leak was down the center of the east wall in the family room. There was a valance across the full length of that wall and the leak was not detected until the water ran below the bottom of the valance. Mr. Kalmbach found water pooled on the east slope of the roof over the family room next to another ice dam.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third and worst problem was a massive leak into the rear-entry foyer. There was ice build-up on the south slope of the large dormer roof where it overhangs the flat garage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To stop the leaks, Mr. Kalmbach did a number of things; he applied salt to the ice; he chipped some of the ice away; he shovelled snow off the roof; and he installed electrical de-icing cable along the critical areas of roof to prevent ice forming in those areas. His efforts were successful and continued shovelling of the snow off the roof prevented recurrence of the leaks.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was a fourth problem area unrelated to the other three. Water began to flow through the pegboard ceiling in the garage. There was a collector drain in the center of the garage that led to a 4" plastic pipe. The pipe ran under the roof and parallel to it. It extended from the center drain to the west wall of the garage where it entered a downpipe. Mr. Kalmbach determined that the leak was around the collector drain. Insulation had been installed below the water pipe only. That caused ice to form in the pipe and water to back up creating an overflow at the drain that eventually leaked down to and through the garage ceiling. To cope with this problem Mr. Kalmbach kept the garage roof clear of snow.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Diemert testified that he experienced a leak through the garage ceiling from the center drain in the roof during the spring of 1995. When he opened the ceiling up at that point he found that a boot attached to the top of the pipe had come loose. It was supposed to be secured tightly to the drain. He secured it again and also put in a support for the pipe to prevent it shifting down again. Following this repair, he experienced no more leaks in that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accept Mr. Diemert's evidence about the problem with the garage roof drain. It was not a recent or ongoing problem and there was no need to disclose it in the property disclosure statement. In any event, it was not a roof leak since it originated under the surface of the roof. The difficulties Mr. Kalmbach experienced with the garage roof were quite different. Mr. Diemert shovelled the snow off the garage roof and Mr. Kalmbach did not. That, together with the insulation being placed on the wrong side, must have been why ice formed in the pipe and caused the water to back up and eventually leak into the garage. There is no reason to believe that the repositioning of the insulation around the pipe did not solve the problem for Mr. Kalmbach. It is also significant that the defendants kept the garage unheated. The plaintiffs converted the garage into office and storage rooms and kept it heated. If heat escaping through the roof caused or contributed to the problem experience by the plaintiffs, that is a result of their different use of the area and the defendants neither experienced it nor knew about its potential.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Brad Shipton, a graduate engineer taking his professional training with G. H. Cook Associates Inc. in Dawson Creek, inspected the house on April 22, 1997 and prepared a report on May 2, 1997. It is from this report that the structural history of the house is determined. His opinion as to the cause of the roof leaks is not disputed by the defendants. He was the only expert to provide opinion evidence about the condition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Shipton identified two problems with the roof structure. The first problem is that the three phases of construction (ie., including the family room but not the garage and storage area) have roof rafters "beyond an acceptable distance, bearing on partition walls". It is clear from the whole of the evidence that this was a defect not visible to or known by the defendants until they saw Mr. Shipton's report. The defendants made no representation about this aspect of the roof structure. It has nothing to do with the leaking.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page 2 of his report, Mr. Shipton describes the other problem: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To gain additional space the original owner constructed a second storey in the roof space therefore the underside of the majority of the rafters was covered with drywall and 4" of insulation is between the rafters. This is an extremely poor system for the following reasons: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air space between the insulation, and the 1"x6" shiplap. The insulation actually partially compressed in this space. By compressing insulation the efficiency of the insulation is reduced as well as the venting is significantly reduced.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Four inches of fiberglass insulation, R12, is insufficient for our northern climate. The minimum allowable in accordance with current regulations is R44, approximately 8" of fiberglass insulation. Insufficient insulation leads only to inflated heating costs.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Venting is provided at the soffits only. Continuous ridge venting should have been used. Adequate venting for a system such as this is extremely important. In essence the venting ensures that the space above the insulation is maintained at temperatures below zero during the winter months. Without adequate venting the temperature of the underside of the shiplap covering is above freezing therefore the snow above the shingles melts. Once snow accumulates on the roof it acts as insulation therefore water melts and freezes between the shingles and snow and over time leads to an ice dam. In this instance, without adequate venting or adequate insulation, the heat loss through the roof is so great that the potential for very large ice dams exist. Based on our discussions with the present owner this is indeed the case. This fact is also confirmed by the extensive amount of heat tape that was required to reduce the ice on the roof, Ice dams are problematic for two reasons. The first being that they provide access for water to seep under the tabs of the shingles and secondly they overload a roof structure. The load increase can potentially be enough to cause a collapse.</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vapor barrier was installed to the underside of the rafters.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rafters span too far in a number of areas.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of these facts coupled together lead to [an] inefficient roof system that has caused leakage inside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repeat that the fifth point Mr. Shipton makes - the extra spanning of some of the rafters - is not a contributing factor to the leaking. It may be a problem with the structural integrity of the roof but, as already stated, it is not something the defendants were aware of. It is a separate and distinct problem from the leaking.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Another witness, Todd Dalke, a certified property appraiser, testified about his knowledge of ice build-up on the roofs of older houses in the north. He gave the following evidence (transcript, p.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see lots of houses or has it come to your attention a lot of the houses you've appraised that there's under insulated roofs?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Oh in the 30 to 40 year age, the most of the houses are going to be under insulated to present standard. To standard when they were built, they would e fine but to present standard now you have to have 2 by 6 construction in walls for your R factor and most of the 30 year old houses, including my own, are 2 by 4, so you don't have the --- you have enough insulation for standard then but not for any more. So 2 by 4 construction can still be built, but due to our cold weather in the Dawson Creek, the north area, 2 by 4 construction --- you could build 2 by 4 construction if you could get enough insulation in. You can't so you have to go with 2 by 6. And I believe that came around in 1978 or so, I was talking with the building --- the old building inspector a while back, just talking, he had a house in town that was similar to that was built with 2 by 4 construction and it was built prior to the changeover for 2 by 6.</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houses like that, 30 to 40 years old, 2 by 4 construction on the roof, is heat loss through the roof a problem?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Generally.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could lead to snow melting on the roof?</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More than likely.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ice build-up on the roof?</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it's not monitored, 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By monitored, what do you mean?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you've got a lot of snow on there and things start to warm up, if somebody hasn't gone out --- if you've got a lot of valleys or if you haven't kept the snow off, you can get build up there. Usually typically get it where it's run down because you'll warm up and them you'll freeze again at night and you typically get it along your eavestroughing.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by monitoring you mean clean off the roof?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you don't have to actually clean off the entire roof, roof rakes, clean back 2 feet from the eavestrough. And then that will allow for any increase in temperature from when the snow starts to melt, the water can run, there's nothing blocking the eavestrough to freeze up again, the water runs down and away. When it freezes again at night, there's nothing there to freeze inside the eavestrough, that water is gone.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prevent the ice build up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 yeah, and living in the north most people take care of that. They understand that it's a hazard with chinooks and you know, you wake up one morning, it's 40 below, by 12:00 o'clock its 10 above and then it's 40 below again that night.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it's pretty common roof maintenance in this country to clean off your roof or parts of your roof.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should be, yes. 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Melvin Hoffart is the manager of a roofing company and a roofer by trade. He inspected the roof during the first winter when the plaintiffs' problems began. His concern about the ability of the roof to bear a snow load led to a recommendation that the plaintiffs consult a structural engineer, hence the involvement of Mr. Shipton. Mr. Hoffart also knows about ice dams and gave the following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Let me stop you right there. What is an ice dam problem?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 ice dam problem. An ice dam problem means that you're going to have icicles and ice hanging at the eaves of the roof. It is caused by snow melting on the roof, running down the roof until it gets to the overhang, whereupon at the overhang there is no longer any heat loss from the building that can continue to melt the snow, it freezes and it builds up thicker and thicker until the point where it dams the water, the water backs up under the shingles and comes into the building...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is established by Mr. Shipton's evidence that the design of the roof structure made it impossible for there to be sufficient insulation to prevent heat loss through the roof. In addition, there was inadequate venting. The prevention of heat loss through the roof is the product of both sufficient insulation and proper venting. The heat loss caused snow to melt and the water to run down the roof. When the water got near the edge of the roof it froze, there being no heat loss through the overhang of the roof. Ice built up, particularly in the roof valleys, creating ice dams. Eventually, the water was forced under the shingles above the ice dam and it leaked into the house. It is established by the evidence of Mr. Dalke that this is not an unusual occurrence in older houses and is prevented by removal of snow from the roof, particularly at the lower levels of the roof. However, Mr. Hoffart testified that ice-dam problems are the exception rather than the rule and snow removal is usually only necessary when that problem exists. It is not routinely done. From the whole of this evidence, I conclude that the owner of an older house in a northern climate should monitor the performance of the roof and take such action as may be necessary to prevent the build-up of ice. The plaintiffs did not do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Kalmbach removed the valance in the family room, the wall finishing in the rear-entrance foyer and the wall finishing in the attic on the west side. He discovered extensive old damage from leaking, particularly in the foyer. There was rot and mildew in the wood framing. In the foyer it extended to the floor plates. In the foyer somebody had put a second frame against the first and had put new finishing material over the second frame. Also, a second layer of gyproc had been put over the first layer on the ceiling and had been refinished.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There was a small amount of similar damage in a couple of other locations in the house but I am not persuaded that they were caused by roof leaks or that they came to the attention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plaintiffs argue that the defendants must have been aware of the leaking in the foyer, the family room and the attic and that they did the cover-up work in the rear foyer or were aware that it had been done. They point to the extensive nature of these problems and say that not disclosing the roof defect was part of a pattern of misrepresentation. They say that pattern emerges from the defendants' advertising of the property before they listed it with the realtor and from the content of the disclosure statement. In their newspaper advertisement the defendants represented that the home was on 4.3 acres when in fact it is on 2.2 acres. In addition, Mr. Diemert stated in the disclosure statement that the roof (meaning its surface material) was three years old. In fact, the asphalt shingles were four years old on part of the roof and six years old on the remainder. The age of the garage roof was unknown. He also wrote that he had been in the house for eleven years, when in fact the defendants had owned it for a little more than nine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Finally, on the south edge of the large dormer roof (over the rear foyer) the bottom two or three shiplap boards were newer than those above them. The plaintiffs argue that the old boards must have rotted from roof leaks caused by ice dams and must have been replaced by the roofer who repaired some hail damage in that area in 1990. It is said that the defendants must have been aware of the rotting of these boards and must also have been aware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defendants deny that they did the reconstruction and refinishing found by Mr. Kalmbach. They deny that they were aware of the leaking that caused the mildew and rot in the family room and the foyer. They say that these events did not occur during the nine plus years that they owned the home. They deny that they were aware of the new shiplap boards being put on the dormer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leaking in the attic is another matter and I will return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accept the evidence of the defendants that they were not aware of the leaking in the family room or the foyer and were not aware that the foyer had been largely reconstructed and refinished. The leaking in these areas would have been major events. I do not translate their carelessness with respect to acreage, their years of ownership and the age of the roof surface into active concealment of knowledge of extensive leaking into the foyer and the family room. It is not known when the new boards were put on the dormer roof or why. Their placement cannot be aged by any scientific method, just as the age of the mildew and rot elsewhere cannot be determined scientifically. It does not follow that the new boards must have been installed when the hail damage was repaired. No attempt was made to present the roofer's records to the court even though Mr. Hoffart, the manager of the roofing company, was called as a witness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denials of the defendants are substantially confirmed by the evidence of five witnesses who were in their home from time to time and who would have been aware of extensive leaking in the foyer or the family room. If these witnesses did not see such damage they would have been told about it by the defendants. I found them to be credible witnesses and I accept their evidence. Gary Bice, Mrs. Diemert's brother, in particular would have been aware of the extensive leaking had it occurred during the time the defendants owned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conclude that the leaking that caused the mildew and rot and led to the reconstruction and refinishing found by Mr. Kalmbach predated the purchase of the house by the defendants. I also conclude that the defendants were not aware of this damage and refinishing.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Diemert testified that he did no know what ice dams were before he saw the report of Mr. Shipton. However he was familiar with the expression. He said at trial the only recollection he had of "a roof leak" was in the late winter or early spring of 1996 (apart, of course, from the leak identified in the disclosure statement). This was the leak into the laundry room. The ceiling drywall was wet and had to be replaced. That work was done by Mr. Bice. The ceiling insulation was wet and Mr. Diemert replaced it. He also installed the whirlybird. He "felt that maybe that would help because I don't know, I just felt that". He testified that it was his "impression that there was condensation on the underside of the roof that had perhaps caused a problem" but he "wasn't certain" and he "thought putting the whirlybird would help eliminate that ... by improving the ventilation". When asked if he knew this was a roof leak, he said "Not really, no. I didn't view it as a roof leak, no I guess not. I don't know." Then he was asked what he did view it as and he said: "Condensation on the underside of the ceiling, that was it. I knew water had to get in there somehow and my theory was that there was condensation on the underside of the ceiling, it dripped down onto the insulation and saturated it." I presume that when he referred to the underside of the ceiling he meant the underside of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Condensation is the collection of water on a surface. It is not the flow of water from the underside of a roof through the attic to a ceiling below in sufficient quantity to cause soaking of ceiling insulation and gyproc. I have no doubt that Mr. Diemert knew that this was a roof leak and that he deliberately failed to disclose it in the property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Diemert said he shovelled the snow off the roof each winter. He was asked the reason and replied: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shovelled it I guess mainly just to me it was sort of a maintenance type thing. It wasn't something that I, you know, felt was necessary all the time but it would depend, I guess on what the amount of --- the main gauge I guess I would go by was the depth of snow on the roof and that's about it, I guess. Sometimes it was if weather was going to warm up, I was concerned because I knew that say, a heavy snowfall or a lot of snow on the roof and then a big warming trend could, you know, create water and I didn't want that on the roof so I just shoveled it off. I would shovel the roof off fairly regular --- well I don't know how regular, but at different times depending on these conditions, like I say.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Diemert was challenged in cross examination about his knowledge of ice dams at the time he sold the property. He said that he never experienced ice dams on the roof of the house. He did not shovel the snow off because of ice build-up. He did not shovel the snow off because of a concern for stress on the roof from the weight of the snow. Then he admitted that there was "a minimal amount of ice" on the roof. He was confronted with passages from his examination for discovery (April 27, 1998) in the following exchange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We're now at the top of page 64..</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this the area here, you're telling me in this area, pointing at the area right below where the run off from the chimney here is, okay, got the run off from the chimney up in the roof there, right below there, the valleys come together, that would be right on top of the wall there where the garage meets.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say you got a build up there.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would keep it down.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I would shovel this area in here too.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looking at the piece of black that goes from the corner past there, I take it this is the fireplace chimney.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Fireplace chimney it goes right across there.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I understand from you had never been touched by you all the time you were there.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 tar and gravel roof has never been touched at this time there.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were watching and having problems with your ice build up right in that area over that door frame, weren't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wasn't watching per se that I would say for an excessive build up or anything like that, no. There was evidence there was some ice build up, yes, I won't deny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Sir, you've told us how you didn't know how an ice dam worked or anything like that up until you got in court, is that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going to refer you to page 25 of this discovery and ask you to look at question 160.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Hmm mm-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COURT:</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sorry, I missed the number?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MITCHELL: Page 25 My Lord, question 160 and following, question 160: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see, how did you become aware of the fact that there was condensation there the previous winter?"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if you want to go back and look in that, we're now talking about the area above the...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laundry room...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laundry room,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know where we're at, hey.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we did have some water coming through into the house right into where the doorway was into the laundry room up near the ceiling.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you had water coming in there.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For how long?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Just over the winter, like it's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Kept coming in, reoccurring?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Well it was near the end of the winter.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it came in?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Remember being asked those questions and giving those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looked this information over this morning, as a matter of fact.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read your discovery over?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reread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Good for you. Are those questions and answers true?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Carrying 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get some water coming in then it would quit and you'd get some more water coming in or would just keep on coming in.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it was just like I guess during certain conditions and it was --- yeah and it was too that there was an ice-dam had built up 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So you knew what an ice dam was, you knew it had built up.</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when I read that, I was surprised that that was there, then I started to think okay, my recollection of answering that question to you, whether I'm being perjured here or what, I don't know, but I'm telling you in all honesty that when I answered that question, it was because based on my knowledge of what an ice dam was at the date of April 27th 1997 or 8, whatever the discovery was. April 27, 1998.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Sir....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was based on my --- my understanding of an ice dam at that time. Not at the time of when I was shoveling any --- whenever I did shovel the roof off, it was basically an ice build up that I was concerned with.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full series of questions and answers on Mr. Diemert's examination for discovery that includes question 164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see, how did you become aware of the fact that there was condensation there the previous winter?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we did have some water coming through into the house, right into the doorway was into the laundry room, up near the ceiling.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you had water coming in there?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For how long?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Just over that winter, like it's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Kept coming, reoccurring?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well it was near the end of the winter it come in, yeah.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You'd get some water coming in then it would quit and you'd get some more water coming in, or would just keep on coming in?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it was just I guess during certain conditions, and it was too that there was an ice dam had built up here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Tell me about the conditions, when you say certain conditions created water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it would warm up perhaps and start melting, would have more water building up on the ice dam than it could handle and then it would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then it would come in.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 happened through the spring of '96.</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Diemert also confirmed the following evidence he gave on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the winter time, in the ll years you lived there, did you clean the roof off?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Every year?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wouldn't every year but I would just monitor it and clean it when the snow started to build up. I would watch so that I wouldn't get significant ice dams, 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see, so you had seen the ice build up before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did someone tell you to do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just on my own, I mean it made sense to me that -- like I know that, that if you do let it go that water could come into the house.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did Mr. Green tell you to keep the roof clean? [Mr. Green was the previous owner.]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did you come to the realization that you had this problem?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Just it was visible, could see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see, so what you saw in your first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 just watch it, you know, through the winter and depending on what kind of a winter we were having, how heavy the snowfall was, whether it was cold, warm, I don't know, whether it's freezing, melting, that sort of thing.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you would see a bit of build up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rather than wait for it to get to be a problem you'd get up and clean the roof off.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did that as necessary all the time you lived there.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at any time suggest to your real estate people to tell whoever bought it that that was a necessary thing to do to keep the roof clean?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don't recall ever saying anything about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Throughout cross examination at trial, Mr. Diemert insisted that he gave his many answers on examination for discovery about ice dams based on the state of knowledge he then had. I do not accept that evidence. The questions on examination for discovery did not direct him to his after-acquired knowledge. They were directed to what he saw on the roof during the winters he owned the house, what preventive maintenance he did and what he then anticipated would occur if he did not do the maintenance. I find that he saw ice dams forming and he knew there might be leakage through the roof if he permitted the ice to build up. I do not accept his evidence that he attributed the laundry-room leaks to condensation. He knew that there was always a possibility of leaks and he knew that ice build-up could cause them, although he was not aware that the underlying cause was the design and construction of the house. In the disclosure statement, he deliberately failed to disclose the laundry room leaking that occurred during the spring of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OTHER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There are two sources of water for the house. The first is a cistern in the basement to which water is delivered from town by truck. The second is a dugout on the property which collects water. Water from the two sources is provided to the house by a complex system of lines, tanks and pumps. Neither Mr. Kalmbach nor Mr. Diemert was able to adequately explain the system in evidence. No expert testimony was called by either side about how the system 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plaintiffs allege that the water softener and the dugout water supply system did not work necessitating replacement of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defendants used the water softener as needed. It had been unconnected to the water system for several months at the time of sale. I accept their evidence that it had worked when they last used it. Mr. Kalmbach found salt hardened in the tank of the water softener and he could not get any water through it. He could not repair it. However, the plaintiffs called no expert to verify Mr. Kalmbach's conclusion and I am not persuaded that the condition of this unit was any more than the product of disuse. It is not proven that it was not repairable as part of ordinary house maintenance the defendants would have encountered if they had not sold the property when they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plaintiffs had no trouble with the water system on the cistern. When Mr. Kalmbach tried the dugout system the lines filled with rusty water. He got it working after wasting half of the water in the cistern. At another time the main pump failed. Because of these experiences he became unhappy with the system and replaced it in its entirety, including the cistern portion.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There is no evidence as to the age of the water system components. The plaintiffs have not proven that there was anything wrong with the water supply other than from disuse and ordinary depreciation. They have not proven that the entire system was not functioning or that it was anything other than as represented by the defendants in the listing information sheet. There is no expert evidence about the overall system or its components to support the conclusion that wholesale replacement was necessary. Because Mr. Kalmbach could not get the system to work to his satisfaction, it does not follow that it was defective or misrepresented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final thing about which the plaintiffs complain arises out of the springtime collection of ground water in the crawl space used for storage below the southeast corner of the family room. The plaintiffs have done no excavation to determine the source of this water. Eventually it stops coming in and the crawl space dries up. The defendants experienced no problem of this nature except for overflow from plugged eaves which was easily remedied. In any event, the representation the plaintiffs rely upon in their pleadings is subject to the ruling I make below on the inducement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find that no misrepresentation as to the condition of the water systems or the water conditioner has been proven by the plaintiffs. I reach the same conclusion as to the ground water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As to the roof, the plaintiffs set out to prove that the defendants experienced and covered up the old leaking, or that they were aware of it and failed to disclose it to prospective purchasers. They have proven neither allegation. They have proven only that there was a misrepresentation by Mr. Diemert in the disclosure statement in omitting to advise of the leaking into the laundry room in the spring of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plaintiffs did not see the disclosure statement until after they had entered into a contract that was binding on them and was subject to only one unrelated condition precedent. To establish a case for fraud it is not enough for the plaintiffs merely to prove a deceitful misrepresentation. They must also prove that the misrepresentation induced them to enter into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plaintiffs plead that the misrepresentation induced them to complete the contract. Without citing any law to support this position, they argue that if the condition of the roof structure had been known to Mr. Dalke when he did the appraisal for mortgage purposes, the appraisal would have been much lower and the mortgage would not have been approved. There is no evidence to support this contention. Mr. Dalke testified that in older homes heat loss through the roof is an occurrence to be expected and should be monitored. He did not give any evidence as to what effect knowledge of the ice build-up and leaking in the spring of 1996 would have had on his appraisal. From the whole of his evidence, it would appear that that specific knowledge (as opposed to the condition of the house as later discovered by Mr. Kalmbach), would have told Mr. Dalke that it was advisable to remove snow from the roof, at least at the lower levels. There is no evidence from the mortgage lender as to what effect, if any, that knowledge of the 1996 leaking would have had on the mortgage-approval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failure of Mr. Diemert to advise prospective purchasers of his practice of removing snow from the roof as part of maintenance of the house does not amount to fraud. Such maintenance is not uncommon and Mr. Diemert was not fixed with knowledge of the past performance of the roof structure. He kept snow off the roof. Mr. Kalmbach did not. Mr. Diemert had no specific reason to believe that snow removal was needed to prevent the extensive problems the plaintiffs experienced. There was no reason for him to believe that a new owner would not monitor the situation as he did and do what appeared to be necessary under specific weather conditions. Mr. Diemert responded to the weather. He did not know about the design and structural problems and cannot be faulted for not having that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It has to be emphasized that the plaintiffs bought the property after one incomplete visual inspection. The house suited their needs as to location and space. They chose to make an offer without further inspection or inquiry. The defendants accepted the offer and a binding contract was entered into. The contract included the following clause, in upper case: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ARE NO REPRESENTATIONS, WARRANTIES, GUARANTEES,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PROMISES OR AGREEMENTS OTHER THAN THOSE SET OUT HEREIN;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ALL OF WHICH WILL SURVIVE THE COMPLETION OF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Kalmbach agreed in cross examination that he and his wife were made aware of this clause by Mr. Modien before they signed the offer. Caveat emptor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plaintiffs have failed to prove inducement.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am not going to assess damages, but I wish to make some observations about the approach to that issue taken by the plaintiffs. They incurred redecorating costs as a result of the damage they experienced and the old damage they discovered. However, they make no claim for those costs because they were covered by insurance and there is no subrogation claim. They seek damages in a number of other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will not comment specifically on repair cost in the garage/entry area or the clean-up costs. They appear to be reasonable as do the water system replacement costs, the labour for cleaning up the ground water seepage into the crawl space and some storage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It is my opinion that the approach taken by the plaintiffs with respect to roof repair is excessive. Rather than remove snow from the roof of the garage and the large dormer roof, Mr. Kalmbach constructed an elaborate but temporary truss roof over the garage with a connecting section to the peak of the dormer roof. He also opened up the attic and closed it off from access below while keeping windows open to make it a cold but unusable area. All of this was done at a cost of just over $11,000, including Mr. Kalmbach's labour at the reasonable rate of $15 per hour. However, I agree with the submission of counsel for the defendants that the same results could have been accomplished by snow removal as needed. Since Mr. Kalmbach is often away on business, somebody would have to be hired for the snow removal. There is no evidence as to how much labour would be involved in an average winter, but the cost could not have approached that of Mr. Kalmbach's temporary solution and the living area in the attic would not have been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Finally, the plaintiffs seek $27,000 for Mr. Kalmbach to remove the existing roof of the house and put on a new truss roof that would eliminate the attic living space. I do not accept this as the proper approach to assessment of damages. With proper maintenance, the house has functioned for many years with the existing roof structure. Its removal and replacement have not been shown to be necessary. The proper measure of damages would be the value of the property in light of the necessary maintenance deducted from the price paid for the property. No evidence has been presented as to that difference, but I expect it would be substantially less than the cost of replacing the entire roof 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action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6" style="position:absolute;z-index:2518558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94"/>
          <w:headerReference w:type="default" r:id="rId795"/>
          <w:footerReference w:type="even" r:id="rId796"/>
          <w:footerReference w:type="default" r:id="rId797"/>
          <w:headerReference w:type="first" r:id="rId798"/>
          <w:footerReference w:type="first" r:id="rId79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00" w:history="1">
        <w:r>
          <w:rPr>
            <w:rFonts w:ascii="arial" w:eastAsia="arial" w:hAnsi="arial" w:cs="arial"/>
            <w:b/>
            <w:bCs/>
            <w:i/>
            <w:color w:val="0077CC"/>
            <w:kern w:val="32"/>
            <w:sz w:val="28"/>
            <w:szCs w:val="32"/>
            <w:u w:val="single"/>
            <w:shd w:val="clear" w:color="auto" w:fill="FFFFFF"/>
            <w:lang w:val="en-US" w:eastAsia="en-US" w:bidi="ar-SA"/>
          </w:rPr>
          <w:t>Klym Estate v. Bank of Montreal, [2005] B.C.J. No. 631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Lamperson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16,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22,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Kamloops Registry No. 33243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631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420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138 A.C.W.S. (3d) 899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Karen Marlene Klym and Karen Marlene Klym, Personal Representative of the Estate of Robert Mathew Klym by Letters of Administration, plaintiffs, and Bank of Montreal,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7"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56" w:name="Keywords_43"/>
      <w:bookmarkEnd w:id="356"/>
      <w:r>
        <w:rPr>
          <w:rFonts w:ascii="arial" w:eastAsia="arial" w:hAnsi="arial" w:cs="arial"/>
          <w:b/>
          <w:color w:val="000000"/>
          <w:sz w:val="20"/>
          <w:lang w:val="en-US" w:eastAsia="en-US" w:bidi="ar-SA"/>
        </w:rPr>
        <w:t xml:space="preserve">Civil procedure — Judgments and orders — Summary judgments — To dismiss action — Commercial law — Banking — Loans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57" w:name="Case Summary_42"/>
            <w:bookmarkEnd w:id="35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Bank of Montreal, to dismiss Klym's claim pursuant to rule 18A. The plaintiff, Klym, claimed the Bank breached its duty of care by not ensuring that a collateral mortgage securing monies borrowed by Klym and her deceased husband were life insured. Klym met with the financial services manager at the Bank. The manager indicated that it was not her standard practice to discuss life insurance in such a transaction. Klym assumed that the loan was life insured because previous loans had been life insured. In the loan agreement, that was signed by Klym and her husband, it indicated that they were paying for disability insurance and not life insurance.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58" w:name="Holdings of Court_39"/>
            <w:bookmarkEnd w:id="358"/>
            <w:r>
              <w:rPr>
                <w:rFonts w:ascii="arial" w:eastAsia="arial" w:hAnsi="arial" w:cs="arial"/>
                <w:color w:val="000000"/>
                <w:sz w:val="20"/>
                <w:lang w:val="en-US" w:eastAsia="en-US" w:bidi="ar-SA"/>
              </w:rPr>
              <w:t>HELD: Application adjourned.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This was a suitable matter for disposition pursuant to Rule 18A. The inconsistency in the evidence was not a significant factor to the issues to be decided. The documentation indicated that the matter of insurance had to have come to Klym and her husband's attention. The real issue was whether the Bank owed a duty of care to Klym to discuss life insurance with them, and if so, whether that duty was discharged. Klym's counsel was unprepared to argue and the matter was adjourned.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59" w:name="Legislation Cited_28"/>
      <w:bookmarkEnd w:id="35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8"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60" w:name="Counsel_44"/>
      <w:bookmarkEnd w:id="36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9" style="position:absolute;z-index:251806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J.A. Horne,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P.J. Roberts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61" w:name="Judgment_44"/>
      <w:bookmarkEnd w:id="361"/>
      <w:r>
        <w:pict>
          <v:line id="_x0000_s1240" style="position:absolute;z-index:25185689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62" w:name="LAMPERSON J."/>
            <w:bookmarkEnd w:id="362"/>
            <w:r>
              <w:rPr>
                <w:rFonts w:ascii="arial" w:eastAsia="arial" w:hAnsi="arial" w:cs="arial"/>
                <w:b/>
                <w:color w:val="000000"/>
                <w:sz w:val="30"/>
                <w:lang w:val="en-US" w:eastAsia="en-US" w:bidi="ar-SA"/>
              </w:rPr>
              <w:t>LAMPERSON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Mrs. Klym, claims on her own behalf and as executrix of her late husband's estate, that the defendant, Bank of Montreal (the "bank"), breached its duty of care by not ensuring that a collateral mortgage securing monies borrowed by her and her late husband was life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this application the defendant seeks to have the plaintiffs' claim dismissed pursuant to Rule 18A. The trial of this matter is currently scheduled to be heard by judge and jury for five days, commencing May 9, 2005. Plaintiffs' counsel says that this case involves evidentiary issues that make it unsuitable for a disposition under Rule 18A, and that in any event, even if it is, he is not prepared to argue this case on its merits. Defence counsel is of the view that this matter is appropriate for disposition under Rule 18A, that the court can find sufficient facts to decide the issues raised, and that the anticipated inconsistencies in the evidence would not have an impact on the outcome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May 2001, Mr. and Mrs. Klym (the "Klyms") went to the defendant's branch located at 210 Victoria Street, in the City of Kamloops, where they met with the bank's financial services manager, Ms. Susan Maitland, in order to discuss obtaining a loan in the sum of $112,500.00. Ms. Maitland looked after the transaction because her assistant, Ms. Patricia Johnson, was Mrs. Klym's sister. Both Ms. Maitland and Ms. Johnson have filed affidavits in these proceedings. Mr. Horne suggests these affidavits contain conflicting evidence which must ultimately be resolved by the triers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Klyms had borrowed monies and granted mortgages to the bank on previous occasions. In each instance, the loans were life insured. That did not happen in this case. Ms. Maitland, in her affidavit, states that the subject of life insurance and disability insurance did not arise during the only meeting that she had with the Klyms. She went on to say in her affidavit that it is not her practice to discuss insurance with customers when a loan is applied for, but to do so after the loan has been approved. In this case the loan application was approved, but for some reason that approval did not result in a further meeting between the Klyms and Ms. Maitland.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Instead, Ms. Candace Cates, a lawyer practicing in Kamloops, received instructions from the bank to have the Klyms sign a promissory note in favour of the bank in the amount of $112,500.00, and to arrange for the execution and registration of a collateral mortgage that was to be granted by Mr. Klym over property that he owned in Enderby,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Cates advised the Klyms that she had been asked to represent the bank with respect to the matter, and that they were entitled to retain an independent solicitor. The Klyms chose not to do so. They attended at Ms. Cates' office on June 7, 2001, where they signed the promissory note, executed collateral mortgage, and signed the optional creditor insurance application for life insurance and an optional creditor insurance application for disability insurance. In her affidavit Ms. Cates' states that it is her standard practice to review the various documents with the parties, but that it is not part of her practice in transactions of this kind to provide to borrowers with advice pertaining to mortgage insurance. The following paragraphs in Ms. Cates' affidavit reflects what occurred in her office when the documents were executed:</w:t>
      </w:r>
      <w:r>
        <w:rPr>
          <w:rFonts w:ascii="arial" w:eastAsia="arial" w:hAnsi="arial" w:cs="arial"/>
          <w:sz w:val="20"/>
          <w:lang w:val="en-US" w:eastAsia="en-US" w:bidi="ar-SA"/>
        </w:rPr>
        <w:cr/>
      </w:r>
    </w:p>
    <w:p>
      <w:pPr>
        <w:numPr>
          <w:numId w:val="2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part of my standard practice in a transaction like this to provide any advice to clients, such as the Klyms, with respect to insurance issues. It is my standard practice to provide insurance documents to the clients and to advise them that we have received no instructions from the bank with respect to the insurance documents, that we do not know what instructions the clients have given the bank, that if the clients wish to review the documents on their own, at our office, and sign them, we will return the documents to the bank, but that otherwise, the clients may take the documents to the bank to discuss the matter further with the bank representative that they are dealing with. When I am asked such questions, it is my standard practice to advise the client to seek answers or advice either from their bank or the insurer.</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my meeting with the Klyms, I recall giving them the Optional Creditor Insurance Application for Life Insurance and the Optional Creditor Insurance Application for Disability Insurance that had been faxed to us by the Bank. I believe I followed my standard practice as to what I advised the Klyms with respect to these two documents. I do not recall having any specific discussion or answering any specific question about insurance for the Mortgage, and I do not believe there were any such discussions during our meeting.</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my meeting with the Klyms, they signed a number of documents in my presence. In particular, I witnessed Mr. Klym sign the Mortgage, a copy of which attached to and marked as Exhibit "2" to this my affidavit.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Attached to and marked as Exhibit "3" to this my affidavit is a copy of the Promissory Note signed by the Klyms at this meeting in my presence.</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Attached to and marked as Exhibit "4" to this my affidavit is a copy of the Statement of Disclosure signed by the Klyms at this meeting in my presence.</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Attached to and marked as Exhibit "5" to this my affidavit is a copy of the Optional Creditor Insurance Application for Life Insurance signed by the Klyms at this meeting in my presence.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Attached to and marked as Exhibit "6" to this my affidavit is a copy of the Optional Creditor Insurance Application for Disability Insurance signed by the Klyms at this meeting in my presence on June 7, 2001.</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my standard practice that more than one copy of each of these documents are signed by the client, and I assume that the Klyms signed more than one copy of each of these documents. I have a vague recollection that the Klyms did not take the insurance documents to the Bank with them, but that they signed the documents in my office. I have a vague recollection that Mrs. Klym made a comment to me to the effect that they were familiar with the insurance documents.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letter dated June 15, 2001, I mailed to the Klyms copies of each of Exhibits 2 to 6. Attached to and marked as Exhibit "7" to this my affidavit is a copy of my letter to the Klyms without the enclosures. The "Optional Creditor Insurance Application" referred to in my letter included copies of both the Optional Creditor Insurance Application for Life Insurance and the Optional Creditor Application for Disability Insurance.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I sent Exhibit 7 to the Klyms, I did not hear anything further from the Klyms regarding this matter until after Mr. Klym's death. In particular, the Klyms did not tell me that there had been any error in the type of insurance coverage for the Mortgage until after Mr. Klym's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When examined for discovery, Mrs. Klym indicated that although she signed the documents in question she has little recollection of the meeting. She in effect says that she assumed the loan was insured because previous loans had been so insured. She admits that she and her husband signed the application for life insurance which indicated that they did not wish to have life insurance with respect to the loan. They also signed a similar form pertaining to disability insurance in which they signified that they wanted the primary applicant, being Mr. Klym, to be insured in the event of a disability that might affect the repayment of the loan. Furthermore, the statement of disclosure signed by the Klyms clearly shows that they would be paying $0 per loan payment for life insurance and $72.04 per loan payment for disability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Johnson, Ms. Klym's sister, filed an affidavit in which she stated that she was at the time the financial services manager at the bank in question, and that she was familiar with previous loans that the Klyms had obtained, and that she gave a full file containing this information to Ms. Maitland. Ms. Johnson goes on to say that the bank is in the business of selling insurance, and that it has a bonus incentive program for the staff that sells the most insurance. Ms. Johnson says that when Ms. Maitland turned the loan documents back over to her, she noted that the Klyms had requested disability insurance, but that a life insurance form contained no indication of the Klyms' wishes and that in accordance with bank policy, she put an "X" in the box indicating that life insurance had been declined. This was done prior to Ms. Cates becoming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Klyms' claim rests on the assumption that because the previous loans were life insured, this one would be as well. Mrs. Klym has no recollection of insurance matters being discussed. The fact is, however, that the Klyms signed the life insurance application form that indicated that they declined life insurance. It is also evident that they took out disability insurance. These facts are also reflected in the disclosure statement that they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This is a suitable matter for disposition under Rule 18A. Inconsistencies in the evidence of Ms. Johnson and Ms. Maitland will not be a significant factor in the issues to be decided. This is, by and large, a case where the documents speak for themselves. The question really is the nature of the bank's duty to its customers, and whether it has a duty to raise the subject of insurance. The bank representatives did not raise the subject of insurance. However, the documentation shows that the matter of insurance must have come to the Klyms attention. Their choices were marked in the appropriate boxes, and the forms were signed by them. Factually, this is a straight forward case involving predominantly a question of law as to whether the bank owed a duty of care to the Klyms to discuss life insurance with them and if so whether that duty was discharged. There is also a question as to whether the Klyms are estopped from denying the validity of the form whereby they rejected life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defence has argued its case fully. I am satisfied that the defence has a strong case and that this is a matter suitable for disposition under Rule 18A. In light of Mr. Horne's position, I will, albeit somewhat reluctantly, adjourn this matter to a date to be set by the trial coordinator to hear Mr. Horne's arguments as to why his client's action should not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cost of this and the next hearing will be dealt with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LAMPERSON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1" style="position:absolute;z-index:251891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01"/>
          <w:headerReference w:type="default" r:id="rId802"/>
          <w:footerReference w:type="even" r:id="rId803"/>
          <w:footerReference w:type="default" r:id="rId804"/>
          <w:headerReference w:type="first" r:id="rId805"/>
          <w:footerReference w:type="first" r:id="rId80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07" w:history="1">
        <w:r>
          <w:rPr>
            <w:rFonts w:ascii="arial" w:eastAsia="arial" w:hAnsi="arial" w:cs="arial"/>
            <w:b/>
            <w:bCs/>
            <w:i/>
            <w:color w:val="0077CC"/>
            <w:kern w:val="32"/>
            <w:sz w:val="28"/>
            <w:szCs w:val="32"/>
            <w:u w:val="single"/>
            <w:shd w:val="clear" w:color="auto" w:fill="FFFFFF"/>
            <w:lang w:val="en-US" w:eastAsia="en-US" w:bidi="ar-SA"/>
          </w:rPr>
          <w:t>Kobelt Manufacturing Co. v. Pacific Rim Engineered Products (1987) Ltd., [2011] B.C.J. No. 286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J.S. Sigurdson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26-28, 2009; August 16-19,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23,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286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224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84 B.L.R. (4th) 189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345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198 A.C.W.S. (3d) 1183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Kobelt Manufacturing Co. Ltd., Plaintiff, and Pacific Rim Engineered Products (1987) Ltd.,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2"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63" w:name="Keywords_44"/>
      <w:bookmarkEnd w:id="363"/>
      <w:r>
        <w:rPr>
          <w:rFonts w:ascii="arial" w:eastAsia="arial" w:hAnsi="arial" w:cs="arial"/>
          <w:b/>
          <w:color w:val="000000"/>
          <w:sz w:val="20"/>
          <w:lang w:val="en-US" w:eastAsia="en-US" w:bidi="ar-SA"/>
        </w:rPr>
        <w:t>Commercial law — Sale of goods — Implied conditions — Fitness for purpose — Merchantable quality — Breach of contract — Seller's remedies — Refusal to pay purchase price — Action by manufacturer for monies owed for goods sold allowed and counterclaim by purchaser for damages for costs incurred for remedying defect dismissed — Plaintiff sold $400,000 in brakes to defendant, but was only paid $283,667 — Defendant claimed brakes were defective and not reasonably fit for intended purpose as they leaked — Evidence did not disclose that brakes were defective, did not comply with defendants' or were not of merchantable quality — There was no breach of any implied condition or warranty under the Sale of Goods Act because particular purpose which apparently caused leaking was not brought to plaintiff's attention.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64" w:name="Case Summary_43"/>
            <w:bookmarkEnd w:id="36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 manufacturer for monies owed for brakes it sold to the defendant purchaser and counterclaim by the defendant purchaser for damages for costs incurred for investigating the cause of a defect in the goods and a remedy. The plaintiff was a manufacturer of brakes and other products for the maritime and oil industries. The defendant was a company that assembled custom-made drawworks for drilling rigs used for gas exploration. It retained a consultant to select the brake that it required in the drawworks. In 2006, at the suggestion of its consultant, the defendant ordered $400,000 worth of hydraulic brakes from the plaintiff to be installed on the drawworks. The brakes were delivered to the defendant, with a delivery slip that referred to terms and conditions of sale on the plaintiff's website. Those terms and conditions included a five-year conditional warranty which warranted that the equipment was free from defects. The terms and conditions also provided that the warranty did not include damage due to misuse and limited liability for damages resulting from use of its products to the amount paid. After receiving the brakes, the defendant installed them, with some adjustments, in the drawworks. The drawworks were then delivered to the customers for installation. In April 2007, the customers who received the drawworks noted oil leaks. Thereafter, the defendant conducted an investigation into why the brakes leaked and attempted, unsuccessfully, to engineer a solution. The plaintiff sought payment of the outstanding balance of $116,333 for the brakes it sold to the defendant. The defendant claimed that it was not liable to pay the amount claimed because the brakes were not fit for their intended purposes as they leaked. In addition, the defendant counterclaimed for the damages it suffered in investigating why the brakes leaked and in engineering a solution. The plaintiff denied that the brakes were unfit or that the particular purpose for the brakes was communicated to them by the defendant. In addition, it denied that the defendant relied on its expertise in selecting the brake for the intended purpose and alleged that the brakes leaked because they were used improperly.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65" w:name="Holdings of Court_40"/>
            <w:bookmarkEnd w:id="365"/>
            <w:r>
              <w:rPr>
                <w:rFonts w:ascii="arial" w:eastAsia="arial" w:hAnsi="arial" w:cs="arial"/>
                <w:color w:val="000000"/>
                <w:sz w:val="20"/>
                <w:lang w:val="en-US" w:eastAsia="en-US" w:bidi="ar-SA"/>
              </w:rPr>
              <w:t>HELD: Action allowed and counterclaim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evidence did not disclose that the brakes themselves were defective or that they did not comply with the specifications provided by the defendant or that they were not of merchantable quality. Furthermore, there was no breach of any implied condition or warranty under the Sale of Goods Act because the particular purpose which apparently caused the leaking was not brought to the plaintiff's attention. Had a statutory implied condition of fitness for purposed been found, it would not have been ousted by the exclusion clause in the plaintiff's terms and conditions and the liability of the plaintiff would not have been limited to the price paid for the goods because the exclusion and limitation of liability clause was not part of the contract and, furthermore, it was ambiguous.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66" w:name="Legislation Cited_29"/>
      <w:bookmarkEnd w:id="36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3"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Sale of Goods Act, </w:t>
      </w:r>
      <w:hyperlink r:id="rId808" w:history="1">
        <w:r>
          <w:rPr>
            <w:rFonts w:ascii="arial" w:eastAsia="arial" w:hAnsi="arial" w:cs="arial"/>
            <w:i/>
            <w:color w:val="0077CC"/>
            <w:sz w:val="20"/>
            <w:u w:val="single"/>
            <w:shd w:val="clear" w:color="auto" w:fill="FFFFFF"/>
            <w:lang w:val="en-US" w:eastAsia="en-US" w:bidi="ar-SA"/>
          </w:rPr>
          <w:t>RSBC 1996, CHAPTER 410, s. 18</w:t>
        </w:r>
      </w:hyperlink>
      <w:r>
        <w:rPr>
          <w:rFonts w:ascii="arial" w:eastAsia="arial" w:hAnsi="arial" w:cs="arial"/>
          <w:color w:val="000000"/>
          <w:sz w:val="20"/>
          <w:lang w:val="en-US" w:eastAsia="en-US" w:bidi="ar-SA"/>
        </w:rPr>
        <w:t>, s.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67" w:name="Counsel_45"/>
      <w:bookmarkEnd w:id="36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4" style="position:absolute;z-index:251807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P.S. Rosenberg.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R.J. McDonell, S.D. Gutierrez.</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68" w:name="Judgment_45"/>
      <w:bookmarkEnd w:id="368"/>
      <w:r>
        <w:pict>
          <v:line id="_x0000_s1245" style="position:absolute;z-index:2518579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69" w:name="J.S. SIGURDSON J."/>
            <w:bookmarkEnd w:id="369"/>
            <w:r>
              <w:rPr>
                <w:rFonts w:ascii="arial" w:eastAsia="arial" w:hAnsi="arial" w:cs="arial"/>
                <w:b/>
                <w:color w:val="000000"/>
                <w:sz w:val="30"/>
                <w:lang w:val="en-US" w:eastAsia="en-US" w:bidi="ar-SA"/>
              </w:rPr>
              <w:t>J.S. SIGURDSON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claim by the plaintiff, Kobelt Manufacturing Co. Ltd ("Kobelt"), a manufacturer of brakes, for $116,333.30 being monies owing for brakes it sold to the defendant, Pacific Rim Engineered Products (1987) Ltd. ("PREP"). The amount of the claim is not in dispute but the defendant says that it is not liable to pay the amount claimed because the brakes were not fit for what it submits was the intended purpose. The issues in contention between the parties arise out of the defendant's defence and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type of brake in question that was ordered by the defendant was the plaintiff's model 5027, a hydraulic brake. The defendant intended to install it on a drawworks it was assembling that would form part of a drilling rig for two of its customers in the gas exploration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 ordered about $400,000 worth of brakes, which were delivered to them. The unpaid balance of $116,333.30 makes up the claim of the plaintiff. However, the defendant says that the brakes that were sold were defective and not reasonably fit for the purpose intended, in that the brakes leaked. The defendant relies on the implied condition or warranty of fitness for purpose in s. 18 of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410</w:t>
      </w:r>
      <w:r>
        <w:rPr>
          <w:rFonts w:ascii="arial" w:eastAsia="arial" w:hAnsi="arial" w:cs="arial"/>
          <w:color w:val="000000"/>
          <w:sz w:val="20"/>
          <w:lang w:val="en-US" w:eastAsia="en-US" w:bidi="ar-SA"/>
        </w:rPr>
        <w:t>. For simplicity, although the plaintiff asserts an implied condition and warranty, I will simply refer to this as the implied warranty of fitness for purpose. The defendant claims that it suffered substantial damages in investigating why the brakes leaked and in engineering a solution, which included the cost of technical consultants, the cost of the replacement brakes, the cost of labour, materials and freight to replace the defective brakes and costs incurred in connection with installing replacement brakes in fulfillment of its contracts with the two end-users of the drawworks.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 seller denies that the brakes were unfit or that the particular purpose for the brakes was communicated to them by the defendant. It further denies that the purchaser relied on the plaintiff's expertise in selecting the brake for the particular purpose intended by the purchaser. Further, the seller says that the leaking occurred because the brakes were used improperly by the end-users. Although the buyer relies on the implied warranty of fitness rather than an implied warranty of merchantability, the seller argues that the goods were of merchantable quality and, in terms of the alleged statutory warranty of fitness for a particular purpose, asserts that there is no implied warranty under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because the sale in question was a sale of a specified article under its trade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asserts, in any event, that the warranty it provides and the exclusion clauses that it says are part of the contractual documents (including on the website of Kobelt) exclude liability for the claim. For that, as well as other reasons, the plaintiff says the defence must fail and the counterclaim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says that the exclusion clause on the plaintiff's website was not part of the contract between the parties because there was no notice of the exclusion clause before the goods were ordered, and that any exclusion clause was not brought to the buyer's attention by way of the website or otherwise. If it was, the defendant says that it must be construed strictly against the seller and, properly interpreted, it does not exclude the implied warranty for fitness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Given that the defendant asserts an implied warranty under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and claims that the particular purpose for which the goods were required was communicated to the seller and that there was reliance on the seller, the key factual questions are: the communications, if any, of the particular purpose for which the brakes would be used; whether there was reliance; and, why the brakes leaked in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is no question that the brakes leaked in certain circumstances. While the plaintiff suggests that the leaking occurred because the brakes were misused, and it appears on the evidence that they were, at least by one end-user, the central issue is whether the leaking that was found under certain circumstances after the brakes were tested by the end-user, and later in the defendant's shop, nevertheless constitutes a breach of the implied warranty of fitness if such a warranty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buyer asserts in any event, which the seller denies, that there was a promise after delivery, which is of contractual effect, to repair the brakes.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issues in this case are:</w:t>
      </w:r>
      <w:r>
        <w:rPr>
          <w:rFonts w:ascii="arial" w:eastAsia="arial" w:hAnsi="arial" w:cs="arial"/>
          <w:sz w:val="20"/>
          <w:lang w:val="en-US" w:eastAsia="en-US" w:bidi="ar-SA"/>
        </w:rPr>
        <w:cr/>
      </w:r>
    </w:p>
    <w:p>
      <w:pPr>
        <w:numPr>
          <w:numId w:val="2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there an implied condition or warranty of fitness for the particular purpose for which the defendant intended to use the brakes pursuant to s. 18 of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Or, is any alleged warranty not applicable because the sale was of a specified article under its trade name or because any such warranty is excluded by the limited warranty and exclusion clauses that the plaintiff asserts form part of the terms of the agreement?</w:t>
      </w:r>
    </w:p>
    <w:p>
      <w:pPr>
        <w:numPr>
          <w:numId w:val="2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PREP demonstrated a breach of the implied warranty of fitness for purpose?</w:t>
      </w:r>
    </w:p>
    <w:p>
      <w:pPr>
        <w:numPr>
          <w:numId w:val="2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was a breach of contract and damages are not limited by the contractual warranty and exclusion clause, what amount by way of set-off or damages is PREP entitled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will now review the facts and will deal first with the question of the implied warranty. I will also consider whether the exclusion clause applies or operates to limit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Kobelt is a manufacturer of brakes and other products for the maritime industry and, among other things, hydraulic and pneumatic disc brakes for industrial use in the oil industry. Jack Kobelt, who testified, has been the president of the company since 1962. Two employees of the plaintiff were called as witnesses: John Purnell, who was involved in the manufacturing of the brakes, and Kerry Kogler, who was involved in the sale of the brakes to the defendant. Dr. Elvis Cepus, a metals and mechanical engineer, gave opinion evidence on the possible cause of the leaking problem, particularly based on the apparent experience of the brakes leaking when used by one of the buyer's customers on a rig in Colorado.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PREP is a company that, among other things, assembles custom-made drawworks that are a component of drilling rigs used for gas exploration. The defendant's president, Philip Mariani, testified but he was not involved in the circumstances leading up to the purchase of the brakes. Lorna Fraser, a chartered accountant, testified to the costs that were recorded by the employees of PREP to attempt to solve the leaky brakes issue, to find a replacement, and to replace the brakes on the drawworks that PREP had assembled for its two end-users. Dragan Strujic, a professional engineer employed by PREP, became involved with Kobelt once the brakes were initially being delivered, after the purchasing department had ordered the first batch of brakes from Kobelt. The buyer also called another employee, John Singh, to testify about the leaks and Garnett Lowe, an employee of the buyer's customer, who testified as to his experience with the brakes leaking on the drawworks.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2005/2006, PREP retained Guide Technologies Inc. ("Guide Technologies") to design a new drawworks system. This drawworks system was being developed and was to be assembled by PREP for two of its customers: Academy Services located in Alberta and Xtreme Coil Drilling Corp. located in Colorado. The drawworks would then form part of a drilling rig. These two end-users are gas drilling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Guide Technologies had some communications with Kobelt prior to the brakes being ordered by PREP from Kobelt, which I will review when I discuss the question of whether there was communication of purpose and reliance. No one from Guide Technologies testified at trial. The extent of the communications that were introduced in evidence consisted of some email correspondence between Guide Technologies and Kobelt.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brake is also referred to as a caliper assembly. In 2006, PREP ordered the subject brakes, model 5027, from Kobelt with the first brakes arriving before the end of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 total of 51 brakes were sold by Kobelt to PREP. Some monies have been paid, and the balance owing to the seller for the sale of the brakes is $116,333.30.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Terms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was some general evidence that PREP may have purchased brakes in the past, but if there were usual terms and conditions of purchase, or PREP had knowledge of such terms, no evidence to that effect was introduced by the plaintiff. Instead, Kobelt purported to rely on terms imposed pursuant to a delivery slip that referred to terms on a website and by the buyer's alleged pre-existing knowledge of the terms on the website. The original purchase order for the 5027 brakes was not placed in evidence, although a later one in July 2007 was, but the first brakes were delivered with a packing slip that contained a reference which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Terms and Conditions - http://www.kobelt.com/terms.html eg. Warranty is void if not installed according to diagrams, specifications and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terms and conditions that appear on Kobelt's website include a reference to a 5-year conditional warranty. In terms of the details of the warranty, the website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Warranty Details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Kobelt Manufacturing, hereafter referred to as the Seller, warrants the equipment manufactured by it to be free from defects in workmanship and material. Also, that the same is designed mechanically and functionally to perform to the specifications. This warranty is effective providing: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equipment is used within the operating conditions and in accordance with the Seller's recommendations,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equipment was installed according to equipment diagrams, specifications and recommendations which the Seller may have supplied,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immediate notification in writing is given to the Seller.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warranty becomes invalid if the factory-supplied serial number has been removed or altered on the product. This warranty does not cover cosmetic damage or damage due to acts of God, accident, misuse, abuse,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modification of any part of the product. This warranty does not cover damage due to improper operation or maintenance, connection to improper equipment, or attempted repair by anyone other than KOBELT or its authorized agents.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Under the heading "Liability", the Kobelt website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believe that we offer the best products in our industry and that you will get a great value from their use. IN NO EVENT SHALL KOBELT'S LIABILITY EXCEED THE PRICE PAID FOR THE PRODUCT FROM DIRECT, INDIRECT, SPECIAL, INCIDENTAL, OR CONSEQUENTIAL DAMAGES RESULTING FROM THE USE OF THE PRODUCT, ITS ACCOMPANYING SOFTWARE, OR ITS DOCUMENTATION. KOBELT makes no warranty or representation, express, implied, or statutory with respect to its products, contents or use of this documentation and all accompanying software and especially disclaims its quality, performance, merchantability, or fitness for any non-conforming purpose. Kobelt reserves the right to revise or update its product, software or documentation without notice. We will endeavour to keep our people informed through our normal channels.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the issue of the defendant's knowledge of the website, the plaintiff also read in discovery evidence of Mr. French, the project manager with PREP at the time of the initial purchase of brakes. Counsel for Kobelt, Mr. Rosenberg, argued that this showed that PREP was aware of the warranty and the online terms prior to the brakes first being ordered from Kobelt.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Strujic, the engineer who was involved in dealing with the brakes when they were received and then assembled as part of the drawworks, was not aware of the online terms until the examinations for discovery. However, even if Mr. Strujic knew of the terms of the online warranty, he was not involved in the purchase at the outset and only became involved with Kobelt when the brakes were first being delivered.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Assembly by Pacific Rim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drawworks that PREP was building were assembled from various components acquired by PREP. The drawworks were then delivered to its customers for installation as part of drilling rigs. In that process, the Kobelt brakes, with some adjustments made by PREP, were mounted on the drawworks. There is a dispute in the evidence of what adjustments to the brakes were made by PREP, but it appears that they used fabricated side mounting brackets to install the brakes and added or removed shims when installing the brakes on the drawworks.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Kobelt says that PREP has not proven that the leak was caused by anything that was the seller's responsibility. They point to changing the footings and the process of disassembling the tie rods, which required the brakes to be disassembled and reassembled by PREP when installing them on the drawworks. Although there was some suggestion that such modifications may have caused the leakage, that was not demonstrated by the seller in the evidence. Nevertheless, this was a concern. In the minutes of a meeting in May 2007 at PREP, Mr. Strujic noted among other things: "mounting foot replacement to PREP designed part - disassembling the tie rods may create the brake sub-assembly (sic) alignment issues". Mr. Strujic expressed a concern that PREP did not have written agreement from Kobelt to the changes, but observed in the minutes of an internal meeting that there was no verbal warning "in terms of the warranty or responsibility denial by Kobelt".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Leaking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Although some of the evidence on leaking was quite general such that precisely how and when it occurred is unclear, I find that there are two different types of leaking that occurred in this case. The first type of leaking was to the pots and the second was a leak to the seals between the cylinder and the piston.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brakes are hydraulic disc brakes. They use polyurethane seals. The brakes are applied using internal springs. In order to release the brakes, the pots must be pressurized to allow compression of the springs, lifting the pad free of the disc.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first leaking was an initial problem with the porosity of the pots. The pots are round and are related to the cylinder sub-assembly of the brake. Although there was vague evidence from the buyer that this leaking continued, I find it was corrected by Kobelt after the first few pots and it has not been proven that this was a continuing issue. Although the defendant says that Kobelt worked on the porosity issue until the latter part of 2007, I find that this issue was resolved. In this respect, I accept the evidence of Mr. Purnell, the production manager of Kobelt. Accordingly, I find that the porosity problem was corrected after the first three or four pots had leaked.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problem that arose subsequently was of a different nature. It was oil seeping through the seal onto the piston. This is the significant complaint of the buyer in this case. It is not in question that leaking brakes is a serious problem both in terms of brake operation and because of different safety concerns caused by leaking oil.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Leaks In The Seals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first such oil leak was noted in April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appears that the leaking problem did not surface while the brakes and the drawworks were in PREP's possession, or Kobelt's, but rather after they were assembled as part of the drawworks and in the possession of the two customers of PREP.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There was evidence from Mr. Purnell of Kobelt that before they were shipped, Kobelt tested the brakes hydrostatically at 1800 psi, over their operating pressure, but no leakage was found. The evidence I find shows that the brakes were tested hydrostatically both by Kobelt before they left their shop and by PREP before they shipped the drawworks. At that time, they revealed no leaks. Mr. Strujic of PREP agreed with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problem with leakage apparently surfaced during the commissioning of the drawworks in the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PREP's explanation was that after a certain number of cycles, the seals of the brakes would leak. A cycle is described as opening the brakes and closing; it is the entire loop of action that the brake goes through in order to clamp to the brake disc and then release. According to Mr. Strujic, customers indicated that cycling of the brakes in the commissioning stage of the drawworks caused leaks in the seals.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Strujic said that PREP then started testing the brakes by cycling them and they were cycled over 12 seconds. After usually 50-70 cycles, oil drops would be generated on the piston. Mr. Strujic also said that when the brakes were cycled every 10 seconds off and on he found some leaking.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There were meetings between PREP and Kobelt in 2007. The first meeting attended by Jack Kobelt was in May 2007, at which time, he says, he learned that the brakes were being used on a drawworks. He responded that they cannot be used on that and suggested a pneumatic and larger brake. (There was some evidence of leaking of a hydraulic brake, at some time when Kobelt had sold one for a drawworks in the past). Kobelt tried to find a solution to the leaking problem but it was never satisfactorily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John Singh, an employee of PREP, did some testing on the Kobelt brakes. The log of his testing (which included testing by Mr. Strujic) was submitted in evidence. It showed leaking on cycling of the brakes done between December 4, 2008 and October 20, 2009, which appeared to use the brakes on a cycle every 5 seconds, or about 12 cycles per minute. He described the testing that he did and said that there were leaks in all of the brakes. He performed tests with different widths of stationary blocks and tested the brakes with and without shims. He confirmed that the brakes leaked oil.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 called Garnett Lowe, a mechanical supervisor employed by Academy, one of the purchasers of drawworks from PREP. Academy received the drawworks from PREP and put the drawworks on the rig for his company in the field in Alberta. He observed the brakes sweating oil. Academy was the customer who advised PREP of oil leaks when there was cycling but there were no particular service records produced of their experience while commissioning the drawworks before it went out to the field.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Costs Incurred by PREP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the fall of 2007, the buyer contacted seven brake manufacturers looking for alternative brakes. However, no seller had anything "on the shelf" that would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buyer ultimately substituted Johnson brakes, brakes from a different manufacturer, for the 5027 brake supplied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Lorna Fraser, a chartered accountant and senior advisor of PREP, who is married to Mr. Mariani, the president of the company introduced the costs of investigating why the Kobelt brakes leaked, the costs to engineer a solution, and costs related to the two end-users, such as labour, materials, freight, technical consultants, and travel costs. She had instructed PREP's employees to charge the costs to a certain job number. These costs were introduced as business records of PREP, and total about $1,000,000.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Possibility that the Brakes Leaked Because of Abuse by End-users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Kobelt's position is that the brakes leaked because they were being used in what was referred to as the service mode, which means using the brake to stop a moving load as opposed to simply using the brake on a park or emergency basis. Although the evidence suggests that PREP's customer in Colorado, Xtreme, may have been using the brakes in the service mode, the evidence does not indicate that such was the case in Canada with Academy.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Kobelt explains the leaking of the brakes as arising from misuse, and it relies on the expert opinion of Dr. Cepus. There was no opinion evidence introduced by PREP as to precisely why the oil leak occurred. PREP relies on the testing done by their employees, Mr. Singh and Mr. Strujic, which showed that upon cycling the brakes, the experience of their client in Alberta in seeing leaks was demonstrated. Mr. Rosenberg questions whether this type of cycling amounts to use of the brake as an emergency brake or a holding brake.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buyer says that Dr. Cepus's expert evidence does not prove an alternate cause attributable to PREP, because his opinion evidence is based on the assumption of abuse of the brakes in the operation of the drawworks. Mr. McDonnell, counsel for PREP, argues that the issue of using the brakes improperly or abusing the brakes is irrelevant because the evidence, he argues, shows that the brakes were unfit for their intended purpose in that they leaked without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found Dr. Cepus, the only expert witness to testify, to be a frank and helpful witness. He was prepared to acknowledge the possible limits of his opinion when he was cross-examined by Mr. McDonnell. Dr. Cepus appeared to be quite experienced with various types of hoists, cranes and drawworks. His report, in large part, uses the apparent experience of Xtreme in Colorado as the exemplar or template, his assumption being that the brakes were used there in the service mode and that the Kobelt brakes were undersized for use in service mode. He also said that an unauthorized use of the tie rods to attach the brakes by reducing the number of tie rods from 5 to 4 would increase flexibility and hence increase wear and fatigue on the seals. (Mr. McDonnell says that any such modification by PREP was only a late attempt to solve the existing leaking problem and was not a cause of the leaking problem.) As noted above, Dr. Cepus relied on what apparently occurred in Colorado with Xtreme as his exemplar. His opinion was that the brakes were undersized and were unable to deal with the amount of heat when used in the service mode. However, as demonstrated by Mr. McDonnell on cross-examination, while that may well explain the failure of the brakes when used in the service mode, he says it does not address the question of whether they were unfit when used as a holding brake and that was not a question that Dr. Cepus addressed. Dr. Cepus did not consider their use solely as a holding brake.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Cepus was asked, as a hypothetical question, his opinion on what the cause of a leak might be in the event that the brakes went through a cycle where there was no heat generated, but just opening and closing the brakes on a stationary wooden block and there were leaks observed after four or five minutes. Dr. Cepus agreed that the cause of the leaks would likely be something other than heat. Mr. McDonnell says that this is relevant because when the testing was done on the brakes by Mr. Singh, he cycled them in a test that did not apply heat.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Cepus stated that there were various versions of the drawworks with different hook load capacity and that they were between 200 and 500 kip. His opinion was that the 5027 brakes were undersized and inadequate to hold the static load with requisite safety factors, but he acknowledged that there was an error in his calculations, specifically that he used an overly high amount of static tension on the fast line, and it would have affected his calculations on the extent of the inadequacy of the brakes to sustain the load. Dr. Cepus also agreed that he was incorrect that the Johnson brakes, which were used as a replacement following the problems with the 5027 model, while larger were not, as he had indicated, three times more powerful than the Kobelt 5027.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cross-examination, Mr. McDonnell explored with Dr. Cepus the possibility of springs in the brake being off-centre and rubbing against the piston wall or the inside of the pot, causing debris to fall on and contaminate the seals. On that hypothetical question, Dr. Cepus agreed that any contamination of the seal, the weakest link in the brake, could be detrimental to seal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McDonnell suggested that contamination of the seal might be consistent with the scouring of the piston wall seen by Mr. Strujic.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Cepus on re-examination testified that if a holding brake was cycled every ten seconds that would be unusual. However, he did not do any cycling analyses of the brake as a holding brake, with the load lifted and lowered by use of a motor.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possible theories for the events causing the leaking of the seals appear to be: using the brakes in service mode; using the brakes as a holding brake with regular cycles lasting for 5-12 seconds; and/or perhaps misaligned springs rubbing the piston wall and causing debris to fall and contaminate the seals.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Implied Warranty for Fitness - Section 18 of the </w:t>
      </w:r>
      <w:r>
        <w:rPr>
          <w:rFonts w:ascii="arial" w:eastAsia="arial" w:hAnsi="arial" w:cs="arial"/>
          <w:b/>
          <w:i/>
          <w:color w:val="000000"/>
          <w:sz w:val="20"/>
          <w:lang w:val="en-US" w:eastAsia="en-US" w:bidi="ar-SA"/>
        </w:rPr>
        <w:t>Sale of Goods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Has the buyer established an implied condition or warranty of fitness for purpose that was breached by the seller?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Section 18 of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this and any other Act, there is no implied warranty or condition as to the quality or fitness for any particular purpose of goods supplied under a contract of sale or lease, except as follows: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buyer or lessee, expressly or by implication, makes known to the seller or lessor the particular purpose for which the goods are required, so as to show that the buyer or lessee relies on the seller's or lessor's skill or judgment, and the goods are of a description that it is in the course of the seller's or lessor's business to supply, whether the seller or lessor is the manufacturer or not, there is an implied condition that the goods are reasonably fit for that purpose; except that in the case of a contract for the sale or lease of a specified article under its patent or other trade name, there is no implied condition as to its fitness for any particular purpose;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goods are bought by description from a seller or lessor who deals in goods of that description, whether the seller or lessor is the manufacturer or not, there is an implied condition that the goods are of merchantable quality; but if the buyer or lessee has examined the goods there is no implied condition as regards defects that the examination ought to have revealed;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express warranty or condition does not negative a warranty or condition implied by this Act unless inconsistent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three criteria proposed by Professor Fridman in his text, Fridman, </w:t>
      </w:r>
      <w:r>
        <w:rPr>
          <w:rFonts w:ascii="arial" w:eastAsia="arial" w:hAnsi="arial" w:cs="arial"/>
          <w:i/>
          <w:color w:val="000000"/>
          <w:sz w:val="20"/>
          <w:lang w:val="en-US" w:eastAsia="en-US" w:bidi="ar-SA"/>
        </w:rPr>
        <w:t>Sale of Goods in Canada</w:t>
      </w:r>
      <w:r>
        <w:rPr>
          <w:rFonts w:ascii="arial" w:eastAsia="arial" w:hAnsi="arial" w:cs="arial"/>
          <w:color w:val="000000"/>
          <w:sz w:val="20"/>
          <w:lang w:val="en-US" w:eastAsia="en-US" w:bidi="ar-SA"/>
        </w:rPr>
        <w:t>, 4th ed. (Scarborough: Carswell, 1995) at p. 186, in determining whether there is an implied warranty for fitness for a particular purpose are that: (i) the contract was in the course of the seller's business; (ii) the seller has knowledge of the purpose of the goods; and (iii) the buyer relied on the seller's skill and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this case, the good sold was not a finished product like a car or a tractor, but a product that was going to be installed in something that the buyer was assembling.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question is whether there was an implied warranty that the brakes would work on the rig to which the drawworks was attached by not leaking when cycled as a holding brake. There is certainly no implied warranty of fitness for use of the brake in the service mode. In any event, no assertion to that effect is made by PREP.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brakes were installed by PREP in a drawworks that it assembled; it was in the commissioning of the drawworks for their work in the field that the brakes leaked.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evidence, I find, does not disclose that the brakes themselves were defective or that they did not comply with any specifications that were provided by the seller. As I mentioned, I find that early problems with porosity of the pots were resolved. Although the defendant's contention was that the products were not fit for the intended purpose, it was not really an issue whether they were of merchantable quality. In any event, the buyer has not shown that the brakes were not of merchantable quality. Merchantable quality means the goods must be "of such quality, in such state or condition as it is reasonable to expect, and [...] fit for the purpose for which it is </w:t>
      </w:r>
      <w:r>
        <w:rPr>
          <w:rFonts w:ascii="arial" w:eastAsia="arial" w:hAnsi="arial" w:cs="arial"/>
          <w:color w:val="000000"/>
          <w:sz w:val="20"/>
          <w:u w:val="single"/>
          <w:lang w:val="en-US" w:eastAsia="en-US" w:bidi="ar-SA"/>
        </w:rPr>
        <w:t>normally purchased</w:t>
      </w:r>
      <w:r>
        <w:rPr>
          <w:rFonts w:ascii="arial" w:eastAsia="arial" w:hAnsi="arial" w:cs="arial"/>
          <w:color w:val="000000"/>
          <w:sz w:val="20"/>
          <w:lang w:val="en-US" w:eastAsia="en-US" w:bidi="ar-SA"/>
        </w:rPr>
        <w:t xml:space="preserve"> within the market in which it is sold": </w:t>
      </w:r>
      <w:r>
        <w:rPr>
          <w:rFonts w:ascii="arial" w:eastAsia="arial" w:hAnsi="arial" w:cs="arial"/>
          <w:i/>
          <w:color w:val="000000"/>
          <w:sz w:val="20"/>
          <w:lang w:val="en-US" w:eastAsia="en-US" w:bidi="ar-SA"/>
        </w:rPr>
        <w:t>Savoie v. Rene's Service &amp; Trailer Sales Ltd.</w:t>
      </w:r>
      <w:r>
        <w:rPr>
          <w:rFonts w:ascii="arial" w:eastAsia="arial" w:hAnsi="arial" w:cs="arial"/>
          <w:color w:val="000000"/>
          <w:sz w:val="20"/>
          <w:lang w:val="en-US" w:eastAsia="en-US" w:bidi="ar-SA"/>
        </w:rPr>
        <w:t xml:space="preserve">, </w:t>
      </w:r>
      <w:hyperlink r:id="rId809" w:history="1">
        <w:r>
          <w:rPr>
            <w:rFonts w:ascii="arial" w:eastAsia="arial" w:hAnsi="arial" w:cs="arial"/>
            <w:i/>
            <w:color w:val="0077CC"/>
            <w:sz w:val="20"/>
            <w:u w:val="single"/>
            <w:shd w:val="clear" w:color="auto" w:fill="FFFFFF"/>
            <w:lang w:val="en-US" w:eastAsia="en-US" w:bidi="ar-SA"/>
          </w:rPr>
          <w:t>2007 NBQB 229</w:t>
        </w:r>
      </w:hyperlink>
      <w:r>
        <w:rPr>
          <w:rFonts w:ascii="arial" w:eastAsia="arial" w:hAnsi="arial" w:cs="arial"/>
          <w:color w:val="000000"/>
          <w:sz w:val="20"/>
          <w:lang w:val="en-US" w:eastAsia="en-US" w:bidi="ar-SA"/>
        </w:rPr>
        <w:t>, at paras. 15-16. On the evidence, the buyer has not shown that the brakes were unfit for the use they would normally be purchased: namely, as brakes functioning to the specifications as described by Kobelt's consultant, Guide Technologies, in its emails.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evidence indicates, and I find, that the brakes did not leak when they left the vendor's shop or when they were received by PREP, but they did leak in operation on the drawworks in certain circumstances. That was revealed during the commissioning of the drawworks before they sent out to the field in Alberta. The purchaser asserts that the brakes leaked oil simply when they were cycled as a holding brake. The seller suggests that is not really using the brake as a holding or parking brake. Although the seller says the evidence shows that they were not being used as holding brake or a parking brake, I will refer to the circumstances in which they leaked as cycling as a holding brake. In any event, the evidence I find shows that the brakes leaked after operating for frequent cycles of 5-12 seconds in duration.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question is whether there was an implied warranty that the brakes would work on the rig to which the drawworks was attached by not leaking when frequently cycled as a holding brake.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Whether there is an implied warranty of fitness for purpose is usually a factual question. In </w:t>
      </w:r>
      <w:r>
        <w:rPr>
          <w:rFonts w:ascii="arial" w:eastAsia="arial" w:hAnsi="arial" w:cs="arial"/>
          <w:i/>
          <w:color w:val="000000"/>
          <w:sz w:val="20"/>
          <w:lang w:val="en-US" w:eastAsia="en-US" w:bidi="ar-SA"/>
        </w:rPr>
        <w:t>Town Concrete Pumping Ltd. v. Gegra Equipment Ltd.,</w:t>
      </w:r>
      <w:r>
        <w:rPr>
          <w:rFonts w:ascii="arial" w:eastAsia="arial" w:hAnsi="arial" w:cs="arial"/>
          <w:color w:val="000000"/>
          <w:sz w:val="20"/>
          <w:lang w:val="en-US" w:eastAsia="en-US" w:bidi="ar-SA"/>
        </w:rPr>
        <w:t xml:space="preserve"> </w:t>
      </w:r>
      <w:hyperlink r:id="rId810" w:history="1">
        <w:r>
          <w:rPr>
            <w:rFonts w:ascii="arial" w:eastAsia="arial" w:hAnsi="arial" w:cs="arial"/>
            <w:i/>
            <w:color w:val="0077CC"/>
            <w:sz w:val="20"/>
            <w:u w:val="single"/>
            <w:shd w:val="clear" w:color="auto" w:fill="FFFFFF"/>
            <w:lang w:val="en-US" w:eastAsia="en-US" w:bidi="ar-SA"/>
          </w:rPr>
          <w:t>[1995] B.C.J. No. 1859</w:t>
        </w:r>
      </w:hyperlink>
      <w:r>
        <w:rPr>
          <w:rFonts w:ascii="arial" w:eastAsia="arial" w:hAnsi="arial" w:cs="arial"/>
          <w:color w:val="000000"/>
          <w:sz w:val="20"/>
          <w:lang w:val="en-US" w:eastAsia="en-US" w:bidi="ar-SA"/>
        </w:rPr>
        <w:t xml:space="preserve"> (S.C.), Dorgan J. said,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Did the plaintiff make known his particular purpose to the seller? It is a question of fact whether the "particular" purpose was drawn to the attention of the seller at the time of the purchase. The onus is on the plaintiff to show that it made known to Gegra by implication the particular purpose it had in mind for the machine when it was ordered. In </w:t>
      </w:r>
      <w:r>
        <w:rPr>
          <w:rFonts w:ascii="arial" w:eastAsia="arial" w:hAnsi="arial" w:cs="arial"/>
          <w:i/>
          <w:color w:val="000000"/>
          <w:sz w:val="20"/>
          <w:lang w:val="en-US" w:eastAsia="en-US" w:bidi="ar-SA"/>
        </w:rPr>
        <w:t>Cominco Ltd. v. Westinghouse Canada Ltd. et al.</w:t>
      </w:r>
      <w:r>
        <w:rPr>
          <w:rFonts w:ascii="arial" w:eastAsia="arial" w:hAnsi="arial" w:cs="arial"/>
          <w:color w:val="000000"/>
          <w:sz w:val="20"/>
          <w:lang w:val="en-US" w:eastAsia="en-US" w:bidi="ar-SA"/>
        </w:rPr>
        <w:t xml:space="preserve"> </w:t>
      </w:r>
      <w:hyperlink r:id="rId811" w:history="1">
        <w:r>
          <w:rPr>
            <w:rFonts w:ascii="arial" w:eastAsia="arial" w:hAnsi="arial" w:cs="arial"/>
            <w:i/>
            <w:color w:val="0077CC"/>
            <w:sz w:val="20"/>
            <w:u w:val="single"/>
            <w:shd w:val="clear" w:color="auto" w:fill="FFFFFF"/>
            <w:lang w:val="en-US" w:eastAsia="en-US" w:bidi="ar-SA"/>
          </w:rPr>
          <w:t>(1981), 127 D.L.R. (3d) 544</w:t>
        </w:r>
      </w:hyperlink>
      <w:r>
        <w:rPr>
          <w:rFonts w:ascii="arial" w:eastAsia="arial" w:hAnsi="arial" w:cs="arial"/>
          <w:color w:val="000000"/>
          <w:sz w:val="20"/>
          <w:lang w:val="en-US" w:eastAsia="en-US" w:bidi="ar-SA"/>
        </w:rPr>
        <w:t xml:space="preserve"> (B.C.S.C.) at page 561 the court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"Particular" has been interpreted as meaning something akin to "specified" or "stated". It must be such as to show Westinghouse the extent and manner in which its skill and judgment was relied upon by Cominco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Whether or not a "particular purpose" has been communicated will depend on the particular facts and circumstances of the transaction. Fridman refers to the law relating to particular purpose as set out by Lord Wilberforce in </w:t>
      </w:r>
      <w:r>
        <w:rPr>
          <w:rFonts w:ascii="arial" w:eastAsia="arial" w:hAnsi="arial" w:cs="arial"/>
          <w:i/>
          <w:color w:val="000000"/>
          <w:sz w:val="20"/>
          <w:lang w:val="en-US" w:eastAsia="en-US" w:bidi="ar-SA"/>
        </w:rPr>
        <w:t>Henry Kendall &amp; Sons v. William Lillico &amp; Sons Ltd.,</w:t>
      </w:r>
      <w:r>
        <w:rPr>
          <w:rFonts w:ascii="arial" w:eastAsia="arial" w:hAnsi="arial" w:cs="arial"/>
          <w:color w:val="000000"/>
          <w:sz w:val="20"/>
          <w:lang w:val="en-US" w:eastAsia="en-US" w:bidi="ar-SA"/>
        </w:rPr>
        <w:t xml:space="preserve"> [1968] 2 All ER 444 (H.L.) at 465: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degree of precision or definition which makes a purpose a particular purpose depends entirely on the facts and circumstances of a purchase and sale transaction (...) If a buyer explains his purpose or impliedly makes it known so that, to put the matter in homely language, in effect he is saying 'that is what I want it for, but I only want to buy if you can sell me something that will do', then it will be a question of fact whether the buyer has sufficiently stated his purpose.</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communicated purpose, if stated with reasonably sufficient precision, will be a particular purpose.</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Sometimes a particular purpose will be made known expressly: sometimes it will be made known by implication"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Lord Wilberforce insisted, at 490, that "the 'particularity' must be such as to show to the seller the extent and manner in which his skill and judgment is relied on." He stated at 492: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not sufficient merely to show that the seller knew of the purpose; of course he may: business men do not work in a vacuum, they know their trade and their customers and they are not to be saddled with conditions merely because they are competent and knowledgeable. The purpose must be made known so as to show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burden is on the purchaser to show reliance. However, reliance may be inferred if a particular purpose is known. Also, partial reliance will suffice: </w:t>
      </w:r>
      <w:r>
        <w:rPr>
          <w:rFonts w:ascii="arial" w:eastAsia="arial" w:hAnsi="arial" w:cs="arial"/>
          <w:i/>
          <w:color w:val="000000"/>
          <w:sz w:val="20"/>
          <w:lang w:val="en-US" w:eastAsia="en-US" w:bidi="ar-SA"/>
        </w:rPr>
        <w:t>Cammel Laird &amp; Co. Ltd. v. Manganese Bronze &amp; Brass Co. Ltd.,</w:t>
      </w:r>
      <w:r>
        <w:rPr>
          <w:rFonts w:ascii="arial" w:eastAsia="arial" w:hAnsi="arial" w:cs="arial"/>
          <w:color w:val="000000"/>
          <w:sz w:val="20"/>
          <w:lang w:val="en-US" w:eastAsia="en-US" w:bidi="ar-SA"/>
        </w:rPr>
        <w:t xml:space="preserve"> [1934] A.C. 402 at pp. 426-429, </w:t>
      </w:r>
      <w:r>
        <w:rPr>
          <w:rFonts w:ascii="arial" w:eastAsia="arial" w:hAnsi="arial" w:cs="arial"/>
          <w:i/>
          <w:color w:val="000000"/>
          <w:sz w:val="20"/>
          <w:lang w:val="en-US" w:eastAsia="en-US" w:bidi="ar-SA"/>
        </w:rPr>
        <w:t>Fulks v. Inland Kenworth Sales (P.G.) Ltd.,</w:t>
      </w:r>
      <w:r>
        <w:rPr>
          <w:rFonts w:ascii="arial" w:eastAsia="arial" w:hAnsi="arial" w:cs="arial"/>
          <w:color w:val="000000"/>
          <w:sz w:val="20"/>
          <w:lang w:val="en-US" w:eastAsia="en-US" w:bidi="ar-SA"/>
        </w:rPr>
        <w:t xml:space="preserve"> </w:t>
      </w:r>
      <w:hyperlink r:id="rId812" w:history="1">
        <w:r>
          <w:rPr>
            <w:rFonts w:ascii="arial" w:eastAsia="arial" w:hAnsi="arial" w:cs="arial"/>
            <w:i/>
            <w:color w:val="0077CC"/>
            <w:sz w:val="20"/>
            <w:u w:val="single"/>
            <w:shd w:val="clear" w:color="auto" w:fill="FFFFFF"/>
            <w:lang w:val="en-US" w:eastAsia="en-US" w:bidi="ar-SA"/>
          </w:rPr>
          <w:t>[1984] B.C.J. No. 743</w:t>
        </w:r>
      </w:hyperlink>
      <w:r>
        <w:rPr>
          <w:rFonts w:ascii="arial" w:eastAsia="arial" w:hAnsi="arial" w:cs="arial"/>
          <w:color w:val="000000"/>
          <w:sz w:val="20"/>
          <w:lang w:val="en-US" w:eastAsia="en-US" w:bidi="ar-SA"/>
        </w:rPr>
        <w:t xml:space="preserve"> (S.C.)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PREP, the buyer, has the burden to show that it made its particular purpose known to the vendor and that it relied on the skill and judgment of the vendor in purchasing the product. PREP argues that this is not a high test and that it has demonstrated that the goods were not fit for their intended purpose as a brake on a drawworks.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Has the purchaser discharged its burden to show that it brought the particular purpose to the attention of the vendor, that it relied on the vendor's skill and judgment and that the brakes failed to be fit for that particular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purchaser retained a consultant, Guide Technologies, to select the brake that it required in the drawworks. Although some email correspondence with Guide Technologies was tendered in evidence, it is not clear to me why they chose this particular brake and what they relied on for their design of the various drawworks. The buyer says that the evidence shows that they relied on the seller to select this brake for this particular purpose. However, none of the consultant's representatives were called as witnesses to explain why they selected the particular brake or to put their full communications with Kobelt in context. The evidence as a whole indicates that Guide Technologies was retained to design the drawworks and that they suggested the 5027 brake to PREP.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It seems unusual that in a case where the buyer is asserting reliance on the seller for the purchase of a product for a particular purpose that the buyer would not call the consultant it retained to select the brake to give evidence, and would not call any of its own employees involved in the purchase at the time the product was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Moreover, PREP did not call expert evidence to explain why and precisely the circumstances in which the brakes leaked.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It is clear that when the brakes were installed on the drawworks (which involved some modification by the purchaser, as I have described, such as different footings), they leaked under certain circumstances. However, there was no expert evidence introduced by the purchaser as to what caused the brakes to leak when they were cycled as a holding brake. The testing demonstrated that the brakes leaked upon cycling at a frequency of every 5 to 12 seconds. Counsel for the plaintiff, Mr. Rosenberg, suggests that cycling with that degree of frequency is not really using the brake as a holding or emergency brake. While the purchaser characterizes this as use as a parking brake, the vendor says that it reflects their use in a service mode. No one disputes that using the brakes in the service mode is not proper and that the vendor cannot be faulted for that. There was no evidence from which I might infer that if the seller was aware that the brakes would be used on a drawworks that they would also expect the brakes would be cycled with the frequency that apparently resulted in leaks.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evidence shows that the brakes leaked when they were repeatedly cycled every "five to twelve" or every "ten seconds or so", but they did not leak when they were hydrostatically tested.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Although the seller introduced expert evidence that suggested that the brakes were undersized for use in the service mode and undersized to hold static load with requisite safety factors, the defendant says that the expert evidence is flawed because it assumes abuse by the operator and does not answer the allegation that the brakes were not fit for their intended purpose for a drawworks. The buyer further states that the subsequent modifications by PREP in the assembly process were irrelevant and were not suggested by the vendor to be the cause of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issue comes down to whether this particular purpose (the regular cycling of the holding brake in a drawworks of the size the buyer was assembling) was made known to the vendor and whether the purchaser relied on Kobelt that the brakes installed by the purchaser on the drawworks would be fit for that intended purpose. The leaking was found in circumstances that they would be cycled in the field. Was the particular use that caused leakage made known to the vendor and did the buyer rely on the vendor? Or is this use a standard type of use for brakes that ought to have already been known to the vendor?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Let me review the evidence about the communications between the parties before the brakes were purchased. A key witness for the purchaser was Mr. Strujic. However, he became involved after the brakes were ordered, and was not involved in the relevant communications leading to the contract. His involvement was described as starting when the brakes were on their way to PREP.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Kobelt says that it was never told that these brakes were going to be used on a drawworks. Mr. Strujic stated that although the official communication from Guide Technologies said a mobile winch, he specifically told Mr. Kogler, the technical sales and production support person at Kobelt, they were to be used on a drawworks. Mr. Kogler testified that he understood that they were to be used for a mobile winch. Even if Mr. Strujic is correct, this discussion that they were to be used on a drawworks took place after the brake was selected by Guide Technologies and ordered. As such, this conversation would not be a communication of the particular purpose; nor would it support reliance at the time of purchase so as to trigger the implied s. 18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first communication directly between the parties appears to be the request in June 2006 by Brooks Holloway of PREP for the price of 5027-SH1500 brakes and two brake discs. Before that, the communications appear to be between Guide Technologies and Kobelt. The evidence of the communications between Guide Technologies and Kobelt is what appears in a number of emails over a period of a few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No one from the purchasing department of PREP was called to testify. The purchaser sought to prove the required communication of purpose and reliance by referring to this email correspondence between Kobelt and Guide Technologies. It was unclear how complete this evidence was of the communications; it does not appear to be complete.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communications between Guide and Kobelt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will highlight almost all of the evidence that appears to be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October 19, 2005, Mr. Kogler emailed Wes Arnold (apparently connected with Guide Technologies) and gave some information on an offer of a pair of 5027-A calipers in an email: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Hello Wes, after looking at your new information and taking into consideration that only 20% of the energy will be absorbed by the disc braking system I have come up with a different brake set.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to hold the torque and stay within your other parameters we can offer a pair of 5027 - A calipers and a 2" x 4" x 45" disc. We will also outfit the calipers with high pressure actuators so that the 465 psi fluid power you have available will work in this arrangement.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calipers will cost $5244.50/ea and the disc will cost $4963.08. Delivery right now would be about 3 - 4 weeks ARO.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Let me know if you need more information or have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Arnold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Kerry,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Thanks for the revision. It looks good so far but I have a couple of questions. Is the 5027-A available with spring apply / fluid release so it will function like a park / emergency brake when fluid pressure is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Kogler replied: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Wes, Yes it is. It is a 5027-S.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Five months later, in March 2006, Rick Mason of Applied Power Technology, apparently connected with Guide Technologies, wrote to Mr. Kogler by email: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Kerry: I left you a cell message earlier today regarding a question I had on your model 5027 spring apply hydraulic release caliper we are considering using on a </w:t>
      </w:r>
      <w:r>
        <w:rPr>
          <w:rFonts w:ascii="arial" w:eastAsia="arial" w:hAnsi="arial" w:cs="arial"/>
          <w:color w:val="000000"/>
          <w:sz w:val="20"/>
          <w:u w:val="single"/>
          <w:lang w:val="en-US" w:eastAsia="en-US" w:bidi="ar-SA"/>
        </w:rPr>
        <w:t>mobile winch application</w:t>
      </w:r>
      <w:r>
        <w:rPr>
          <w:rFonts w:ascii="arial" w:eastAsia="arial" w:hAnsi="arial" w:cs="arial"/>
          <w:color w:val="000000"/>
          <w:sz w:val="20"/>
          <w:lang w:val="en-US" w:eastAsia="en-US" w:bidi="ar-SA"/>
        </w:rPr>
        <w:t>. I was wanting to confirm the figures on displaced volume and required pressures for the actuator so that I can size the hydraulic pressure reducing/relieving valve to meet specific actuation times. Basic system parameters are as follows: [rotor diameter, face width, rotor thickness and braking torque are then set out].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could call me on my cell as soon as possible I would appreciate it. Thanks: Rick Mason</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Kogler replied: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Hello Rick, As per our conversation. We would offer you a 5027SH which has 6232 spring applied high pressure actuators mounted in place of the standard 6230's. Basically the same physical dimensions but release pressure of 1500 PSI and swept volume of approximately 3 cubic inches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Will be in touch when I return to town and get drawings etc. If you need to get a hold of me I can [sic] reached on my cel [sic]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April, Mr. Kogler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Hello Rick, I could not find a drawing of the 6232 HP spring applied pot but I know that the only difference if [sic] the piston housing and piston itself. Basically all dimensions stay the same.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Let me know if you need more info and I'll see if I can get a drawing drawn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Mason replied: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would appreciate it if you could get a drawing. Currently the calipers determine the envelope size of our winch assembly, and I want to be sure that the 3d model of our assembly is as close as possible to what we will be building since we will [be] positioning other components very close to the winch assembly.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Kogler wrote back: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Ok I'll see what I can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June 2006, Mr. Mason wrote to Mr. Kogler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Thanks again for loaning us the caliper assembly for modeling purposes. As I mentioned last week, I just wanted to confirm the pressure (I thought it was 1700 lb/in2) required for full release as well as to confirm the part number for the caliper since we will be ordering at least three of these calipers in the near future Part Number: 5027-SH1500.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Kogler replied: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[N]ot a problem lending you the brake. Release pressure is dependent on the springs we put in the housing. Standard springs will release at approximately 1500/1600 PSI and the HD springs will release around 1700/1800 psi. The part number is correct for the 1500 psi release but if you want the higher release pressure you should order a 5027-SH1800.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On June 16, 2006, Brooks Holloway from PREP wrote Mr. Kogler: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provide a quotation of price and delivery for: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of 5027-SH1500 calipers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of 89-2677-JB0-A brake disc as per attached drawing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Attached to the email was a drawing by PREP entitled "Air Ventilated Brake Disc Brake Assembly".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That was the extent of the communication between Guide Technologies and Kobelt prior to the ordering of the 5027 brakes tendered in evidence. The evidence suggests that Guide Technologies had a desk at PREP during at least some of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first delivery of brakes was in December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defendant called its president, Mr Phillip Mariani, but he was not directly involved in the project. The contract with Guide Technologies was introduced in evidence. Mr. Mariani indicated that Guide Technologies was to design the drawworks. The contract between Guide Technologies and PREP includes a release of liability for claims in connection with its work or prototypes. In any event, none of the witnesses called by the buyer were involved in written or oral communications with the seller before the brakes were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There is some dispute over whether Kobelt was told of the nature of the installation of the brake. The seller says that it was told of the use on a mobile winch, not a drawworks. Mr. Kobelt says that he learned it was for a drawworks in May 2007 after the agreement to buy brakes was entered into. It was not explained in evidence whether mobile winch and drawworks are mutually exclusive terms, what each might imply and whether in the business they imply a particular usage for brakes.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purchaser argues that when the particular purpose for which goods are required is known, expressly or by implication, the court will usually infer reliance on the seller's skill or judgment: </w:t>
      </w:r>
      <w:r>
        <w:rPr>
          <w:rFonts w:ascii="arial" w:eastAsia="arial" w:hAnsi="arial" w:cs="arial"/>
          <w:i/>
          <w:color w:val="000000"/>
          <w:sz w:val="20"/>
          <w:lang w:val="en-US" w:eastAsia="en-US" w:bidi="ar-SA"/>
        </w:rPr>
        <w:t>Henry Kendall &amp; 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purchaser relies on </w:t>
      </w:r>
      <w:r>
        <w:rPr>
          <w:rFonts w:ascii="arial" w:eastAsia="arial" w:hAnsi="arial" w:cs="arial"/>
          <w:i/>
          <w:color w:val="000000"/>
          <w:sz w:val="20"/>
          <w:lang w:val="en-US" w:eastAsia="en-US" w:bidi="ar-SA"/>
        </w:rPr>
        <w:t>Hunter Engineering Co. v. Syncrude Canada Ltd.</w:t>
      </w:r>
      <w:r>
        <w:rPr>
          <w:rFonts w:ascii="arial" w:eastAsia="arial" w:hAnsi="arial" w:cs="arial"/>
          <w:color w:val="000000"/>
          <w:sz w:val="20"/>
          <w:lang w:val="en-US" w:eastAsia="en-US" w:bidi="ar-SA"/>
        </w:rPr>
        <w:t xml:space="preserve">, </w:t>
      </w:r>
      <w:hyperlink r:id="rId813" w:history="1">
        <w:r>
          <w:rPr>
            <w:rFonts w:ascii="arial" w:eastAsia="arial" w:hAnsi="arial" w:cs="arial"/>
            <w:i/>
            <w:color w:val="0077CC"/>
            <w:sz w:val="20"/>
            <w:u w:val="single"/>
            <w:shd w:val="clear" w:color="auto" w:fill="FFFFFF"/>
            <w:lang w:val="en-US" w:eastAsia="en-US" w:bidi="ar-SA"/>
          </w:rPr>
          <w:t>[1989] 1 S.C.R. 426</w:t>
        </w:r>
      </w:hyperlink>
      <w:r>
        <w:rPr>
          <w:rFonts w:ascii="arial" w:eastAsia="arial" w:hAnsi="arial" w:cs="arial"/>
          <w:color w:val="000000"/>
          <w:sz w:val="20"/>
          <w:lang w:val="en-US" w:eastAsia="en-US" w:bidi="ar-SA"/>
        </w:rPr>
        <w:t>, where the court found reliance on the seller even when the buyer had provided the specifications for the product. In that case, the court found that the seller, not the buyer, had expertise in the design and manufacturing of gear boxes.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Although Kobelt is the manufacturer of brakes, I think a closer examination of </w:t>
      </w:r>
      <w:r>
        <w:rPr>
          <w:rFonts w:ascii="arial" w:eastAsia="arial" w:hAnsi="arial" w:cs="arial"/>
          <w:i/>
          <w:color w:val="000000"/>
          <w:sz w:val="20"/>
          <w:lang w:val="en-US" w:eastAsia="en-US" w:bidi="ar-SA"/>
        </w:rPr>
        <w:t>Hunter Engineering</w:t>
      </w:r>
      <w:r>
        <w:rPr>
          <w:rFonts w:ascii="arial" w:eastAsia="arial" w:hAnsi="arial" w:cs="arial"/>
          <w:color w:val="000000"/>
          <w:sz w:val="20"/>
          <w:lang w:val="en-US" w:eastAsia="en-US" w:bidi="ar-SA"/>
        </w:rPr>
        <w:t xml:space="preserve"> shows how different that situation was from the case at bar. Justice Wilson said the following about the contract between the seller and buyer for the supply of gear boxes for the tar sands: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128 ... Hunter U.S.'s task is stated to be to "furnish all labour and material for the design, fabrication and delivery of the following equipment in accordance with specification 9776-3T-14 in your possession". The use of the word "design" in addition to "fabrication" indicates a creative role for Hunter U.S. going well beyond the mere construction of a gearbox from specifications prepared for Syncrude by Canadian Bechtel. The willingness of Hunter U.S. to take on such a role is further evidenced by its tender to Syncrude ... [sets out specifications]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129 Perhaps more significantly, the specifications referred to in the purchase order are, in layman's language, specifications about what the gearboxes were required to do, not specifications of how they were to be built.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130 ... The extracts that I have summarized and quoted demonstrate the different roles played by the parties. Syncrude's specifications are a recitation of what the gearboxes should be able to achieve and general guidelines as to how this should be done. Hunter U.S. took on the task of deciding specific design details. The thickness of the steel plates and the way in which the gear housing was to be welded together were both within Hunter U.S.'s purview. It was these design decisions that proved to be wrong. Hunter U.S.'s appeal on this issue must accordingly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the present case, it would not be appropriate to infer reliance as Wilson J. did in </w:t>
      </w:r>
      <w:r>
        <w:rPr>
          <w:rFonts w:ascii="arial" w:eastAsia="arial" w:hAnsi="arial" w:cs="arial"/>
          <w:i/>
          <w:color w:val="000000"/>
          <w:sz w:val="20"/>
          <w:lang w:val="en-US" w:eastAsia="en-US" w:bidi="ar-SA"/>
        </w:rPr>
        <w:t>Hunter Engineering</w:t>
      </w:r>
      <w:r>
        <w:rPr>
          <w:rFonts w:ascii="arial" w:eastAsia="arial" w:hAnsi="arial" w:cs="arial"/>
          <w:color w:val="000000"/>
          <w:sz w:val="20"/>
          <w:lang w:val="en-US" w:eastAsia="en-US" w:bidi="ar-SA"/>
        </w:rPr>
        <w:t>. Neither PREP nor Guide Technologies relied on Kobelt as a designer, but as a supplier. As such, and in the circumstances, their respective roles could not imply reliance on Kobelt to ensure that its brakes performed on a drawworks; rather the extent of any reliance was that the brakes meet the needs as expressed by the buyer, namely the technical specifications as disclosed by Guide Technologies. The e-mails demonstrate that any reliance was merely with respect to certain figures and specifications of the brakes in relation to displaced volume and required pressures. The seller was asked to provide a brake that would release at a particular pressure, and that met the physical dimensions described by Guide Technologies. It was not shown by the buyer that any information given by Guide Technologies about specifications was not complied with by Kobelt.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do not think that, in the case at bar, the buyer provided information to the seller that the brakes were to be able to perform in a drawworks in certain circumstances, i.e. frequent or rapid cycling. Firstly, the evidence does not satisfy me that the buyer informed the seller of the particular purpose. The particular purpose is what the brakes installed on the buyer's drawworks were required to do. That was to operate properly while used on a drawworks and regularly cycled as a holding brake. The seller was told that it was for a mobile winch but, on the evidence, neither Guide Technologies nor PREP revealed that it would be required to cycle as frequently as the brakes did on the tests that led to leaking.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Secondly, I do not think that it was implied that the buyer intended to use the brake for that particular purpose. There was no evidence led that any brake on a mobile winch should be able to achieve this purpose. I do not think it is a matter of judicial notice or common sense that a hydraulic brake should perform as the buyer may have wanted it to in these circumstances. Rather, in the absence of some evidence that the particular purpose was communicated to the seller, there must at least be evidence to demonstrate that it is generally understood that a hydraulic brake should be able to operate in cycles of a particular frequency. No such evidence was put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buyer relied on a number of cases where the court considered whether there was an implied warranty based on communication of the particular purpose by the seller: </w:t>
      </w:r>
      <w:r>
        <w:rPr>
          <w:rFonts w:ascii="arial" w:eastAsia="arial" w:hAnsi="arial" w:cs="arial"/>
          <w:i/>
          <w:color w:val="000000"/>
          <w:sz w:val="20"/>
          <w:lang w:val="en-US" w:eastAsia="en-US" w:bidi="ar-SA"/>
        </w:rPr>
        <w:t>Wharton v. Tom Harris Oldsmobile Cadillac Ltd.</w:t>
      </w:r>
      <w:r>
        <w:rPr>
          <w:rFonts w:ascii="arial" w:eastAsia="arial" w:hAnsi="arial" w:cs="arial"/>
          <w:color w:val="000000"/>
          <w:sz w:val="20"/>
          <w:lang w:val="en-US" w:eastAsia="en-US" w:bidi="ar-SA"/>
        </w:rPr>
        <w:t xml:space="preserve">, </w:t>
      </w:r>
      <w:hyperlink r:id="rId814" w:history="1">
        <w:r>
          <w:rPr>
            <w:rFonts w:ascii="arial" w:eastAsia="arial" w:hAnsi="arial" w:cs="arial"/>
            <w:i/>
            <w:color w:val="0077CC"/>
            <w:sz w:val="20"/>
            <w:u w:val="single"/>
            <w:shd w:val="clear" w:color="auto" w:fill="FFFFFF"/>
            <w:lang w:val="en-US" w:eastAsia="en-US" w:bidi="ar-SA"/>
          </w:rPr>
          <w:t>2002 BCCA 78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Finning Tractor and Equipment Co. v. Malkay,</w:t>
      </w:r>
      <w:r>
        <w:rPr>
          <w:rFonts w:ascii="arial" w:eastAsia="arial" w:hAnsi="arial" w:cs="arial"/>
          <w:color w:val="000000"/>
          <w:sz w:val="20"/>
          <w:lang w:val="en-US" w:eastAsia="en-US" w:bidi="ar-SA"/>
        </w:rPr>
        <w:t xml:space="preserve"> </w:t>
      </w:r>
      <w:hyperlink r:id="rId815" w:history="1">
        <w:r>
          <w:rPr>
            <w:rFonts w:ascii="arial" w:eastAsia="arial" w:hAnsi="arial" w:cs="arial"/>
            <w:i/>
            <w:color w:val="0077CC"/>
            <w:sz w:val="20"/>
            <w:u w:val="single"/>
            <w:shd w:val="clear" w:color="auto" w:fill="FFFFFF"/>
            <w:lang w:val="en-US" w:eastAsia="en-US" w:bidi="ar-SA"/>
          </w:rPr>
          <w:t>[1989] B.C.J. No. 1495</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Total Petroleum (North America) Ltd. v. AMF Turboscope Inc.</w:t>
      </w:r>
      <w:r>
        <w:rPr>
          <w:rFonts w:ascii="arial" w:eastAsia="arial" w:hAnsi="arial" w:cs="arial"/>
          <w:color w:val="000000"/>
          <w:sz w:val="20"/>
          <w:lang w:val="en-US" w:eastAsia="en-US" w:bidi="ar-SA"/>
        </w:rPr>
        <w:t xml:space="preserve">, </w:t>
      </w:r>
      <w:hyperlink r:id="rId816" w:history="1">
        <w:r>
          <w:rPr>
            <w:rFonts w:ascii="arial" w:eastAsia="arial" w:hAnsi="arial" w:cs="arial"/>
            <w:i/>
            <w:color w:val="0077CC"/>
            <w:sz w:val="20"/>
            <w:u w:val="single"/>
            <w:shd w:val="clear" w:color="auto" w:fill="FFFFFF"/>
            <w:lang w:val="en-US" w:eastAsia="en-US" w:bidi="ar-SA"/>
          </w:rPr>
          <w:t>[1987] A.J. No. 702</w:t>
        </w:r>
      </w:hyperlink>
      <w:r>
        <w:rPr>
          <w:rFonts w:ascii="arial" w:eastAsia="arial" w:hAnsi="arial" w:cs="arial"/>
          <w:color w:val="000000"/>
          <w:sz w:val="20"/>
          <w:lang w:val="en-US" w:eastAsia="en-US" w:bidi="ar-SA"/>
        </w:rPr>
        <w:t xml:space="preserve"> (Q.B.); </w:t>
      </w:r>
      <w:r>
        <w:rPr>
          <w:rFonts w:ascii="arial" w:eastAsia="arial" w:hAnsi="arial" w:cs="arial"/>
          <w:i/>
          <w:color w:val="000000"/>
          <w:sz w:val="20"/>
          <w:lang w:val="en-US" w:eastAsia="en-US" w:bidi="ar-SA"/>
        </w:rPr>
        <w:t>Foley v. Piva Contracting Ltd.</w:t>
      </w:r>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2005 BCSC 651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Curtis v. Rideout</w:t>
      </w:r>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[1980] N.J. No. 169</w:t>
        </w:r>
      </w:hyperlink>
      <w:r>
        <w:rPr>
          <w:rFonts w:ascii="arial" w:eastAsia="arial" w:hAnsi="arial" w:cs="arial"/>
          <w:color w:val="000000"/>
          <w:sz w:val="20"/>
          <w:lang w:val="en-US" w:eastAsia="en-US" w:bidi="ar-SA"/>
        </w:rPr>
        <w:t xml:space="preserve"> (T.D.).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All cases in this area of the law, it appears, very much depend on their facts as to whether there was communication of the particular purpose and reliance by the buyer. In </w:t>
      </w:r>
      <w:r>
        <w:rPr>
          <w:rFonts w:ascii="arial" w:eastAsia="arial" w:hAnsi="arial" w:cs="arial"/>
          <w:i/>
          <w:color w:val="000000"/>
          <w:sz w:val="20"/>
          <w:lang w:val="en-US" w:eastAsia="en-US" w:bidi="ar-SA"/>
        </w:rPr>
        <w:t>Wharton</w:t>
      </w:r>
      <w:r>
        <w:rPr>
          <w:rFonts w:ascii="arial" w:eastAsia="arial" w:hAnsi="arial" w:cs="arial"/>
          <w:color w:val="000000"/>
          <w:sz w:val="20"/>
          <w:lang w:val="en-US" w:eastAsia="en-US" w:bidi="ar-SA"/>
        </w:rPr>
        <w:t xml:space="preserve">, the car had a buzzing noise in its sound system that could not be cured, and the court found that the buyer relied on the salesman's knowledge of the particular fitness of a Cadillac Eldorado for the stated purpose of having a luxury vehicle. In </w:t>
      </w:r>
      <w:r>
        <w:rPr>
          <w:rFonts w:ascii="arial" w:eastAsia="arial" w:hAnsi="arial" w:cs="arial"/>
          <w:i/>
          <w:color w:val="000000"/>
          <w:sz w:val="20"/>
          <w:lang w:val="en-US" w:eastAsia="en-US" w:bidi="ar-SA"/>
        </w:rPr>
        <w:t>Total Petroleum</w:t>
      </w:r>
      <w:r>
        <w:rPr>
          <w:rFonts w:ascii="arial" w:eastAsia="arial" w:hAnsi="arial" w:cs="arial"/>
          <w:color w:val="000000"/>
          <w:sz w:val="20"/>
          <w:lang w:val="en-US" w:eastAsia="en-US" w:bidi="ar-SA"/>
        </w:rPr>
        <w:t>, the buyer required a joint system that was completely sealed, that is one that prevented the intrusion of any transparent fluid that would come in contact with bare metal at the weld sites. That purpose was expressly communicated at a meeting with the seller.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Finning Tractor</w:t>
      </w:r>
      <w:r>
        <w:rPr>
          <w:rFonts w:ascii="arial" w:eastAsia="arial" w:hAnsi="arial" w:cs="arial"/>
          <w:color w:val="000000"/>
          <w:sz w:val="20"/>
          <w:lang w:val="en-US" w:eastAsia="en-US" w:bidi="ar-SA"/>
        </w:rPr>
        <w:t xml:space="preserve">, the buyer gave Finning the approximate weight of his vessel and the desired cruising speed. The purpose, obtaining an engine that would provide reliable propulsion, was again found to be well known to the vendor. In </w:t>
      </w:r>
      <w:r>
        <w:rPr>
          <w:rFonts w:ascii="arial" w:eastAsia="arial" w:hAnsi="arial" w:cs="arial"/>
          <w:i/>
          <w:color w:val="000000"/>
          <w:sz w:val="20"/>
          <w:lang w:val="en-US" w:eastAsia="en-US" w:bidi="ar-SA"/>
        </w:rPr>
        <w:t>Foley</w:t>
      </w:r>
      <w:r>
        <w:rPr>
          <w:rFonts w:ascii="arial" w:eastAsia="arial" w:hAnsi="arial" w:cs="arial"/>
          <w:color w:val="000000"/>
          <w:sz w:val="20"/>
          <w:lang w:val="en-US" w:eastAsia="en-US" w:bidi="ar-SA"/>
        </w:rPr>
        <w:t xml:space="preserve">, the buyers were purchasing a trailer for general ranching purposes. The salesman was found to be clearly aware of this, and the purchaser was found to have relied on the salesman's skill and judgment regarding the TS100 trailer. In </w:t>
      </w:r>
      <w:r>
        <w:rPr>
          <w:rFonts w:ascii="arial" w:eastAsia="arial" w:hAnsi="arial" w:cs="arial"/>
          <w:i/>
          <w:color w:val="000000"/>
          <w:sz w:val="20"/>
          <w:lang w:val="en-US" w:eastAsia="en-US" w:bidi="ar-SA"/>
        </w:rPr>
        <w:t>Curtis</w:t>
      </w:r>
      <w:r>
        <w:rPr>
          <w:rFonts w:ascii="arial" w:eastAsia="arial" w:hAnsi="arial" w:cs="arial"/>
          <w:color w:val="000000"/>
          <w:sz w:val="20"/>
          <w:lang w:val="en-US" w:eastAsia="en-US" w:bidi="ar-SA"/>
        </w:rPr>
        <w:t>, the plaintiff who was purchasing a boat made it very clear that he required the boat for a type of inshore fisheries that he was pursuing and that he relied on the defendant's skill and excellent reputation to build the "trap skiff" he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These cases, where the particular purpose was found to be communicated to the seller, are distinguishable from the case at bar. In my opinion, the particular purpose, that being the particular manner of use of these brakes in the drawworks, was on the evidence not brought to the seller's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There was no evidence introduced by the buyer that establishes that the 5027 brakes did not comply with any of the specifications that may have been applicable, i.e. those referred to in the email correspondence. The particular problem with the brake was leaking after frequent cycling as a holding brake. The parties in argument took issue with whether this was an anticipated and expected use of the brakes. The seller suggests that the use was akin to using the brake in the service mode and the buyer suggests it was a normal and anticipated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There was no evidence that this particular purpose - frequent cycling as a holding brake on a drawworks - was brought to the attention of the seller or that the buyer relied on the seller's skill in selecting the brake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There was no evidence put before me that it was well understood and known in the industry, or that it ought to have been known to the seller, that hydraulic brakes subsequently assembled on drawworks, or winches, should be able to perform functions at high cycling frequencies without leaking. It is important to recognize that the seller in this situation was supplying a part, which would be later assembled and installed for a particular use in a larger structure, the drawworks. While a purchaser of a new car or tractor could reasonably assume that his brakes on his new vehicle would not leak, as the particular use would be implied, if not express, there is no evidence that the seller ought to have been aware that the brakes would be used in the fashion that on the evidence led to the leaking.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Before dealing with the question of whether the limited warranty and exclusion clause was part of the contract and the scope of the exclusion clause, I find that, on the evidence, I am not satisfied that the purchaser in the circumstances brought to the attention of the vendor the particular purpose - which is the manner in which the brakes would be operated on the drawworks- and in the circumstances the purchaser has not established that it relied on the vendor. The evidence suggests that the buyer relied on his consultant, Guide Technologies. The basis of the consultant's choice for any particular purpose is unclear, as the consultant did not testify. As a result, any suggestion that Guide Technologies relied on the seller's expertise in determining the fitness of the brakes for this particular purpose on the drawworks has not been established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As such, I find that there is no implied statutory warranty for fitness for the particular purpose which apparently caused the leaking. Furthermore, I do not find that the continued efforts of the seller to fix the leaking problem that arose in the field subsequent to the contract being made gives rise to an implied warranty or a contractual obligation that is answerable in damages. I find that Kobelt, after the contract was made, was prepared to do what it could to try to make the brake fit for the purpose the buyer wanted to use it for but I do not find there to be an independent agreement reached to make it fit for that particular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summary, it has not been proven that the purchaser brought to the attention of the seller the particular purpose for which the brakes would be used or relied on the skill and expertise of the seller that they were fit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Accordingly, although the brakes were not suitable for the particular purpose that the buyer used them for, I find there was no breach of any implied condition or warranty under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because the required communication of a particular purpose and reliance is absent.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As a result of my conclusion above, it is not necessary to consider the issue of whether the contract was one for the sale of a specified article under its patent or other trade name, so as to preclude the implied warranty of fitness for a particular purpose: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s.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Exclusion Clause and Kobelt's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Had I found the required communication of a particular purpose and reliance, the issue would be whether Kobelt's liability is excluded or limited by the terms of the contract. The question is whether or not Kobelt's terms and conditions, posted on its website, had the effect of excluding or limiting liability in accordance with its terms. The buyer argues that the exclusion clause that appears in Kobelt's website is not part of the contract and does not operate to exclude liability for the statutory warranty because it was a unilateral attempt on the part of the Kobelt to impose terms by a shipping document or invoice after the contract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Moreover, the buyer says that the language concerning warranties, limitation of liability and an attempt to oust statutory warranties is ineffective as it is inconsistent, meaningless, vague and ambiguous.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my view, the effect of the exclusion clause can be addressed through a consideration of the following issues: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 the reference to the terms and conditions on Kobelt's website in shipping documents, received after the contract was formed, introduce an exclusion clause as a binding term between the parties?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in any event, adequate notice or use of the website by the purchaser for the exclusion clause to be part of the contract?</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Assuming the exclusion clause is part of the contract, is its wording sufficiently clear to oust the implied statutory condition or warranty under the </w:t>
      </w:r>
      <w:r>
        <w:rPr>
          <w:rFonts w:ascii="arial" w:eastAsia="arial" w:hAnsi="arial" w:cs="arial"/>
          <w:i/>
          <w:color w:val="000000"/>
          <w:sz w:val="20"/>
          <w:lang w:val="en-US" w:eastAsia="en-US" w:bidi="ar-SA"/>
        </w:rPr>
        <w:t>Sale of Goods</w:t>
      </w:r>
      <w:r>
        <w:rPr>
          <w:rFonts w:ascii="arial" w:eastAsia="arial" w:hAnsi="arial" w:cs="arial"/>
          <w:color w:val="000000"/>
          <w:sz w:val="20"/>
          <w:lang w:val="en-US" w:eastAsia="en-US" w:bidi="ar-SA"/>
        </w:rPr>
        <w:t xml:space="preserv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 turn first to the issue of whether the terms and conditions on the website were adopted into the contract between Kobelt and PREP. The website address with respect to Kobelt's warranty was posted on its shipping invoice, which on the evidence the buyer received after having placed its order. The buyer relies on </w:t>
      </w:r>
      <w:r>
        <w:rPr>
          <w:rFonts w:ascii="arial" w:eastAsia="arial" w:hAnsi="arial" w:cs="arial"/>
          <w:i/>
          <w:color w:val="000000"/>
          <w:sz w:val="20"/>
          <w:lang w:val="en-US" w:eastAsia="en-US" w:bidi="ar-SA"/>
        </w:rPr>
        <w:t>Edmonton (City) v. Lovat Tunnel Equipment Inc.</w:t>
      </w:r>
      <w:r>
        <w:rPr>
          <w:rFonts w:ascii="arial" w:eastAsia="arial" w:hAnsi="arial" w:cs="arial"/>
          <w:color w:val="000000"/>
          <w:sz w:val="20"/>
          <w:lang w:val="en-US" w:eastAsia="en-US" w:bidi="ar-SA"/>
        </w:rPr>
        <w:t xml:space="preserve">, </w:t>
      </w:r>
      <w:hyperlink r:id="rId819" w:history="1">
        <w:r>
          <w:rPr>
            <w:rFonts w:ascii="arial" w:eastAsia="arial" w:hAnsi="arial" w:cs="arial"/>
            <w:i/>
            <w:color w:val="0077CC"/>
            <w:sz w:val="20"/>
            <w:u w:val="single"/>
            <w:shd w:val="clear" w:color="auto" w:fill="FFFFFF"/>
            <w:lang w:val="en-US" w:eastAsia="en-US" w:bidi="ar-SA"/>
          </w:rPr>
          <w:t>2000 ABQB 882</w:t>
        </w:r>
      </w:hyperlink>
      <w:r>
        <w:rPr>
          <w:rFonts w:ascii="arial" w:eastAsia="arial" w:hAnsi="arial" w:cs="arial"/>
          <w:color w:val="000000"/>
          <w:sz w:val="20"/>
          <w:lang w:val="en-US" w:eastAsia="en-US" w:bidi="ar-SA"/>
        </w:rPr>
        <w:t xml:space="preserve"> for the proposition that where an exclusion clause is unilaterally imposed after the contract is made, it is of no force and effect as it has not been incorporated into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As a general rule, exclusion clauses cannot be introduced by a document delivered after the contract has been formed. As stated by Cheshire, Fifoot and Furmston, </w:t>
      </w:r>
      <w:r>
        <w:rPr>
          <w:rFonts w:ascii="arial" w:eastAsia="arial" w:hAnsi="arial" w:cs="arial"/>
          <w:i/>
          <w:color w:val="000000"/>
          <w:sz w:val="20"/>
          <w:lang w:val="en-US" w:eastAsia="en-US" w:bidi="ar-SA"/>
        </w:rPr>
        <w:t>The Law of Contract</w:t>
      </w:r>
      <w:r>
        <w:rPr>
          <w:rFonts w:ascii="arial" w:eastAsia="arial" w:hAnsi="arial" w:cs="arial"/>
          <w:color w:val="000000"/>
          <w:sz w:val="20"/>
          <w:lang w:val="en-US" w:eastAsia="en-US" w:bidi="ar-SA"/>
        </w:rPr>
        <w:t xml:space="preserve">, 11th ed. (London: Butterworths, 1986), at p. 152, and adopted in </w:t>
      </w:r>
      <w:r>
        <w:rPr>
          <w:rFonts w:ascii="arial" w:eastAsia="arial" w:hAnsi="arial" w:cs="arial"/>
          <w:i/>
          <w:color w:val="000000"/>
          <w:sz w:val="20"/>
          <w:lang w:val="en-US" w:eastAsia="en-US" w:bidi="ar-SA"/>
        </w:rPr>
        <w:t>Trigg v. MI Movers International Transport Services Ltd.</w:t>
      </w:r>
      <w:r>
        <w:rPr>
          <w:rFonts w:ascii="arial" w:eastAsia="arial" w:hAnsi="arial" w:cs="arial"/>
          <w:color w:val="000000"/>
          <w:sz w:val="20"/>
          <w:lang w:val="en-US" w:eastAsia="en-US" w:bidi="ar-SA"/>
        </w:rPr>
        <w:t xml:space="preserve"> </w:t>
      </w:r>
      <w:hyperlink r:id="rId820" w:history="1">
        <w:r>
          <w:rPr>
            <w:rFonts w:ascii="arial" w:eastAsia="arial" w:hAnsi="arial" w:cs="arial"/>
            <w:i/>
            <w:color w:val="0077CC"/>
            <w:sz w:val="20"/>
            <w:u w:val="single"/>
            <w:shd w:val="clear" w:color="auto" w:fill="FFFFFF"/>
            <w:lang w:val="en-US" w:eastAsia="en-US" w:bidi="ar-SA"/>
          </w:rPr>
          <w:t>(1991), 84 D.L.R. (4th) 504</w:t>
        </w:r>
      </w:hyperlink>
      <w:r>
        <w:rPr>
          <w:rFonts w:ascii="arial" w:eastAsia="arial" w:hAnsi="arial" w:cs="arial"/>
          <w:color w:val="000000"/>
          <w:sz w:val="20"/>
          <w:lang w:val="en-US" w:eastAsia="en-US" w:bidi="ar-SA"/>
        </w:rPr>
        <w:t xml:space="preserve"> (Ont.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time when the notice is alleged to have been given is of great importance. No excluding or limiting term will avail the party seeking its protection unless it has been brought adequately to the attention of the other party before the contract is made. A belated notice is valueless.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Repap British Columbia Inc. v. Electronic Technology Systems, Inc.</w:t>
      </w:r>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2002 BCSC 539</w:t>
        </w:r>
      </w:hyperlink>
      <w:r>
        <w:rPr>
          <w:rFonts w:ascii="arial" w:eastAsia="arial" w:hAnsi="arial" w:cs="arial"/>
          <w:color w:val="000000"/>
          <w:sz w:val="20"/>
          <w:lang w:val="en-US" w:eastAsia="en-US" w:bidi="ar-SA"/>
        </w:rPr>
        <w:t xml:space="preserve"> at para. 11, Kirkpatrick J., as she then was, stated as one of a number of principles that she derived from an overview of the jurisprudence:</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a standard form document is not signed but is merely delivered to the other party, the terms upon which the delivering party wishes to rely must be brought to the notice of the contracting party before or at the time the contract is made. If it is not communicated until afterwards, it will be of no effect. See: Anson, at 61, and </w:t>
      </w:r>
      <w:r>
        <w:rPr>
          <w:rFonts w:ascii="arial" w:eastAsia="arial" w:hAnsi="arial" w:cs="arial"/>
          <w:i/>
          <w:color w:val="000000"/>
          <w:sz w:val="20"/>
          <w:lang w:val="en-US" w:eastAsia="en-US" w:bidi="ar-SA"/>
        </w:rPr>
        <w:t>Levison v. Patent Steam Carpet Cleaning Co Ltd.</w:t>
      </w:r>
      <w:r>
        <w:rPr>
          <w:rFonts w:ascii="arial" w:eastAsia="arial" w:hAnsi="arial" w:cs="arial"/>
          <w:color w:val="000000"/>
          <w:sz w:val="20"/>
          <w:lang w:val="en-US" w:eastAsia="en-US" w:bidi="ar-SA"/>
        </w:rPr>
        <w:t>, [1978] Q.B. 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Finally, I note that in </w:t>
      </w:r>
      <w:r>
        <w:rPr>
          <w:rFonts w:ascii="arial" w:eastAsia="arial" w:hAnsi="arial" w:cs="arial"/>
          <w:i/>
          <w:color w:val="000000"/>
          <w:sz w:val="20"/>
          <w:lang w:val="en-US" w:eastAsia="en-US" w:bidi="ar-SA"/>
        </w:rPr>
        <w:t>Town Concrete</w:t>
      </w:r>
      <w:r>
        <w:rPr>
          <w:rFonts w:ascii="arial" w:eastAsia="arial" w:hAnsi="arial" w:cs="arial"/>
          <w:color w:val="000000"/>
          <w:sz w:val="20"/>
          <w:lang w:val="en-US" w:eastAsia="en-US" w:bidi="ar-SA"/>
        </w:rPr>
        <w:t>, Dorgan J. held that notwithstanding the fact there had been some prior dealings between the plaintiff and the defendant, an exclusion clause contained in a bill of sale that was neither assented to by the plaintiff nor brought to its attention prior to entry into the contract could not be enforced.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the case at bar, the first time that PREP received actual notice of these terms was in a document referring to the website that was delivered to the purchaser following the entry into the contract. The contract was entered into when the first brakes were ordered. While there were subsequent orders made, I find that the contract between the parties was formed at the time of the first order of brakes. Hence, I find that the website terms were not incorporated into the agreement as they were not a part of the agreement at the time the contract was 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Turning now to the second issue, the seller says that the purchaser was nonetheless aware of the terms and conditions that appeared on the seller's website at the time the brakes were purchased. As such, the seller states that there was adequate notice of the terms on the website so as to incorporate the limited warranty and exclusion clause into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this case, much like the evidence of communication of purpose by the buyer was limited, so was the evidence of the buyer's knowledge of the seller's warranty and any limitations or exclusions that may have appeared on the Kobelt website.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There was some evidence from Mr. Kogler that PREP may have bought brakes in the past but that was the extent of his evidence. However, the plaintiff read in the following excerpts from the examination for discovery of Brad French who is now the business manager for the winching and hoisting product line of PREP. The seller says that this indicates knowledge by the buyer of the terms on the website before the brakes were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473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did you forward to either Academy or Xtreme the warranty from Kobelt?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recall.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474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were aware of the warranty from Kobelt, though?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aware they have a warranty.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475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And you've seen it online?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I've seen it online, 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476 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would have seen it online while this was being negotiated with your customers?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627"/>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Probably did.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Does the evidence show that the terms were known to be on the website before the orders for brakes were placed by PREP?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The basic proposition is that where a party has actual notice of conditions at the time of entry into contract, these terms will be adopted into the contract. As stated by Lord Pearce in </w:t>
      </w:r>
      <w:r>
        <w:rPr>
          <w:rFonts w:ascii="arial" w:eastAsia="arial" w:hAnsi="arial" w:cs="arial"/>
          <w:i/>
          <w:color w:val="000000"/>
          <w:sz w:val="20"/>
          <w:lang w:val="en-US" w:eastAsia="en-US" w:bidi="ar-SA"/>
        </w:rPr>
        <w:t>Henry Kendall &amp; Sons</w:t>
      </w:r>
      <w:r>
        <w:rPr>
          <w:rFonts w:ascii="arial" w:eastAsia="arial" w:hAnsi="arial" w:cs="arial"/>
          <w:color w:val="000000"/>
          <w:sz w:val="20"/>
          <w:lang w:val="en-US" w:eastAsia="en-US" w:bidi="ar-SA"/>
        </w:rPr>
        <w:t xml:space="preserve"> at 481: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present case [the buyers] ... knew of the existence of the conditions on the back of the contract note ... The only reasonable inference from the regular course of dealing over so long a period is that [the buyers] were evincing an acceptance of, and a readiness to be bound by, the printed conditions of whose existence they were well aware although they had not troubled to read them. Thus the general conditions became part of the oral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In some circumstances, notice short of actual notice may nevertheless result in an exclusion clause forming part of a contract. In </w:t>
      </w:r>
      <w:r>
        <w:rPr>
          <w:rFonts w:ascii="arial" w:eastAsia="arial" w:hAnsi="arial" w:cs="arial"/>
          <w:i/>
          <w:color w:val="000000"/>
          <w:sz w:val="20"/>
          <w:lang w:val="en-US" w:eastAsia="en-US" w:bidi="ar-SA"/>
        </w:rPr>
        <w:t>Trigg,</w:t>
      </w:r>
      <w:r>
        <w:rPr>
          <w:rFonts w:ascii="arial" w:eastAsia="arial" w:hAnsi="arial" w:cs="arial"/>
          <w:color w:val="000000"/>
          <w:sz w:val="20"/>
          <w:lang w:val="en-US" w:eastAsia="en-US" w:bidi="ar-SA"/>
        </w:rPr>
        <w:t xml:space="preserve"> the Ontario Court of Appeal provided the following comments with respect to adequacy of notice of an exclusion clause: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Where a party to a contract raises a defence based on a limitation or exemption clause, the immediate issue is whether or not the clause is legitimately part of the contract between the parties. The determination of this issue depends on the adequacy of the notice given by the party for whose benefit the clause is inserted. G.H.L. Fridman, </w:t>
      </w:r>
      <w:r>
        <w:rPr>
          <w:rFonts w:ascii="arial" w:eastAsia="arial" w:hAnsi="arial" w:cs="arial"/>
          <w:i/>
          <w:color w:val="000000"/>
          <w:sz w:val="20"/>
          <w:lang w:val="en-US" w:eastAsia="en-US" w:bidi="ar-SA"/>
        </w:rPr>
        <w:t>Law of Contracts in Canada</w:t>
      </w:r>
      <w:r>
        <w:rPr>
          <w:rFonts w:ascii="arial" w:eastAsia="arial" w:hAnsi="arial" w:cs="arial"/>
          <w:color w:val="000000"/>
          <w:sz w:val="20"/>
          <w:lang w:val="en-US" w:eastAsia="en-US" w:bidi="ar-SA"/>
        </w:rPr>
        <w:t>, 2nd ed. (Toronto: Carswell, 1986), summarizes the law as follows, at p. 537: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applicability of an exclusion or limitation clause can be challenged on the ground that the party seeking its protection did not bring its existence and inclusion in the contract sufficiently to the notice of the other party at the time of, or prior to the making of the contract, with the result that the latter cannot be taken to have assented to the clause. If this is so, then the clause will not be effectuated. </w:t>
      </w:r>
      <w:r>
        <w:rPr>
          <w:rFonts w:ascii="arial" w:eastAsia="arial" w:hAnsi="arial" w:cs="arial"/>
          <w:color w:val="000000"/>
          <w:sz w:val="20"/>
          <w:u w:val="single"/>
          <w:lang w:val="en-US" w:eastAsia="en-US" w:bidi="ar-SA"/>
        </w:rPr>
        <w:t>Unless a party has taken reasonable steps to draw the other party's attention to the contents, or some particular contents, of the proposed contract, the consent of the offeree to the offer will not be taken to extend as far as the term or terms of which the offeree is ignorant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Thus, the general rule is that a limitation or exemption clause is not imported into a contract unless it is brought home to the other party so prominently that he or she must be taken to have known it and agreed to it; see, e.g., </w:t>
      </w:r>
      <w:r>
        <w:rPr>
          <w:rFonts w:ascii="arial" w:eastAsia="arial" w:hAnsi="arial" w:cs="arial"/>
          <w:i/>
          <w:color w:val="000000"/>
          <w:sz w:val="20"/>
          <w:lang w:val="en-US" w:eastAsia="en-US" w:bidi="ar-SA"/>
        </w:rPr>
        <w:t>Mendelssohn v. Normand Ltd.</w:t>
      </w:r>
      <w:r>
        <w:rPr>
          <w:rFonts w:ascii="arial" w:eastAsia="arial" w:hAnsi="arial" w:cs="arial"/>
          <w:color w:val="000000"/>
          <w:sz w:val="20"/>
          <w:lang w:val="en-US" w:eastAsia="en-US" w:bidi="ar-SA"/>
        </w:rPr>
        <w:t>, [1970] 1 Q.B. 177, [1969] 2 All E.R. 1215 (C.A.), at p. 182 Q.B., p. 1217 All E.R.</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Repap</w:t>
      </w:r>
      <w:r>
        <w:rPr>
          <w:rFonts w:ascii="arial" w:eastAsia="arial" w:hAnsi="arial" w:cs="arial"/>
          <w:color w:val="000000"/>
          <w:sz w:val="20"/>
          <w:lang w:val="en-US" w:eastAsia="en-US" w:bidi="ar-SA"/>
        </w:rPr>
        <w:t xml:space="preserve"> at para. 11, previous dealings between contracting parties may be relevant if they establish actual knowledge and consent to the terms to be imposed; however, a term cannot be imposed on a party if the term was unknown to them. Furthermore, where terms are common in a particular business or trade, especially when the parties are of equal bargaining power, the clause may be included in the contract in the absence of a consistent previous course of dealing. It may be sufficient if adequate notice is given identifying and relying upon the conditions and that they are available on request (</w:t>
      </w:r>
      <w:r>
        <w:rPr>
          <w:rFonts w:ascii="arial" w:eastAsia="arial" w:hAnsi="arial" w:cs="arial"/>
          <w:i/>
          <w:color w:val="000000"/>
          <w:sz w:val="20"/>
          <w:lang w:val="en-US" w:eastAsia="en-US" w:bidi="ar-SA"/>
        </w:rPr>
        <w:t>Repap</w:t>
      </w:r>
      <w:r>
        <w:rPr>
          <w:rFonts w:ascii="arial" w:eastAsia="arial" w:hAnsi="arial" w:cs="arial"/>
          <w:color w:val="000000"/>
          <w:sz w:val="20"/>
          <w:lang w:val="en-US" w:eastAsia="en-US" w:bidi="ar-SA"/>
        </w:rPr>
        <w:t xml:space="preserve"> at para. 11, referring to </w:t>
      </w:r>
      <w:r>
        <w:rPr>
          <w:rFonts w:ascii="arial" w:eastAsia="arial" w:hAnsi="arial" w:cs="arial"/>
          <w:i/>
          <w:color w:val="000000"/>
          <w:sz w:val="20"/>
          <w:lang w:val="en-US" w:eastAsia="en-US" w:bidi="ar-SA"/>
        </w:rPr>
        <w:t>British Crane Hire Corporation Ltd. v. Ipswich Plant Hire Ltd.</w:t>
      </w:r>
      <w:r>
        <w:rPr>
          <w:rFonts w:ascii="arial" w:eastAsia="arial" w:hAnsi="arial" w:cs="arial"/>
          <w:color w:val="000000"/>
          <w:sz w:val="20"/>
          <w:lang w:val="en-US" w:eastAsia="en-US" w:bidi="ar-SA"/>
        </w:rPr>
        <w:t xml:space="preserve">, [1974] 1 All E.R. 1059 (C.A.) and </w:t>
      </w:r>
      <w:r>
        <w:rPr>
          <w:rFonts w:ascii="arial" w:eastAsia="arial" w:hAnsi="arial" w:cs="arial"/>
          <w:i/>
          <w:color w:val="000000"/>
          <w:sz w:val="20"/>
          <w:lang w:val="en-US" w:eastAsia="en-US" w:bidi="ar-SA"/>
        </w:rPr>
        <w:t>Circle Freight International Ltd. v. Medeast Gulf Exports</w:t>
      </w:r>
      <w:r>
        <w:rPr>
          <w:rFonts w:ascii="arial" w:eastAsia="arial" w:hAnsi="arial" w:cs="arial"/>
          <w:color w:val="000000"/>
          <w:sz w:val="20"/>
          <w:lang w:val="en-US" w:eastAsia="en-US" w:bidi="ar-SA"/>
        </w:rPr>
        <w:t xml:space="preserve"> [1988] 2 Lloyd's Rep. 427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With respect to terms on a website, in the recent case of </w:t>
      </w:r>
      <w:r>
        <w:rPr>
          <w:rFonts w:ascii="arial" w:eastAsia="arial" w:hAnsi="arial" w:cs="arial"/>
          <w:i/>
          <w:color w:val="000000"/>
          <w:sz w:val="20"/>
          <w:lang w:val="en-US" w:eastAsia="en-US" w:bidi="ar-SA"/>
        </w:rPr>
        <w:t>Boutique Jacob Inc. v. Pantainer Ltd.</w:t>
      </w:r>
      <w:r>
        <w:rPr>
          <w:rFonts w:ascii="arial" w:eastAsia="arial" w:hAnsi="arial" w:cs="arial"/>
          <w:color w:val="000000"/>
          <w:sz w:val="20"/>
          <w:lang w:val="en-US" w:eastAsia="en-US" w:bidi="ar-SA"/>
        </w:rPr>
        <w:t xml:space="preserve">, </w:t>
      </w:r>
      <w:hyperlink r:id="rId822" w:history="1">
        <w:r>
          <w:rPr>
            <w:rFonts w:ascii="arial" w:eastAsia="arial" w:hAnsi="arial" w:cs="arial"/>
            <w:i/>
            <w:color w:val="0077CC"/>
            <w:sz w:val="20"/>
            <w:u w:val="single"/>
            <w:shd w:val="clear" w:color="auto" w:fill="FFFFFF"/>
            <w:lang w:val="en-US" w:eastAsia="en-US" w:bidi="ar-SA"/>
          </w:rPr>
          <w:t>2006 FC 217</w:t>
        </w:r>
      </w:hyperlink>
      <w:r>
        <w:rPr>
          <w:rFonts w:ascii="arial" w:eastAsia="arial" w:hAnsi="arial" w:cs="arial"/>
          <w:color w:val="000000"/>
          <w:sz w:val="20"/>
          <w:lang w:val="en-US" w:eastAsia="en-US" w:bidi="ar-SA"/>
        </w:rPr>
        <w:t xml:space="preserve"> (reversed on other grounds in </w:t>
      </w:r>
      <w:hyperlink r:id="rId823" w:history="1">
        <w:r>
          <w:rPr>
            <w:rFonts w:ascii="arial" w:eastAsia="arial" w:hAnsi="arial" w:cs="arial"/>
            <w:i/>
            <w:color w:val="0077CC"/>
            <w:sz w:val="20"/>
            <w:u w:val="single"/>
            <w:shd w:val="clear" w:color="auto" w:fill="FFFFFF"/>
            <w:lang w:val="en-US" w:eastAsia="en-US" w:bidi="ar-SA"/>
          </w:rPr>
          <w:t>2008 FCA 85</w:t>
        </w:r>
      </w:hyperlink>
      <w:r>
        <w:rPr>
          <w:rFonts w:ascii="arial" w:eastAsia="arial" w:hAnsi="arial" w:cs="arial"/>
          <w:color w:val="000000"/>
          <w:sz w:val="20"/>
          <w:lang w:val="en-US" w:eastAsia="en-US" w:bidi="ar-SA"/>
        </w:rPr>
        <w:t xml:space="preserve">), the court considered the website of a third party cargo carrier, which contained its terms and conditions under a specific link. This same website was found to convey other information related with the cargo company's services, such as reservations, departure schedules and shipment confirmation. The defendant had dealt with the cargo carrier electronically. The electronic document contained the following clause: "The printed terms and conditions appearing on the face and reverse side of this bill of lading are available at </w:t>
      </w:r>
      <w:r>
        <w:rPr>
          <w:rFonts w:ascii="arial" w:eastAsia="arial" w:hAnsi="arial" w:cs="arial"/>
          <w:color w:val="000000"/>
          <w:sz w:val="20"/>
          <w:u w:val="single"/>
          <w:lang w:val="en-US" w:eastAsia="en-US" w:bidi="ar-SA"/>
        </w:rPr>
        <w:t>www.oocl.com</w:t>
      </w:r>
      <w:r>
        <w:rPr>
          <w:rFonts w:ascii="arial" w:eastAsia="arial" w:hAnsi="arial" w:cs="arial"/>
          <w:color w:val="000000"/>
          <w:sz w:val="20"/>
          <w:lang w:val="en-US" w:eastAsia="en-US" w:bidi="ar-SA"/>
        </w:rPr>
        <w:t>, in OOCL's published US tariffs and in pamphlet form". The court considered whether the plaintiff and defendant had expressly or implicitly consented to the cargo carrier's terms and conditions: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The question that must be answered, therefore, is whether Jacob and Pantainer have expressly or implicitly consented to OOCL's terms and conditions. Neither Jacob nor Pantainer have admitted that they had actual knowledge of OOCL's terms and conditions, which are found on its website. The fact remains that Pantainer, through Panalpina (China) Ltd., and Panalpina Inc., have a history of prior dealings, particularly with respect to cargo from the Far East. </w:t>
      </w:r>
      <w:r>
        <w:rPr>
          <w:rFonts w:ascii="arial" w:eastAsia="arial" w:hAnsi="arial" w:cs="arial"/>
          <w:color w:val="000000"/>
          <w:sz w:val="20"/>
          <w:u w:val="single"/>
          <w:lang w:val="en-US" w:eastAsia="en-US" w:bidi="ar-SA"/>
        </w:rPr>
        <w:t>OOCL's documentation alerts any reader, such as Pantainer, to the existence of OOCL terms subject to the applicable tariff, which can easily be found on its website. Pantainer admits using the OOCL website for other purposes related to booking and tracking cargoes.</w:t>
      </w:r>
      <w:r>
        <w:rPr>
          <w:rFonts w:ascii="arial" w:eastAsia="arial" w:hAnsi="arial" w:cs="arial"/>
          <w:color w:val="000000"/>
          <w:sz w:val="20"/>
          <w:lang w:val="en-US" w:eastAsia="en-US" w:bidi="ar-SA"/>
        </w:rPr>
        <w:t xml:space="preserve"> Anyone in Pantainer or in the Panalpina group could have found out by clicking onto the "B/L Terms" icon on the website (see Agreed Facts, paras. 18-23).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Given the circumstances, I agree with counsel for OOCL that Pantainer must be taken to have knowledge of its standard terms due to previous dealings, the course of dealing and the fact that nothing in the terms that OOCL relies on is unduly burdensome or unconscionable in the commercial context. In fact, as we shall see shortly, the limitations found in OOCL's terms are very similar in scope and application as those in Pantainer's terms.</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Accordingly, terms and conditions may, in appropriate circumstances, be incorporated into an agreement by way of reference to a website link.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However, on the evidence, I am not persuaded that the buyer had adequate knowledge of the particular warranty and exclusion clauses. There is some evidence that Mr. French, a representative of PREP, may have had notice of the terms on the website at the time of entry into the contract. I have set out that evidence in its entirety. It is vague and imprecise as to the timing and extent of Mr. French's knowledge. The evidence of Mr. Mariani and Mr. Strujic of PREP was that they were not aware of the warranty and the terms of the exclusion. There is no evidence that the purchase of the brakes was done electronically. There is no evidence of a course of dealings under which I might conclude that the buyer was aware of the terms on the website. I do not find that returning the brakes under the return warranty provision on the website necessarily suggests that there was knowledge, at the time of entry into the contract, of the basic warranty that was offered by the plaintiff and its limits. Furthermore, there was insufficient evidence of a course of dealings or industry practice under which the knowledge of the warranty by the buyer can be assumed. The only evidence of prior dealings was that there may have been purchases in the past. This evidence is clearly inadequate to conclude from a course of dealings that an exclusion clause on a website is part of the contract. The seller has not demonstrated that the terms of the warranty and exclusion clause were at all times available and easily accessible on Kobelt's website, or that the buyer was fully aware that they existed at the time of entry into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an appropriate case it might be that parties, especially sophisticated commercial actors, would be taken to know that terms and conditions are found on a website. It is now commonplace for companies to have internet websites which allow for electronic transactions. However, in order for terms and conditions on an internet website to be within the common understanding of the parties and part of their contract, there should be some evidence that those parties had interacted through the use of their websites, not just by email, or at least had notice of the terms and conditions on the other's website at the time of entry into contract. There must also be evidence that those terms and conditions were posted on the website at the requisite time. It would be inappropriate to simply imply notice of terms absent any evidence that the website had been used before or that reasonable steps were taken to bring the existence of that website, and specifically the terms and conditions contained therein, to the attention of the other party prior to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Accordingly, on the evidence, I conclude that the seller has not proven that the terms and conditions on its website formed part of the contract between these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However, if I am wrong and they did form part of the contract, the next issue is whether the language has the effect of excluding the statutory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The general rules of contractual interpretation also apply to contracts which contain exclusion clauses. As stated in </w:t>
      </w:r>
      <w:r>
        <w:rPr>
          <w:rFonts w:ascii="arial" w:eastAsia="arial" w:hAnsi="arial" w:cs="arial"/>
          <w:i/>
          <w:color w:val="000000"/>
          <w:sz w:val="20"/>
          <w:lang w:val="en-US" w:eastAsia="en-US" w:bidi="ar-SA"/>
        </w:rPr>
        <w:t>Consolidated-Bathurst Export Ltd. v. Mutual Boiler</w:t>
      </w:r>
      <w:r>
        <w:rPr>
          <w:rFonts w:ascii="arial" w:eastAsia="arial" w:hAnsi="arial" w:cs="arial"/>
          <w:color w:val="000000"/>
          <w:sz w:val="20"/>
          <w:lang w:val="en-US" w:eastAsia="en-US" w:bidi="ar-SA"/>
        </w:rPr>
        <w:t xml:space="preserve">, </w:t>
      </w:r>
      <w:hyperlink r:id="rId824" w:history="1">
        <w:r>
          <w:rPr>
            <w:rFonts w:ascii="arial" w:eastAsia="arial" w:hAnsi="arial" w:cs="arial"/>
            <w:i/>
            <w:color w:val="0077CC"/>
            <w:sz w:val="20"/>
            <w:u w:val="single"/>
            <w:shd w:val="clear" w:color="auto" w:fill="FFFFFF"/>
            <w:lang w:val="en-US" w:eastAsia="en-US" w:bidi="ar-SA"/>
          </w:rPr>
          <w:t>[1980] 1 S.C.R. 888</w:t>
        </w:r>
      </w:hyperlink>
      <w:r>
        <w:rPr>
          <w:rFonts w:ascii="arial" w:eastAsia="arial" w:hAnsi="arial" w:cs="arial"/>
          <w:color w:val="000000"/>
          <w:sz w:val="20"/>
          <w:lang w:val="en-US" w:eastAsia="en-US" w:bidi="ar-SA"/>
        </w:rPr>
        <w:t xml:space="preserve"> at 901-902, when interpreting a contract containing an exclusion clause, the court should examine the contract as a whole to determine the meaning intended by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apart from the doctrine of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as it may be applied in the construction of contracts, the normal rules of construction lead a court to search for an interpretation which, from the whole of the contract, would appear to promote or advance the true intent of the parties at the time of entry into the contract. Consequently, literal meaning should not be applied where to do so would bring about an unrealistic result or a result which would not be contemplated in the commercial atmosphere in which the insurance was contracted. Where words may bear two constructions, the more reasonable one, that which produces a fair result, must certainly be taken as the interpretation which would promote the intention of the parties. Similarly, an interpretation which defeats the intentions of the parties and their objective in entering into the commercial transaction in the first place should be discarded in favour of an interpretation of the policy which promotes a sensible commercial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Still, the courts have generally adopted a stricter approach to the interpretation of exclusion clauses. In </w:t>
      </w:r>
      <w:r>
        <w:rPr>
          <w:rFonts w:ascii="arial" w:eastAsia="arial" w:hAnsi="arial" w:cs="arial"/>
          <w:i/>
          <w:color w:val="000000"/>
          <w:sz w:val="20"/>
          <w:lang w:val="en-US" w:eastAsia="en-US" w:bidi="ar-SA"/>
        </w:rPr>
        <w:t>Salgado v. Toth</w:t>
      </w:r>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2009 BCSC 1515</w:t>
        </w:r>
      </w:hyperlink>
      <w:r>
        <w:rPr>
          <w:rFonts w:ascii="arial" w:eastAsia="arial" w:hAnsi="arial" w:cs="arial"/>
          <w:color w:val="000000"/>
          <w:sz w:val="20"/>
          <w:lang w:val="en-US" w:eastAsia="en-US" w:bidi="ar-SA"/>
        </w:rPr>
        <w:t xml:space="preserve">, Justice Burnyeat considered an exclusion clause in a contract dealing with the provision of house inspection services. At para. 76, the court reiterated the principle of </w:t>
      </w:r>
      <w:r>
        <w:rPr>
          <w:rFonts w:ascii="arial" w:eastAsia="arial" w:hAnsi="arial" w:cs="arial"/>
          <w:i/>
          <w:color w:val="000000"/>
          <w:sz w:val="20"/>
          <w:lang w:val="en-US" w:eastAsia="en-US" w:bidi="ar-SA"/>
        </w:rPr>
        <w:t>contra preferentum</w:t>
      </w:r>
      <w:r>
        <w:rPr>
          <w:rFonts w:ascii="arial" w:eastAsia="arial" w:hAnsi="arial" w:cs="arial"/>
          <w:color w:val="000000"/>
          <w:sz w:val="20"/>
          <w:lang w:val="en-US" w:eastAsia="en-US" w:bidi="ar-SA"/>
        </w:rPr>
        <w:t xml:space="preserve"> as articulated in </w:t>
      </w:r>
      <w:r>
        <w:rPr>
          <w:rFonts w:ascii="arial" w:eastAsia="arial" w:hAnsi="arial" w:cs="arial"/>
          <w:i/>
          <w:color w:val="000000"/>
          <w:sz w:val="20"/>
          <w:lang w:val="en-US" w:eastAsia="en-US" w:bidi="ar-SA"/>
        </w:rPr>
        <w:t>Bauer v. Bank of Montreal,</w:t>
      </w:r>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[1980] 2 S.C.R. 102</w:t>
        </w:r>
      </w:hyperlink>
      <w:r>
        <w:rPr>
          <w:rFonts w:ascii="arial" w:eastAsia="arial" w:hAnsi="arial" w:cs="arial"/>
          <w:color w:val="000000"/>
          <w:sz w:val="20"/>
          <w:lang w:val="en-US" w:eastAsia="en-US" w:bidi="ar-SA"/>
        </w:rPr>
        <w:t>, which applies when interpreting exclusion clauses that give rise to ambiguity: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76 ... exclusion clauses must be drafted with complete clarity and the principle of </w:t>
      </w:r>
      <w:r>
        <w:rPr>
          <w:rFonts w:ascii="arial" w:eastAsia="arial" w:hAnsi="arial" w:cs="arial"/>
          <w:i/>
          <w:color w:val="000000"/>
          <w:sz w:val="20"/>
          <w:lang w:val="en-US" w:eastAsia="en-US" w:bidi="ar-SA"/>
        </w:rPr>
        <w:t>contra proferentum</w:t>
      </w:r>
      <w:r>
        <w:rPr>
          <w:rFonts w:ascii="arial" w:eastAsia="arial" w:hAnsi="arial" w:cs="arial"/>
          <w:color w:val="000000"/>
          <w:sz w:val="20"/>
          <w:lang w:val="en-US" w:eastAsia="en-US" w:bidi="ar-SA"/>
        </w:rPr>
        <w:t xml:space="preserve"> should be applied. In </w:t>
      </w:r>
      <w:r>
        <w:rPr>
          <w:rFonts w:ascii="arial" w:eastAsia="arial" w:hAnsi="arial" w:cs="arial"/>
          <w:i/>
          <w:color w:val="000000"/>
          <w:sz w:val="20"/>
          <w:lang w:val="en-US" w:eastAsia="en-US" w:bidi="ar-SA"/>
        </w:rPr>
        <w:t>Bauer v. Bank of Montreal</w:t>
      </w:r>
      <w:r>
        <w:rPr>
          <w:rFonts w:ascii="arial" w:eastAsia="arial" w:hAnsi="arial" w:cs="arial"/>
          <w:color w:val="000000"/>
          <w:sz w:val="20"/>
          <w:lang w:val="en-US" w:eastAsia="en-US" w:bidi="ar-SA"/>
        </w:rPr>
        <w:t xml:space="preserve"> ... McIntyre J., on behalf of the Court, stated: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construing such a clause, the </w:t>
      </w:r>
      <w:r>
        <w:rPr>
          <w:rFonts w:ascii="arial" w:eastAsia="arial" w:hAnsi="arial" w:cs="arial"/>
          <w:color w:val="000000"/>
          <w:sz w:val="20"/>
          <w:u w:val="single"/>
          <w:lang w:val="en-US" w:eastAsia="en-US" w:bidi="ar-SA"/>
        </w:rPr>
        <w:t>Court shall see that the clause is expressed clearly and that it is limited in its effect to the narrow meaning of the words employed and it must clearly cover the exact circumstances which have arisen in order to afford protection to the party claiming benefit.</w:t>
      </w:r>
      <w:r>
        <w:rPr>
          <w:rFonts w:ascii="arial" w:eastAsia="arial" w:hAnsi="arial" w:cs="arial"/>
          <w:color w:val="000000"/>
          <w:sz w:val="20"/>
          <w:lang w:val="en-US" w:eastAsia="en-US" w:bidi="ar-SA"/>
        </w:rPr>
        <w:t xml:space="preserve"> It is generally to be construed against the party benefiting from the exemption and this is particularly true where the clause is found in a standard printed form of contract, frequently termed a contract of adhesion, which is presented by one party to the other as the basis of their transaction. (at p. 428)</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Foley,</w:t>
      </w:r>
      <w:r>
        <w:rPr>
          <w:rFonts w:ascii="arial" w:eastAsia="arial" w:hAnsi="arial" w:cs="arial"/>
          <w:color w:val="000000"/>
          <w:sz w:val="20"/>
          <w:lang w:val="en-US" w:eastAsia="en-US" w:bidi="ar-SA"/>
        </w:rPr>
        <w:t xml:space="preserve"> the court similarly noted that exclusion clauses must be clear and unambiguous: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To exclude liability of the implied warranties under the Act, the exclusion or waiver must be clear and unambiguous. This was confirmed in the decision </w:t>
      </w:r>
      <w:r>
        <w:rPr>
          <w:rFonts w:ascii="arial" w:eastAsia="arial" w:hAnsi="arial" w:cs="arial"/>
          <w:i/>
          <w:color w:val="000000"/>
          <w:sz w:val="20"/>
          <w:lang w:val="en-US" w:eastAsia="en-US" w:bidi="ar-SA"/>
        </w:rPr>
        <w:t>Queen Charlotte Lodge Ltd. v. Hiway Refrigeration Ltd.</w:t>
      </w:r>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[1998] B.C.J. No. 13</w:t>
        </w:r>
      </w:hyperlink>
      <w:r>
        <w:rPr>
          <w:rFonts w:ascii="arial" w:eastAsia="arial" w:hAnsi="arial" w:cs="arial"/>
          <w:color w:val="000000"/>
          <w:sz w:val="20"/>
          <w:lang w:val="en-US" w:eastAsia="en-US" w:bidi="ar-SA"/>
        </w:rPr>
        <w:t xml:space="preserve"> (S.C.):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[paragraph] 33 It is clear from cases such as </w:t>
      </w:r>
      <w:r>
        <w:rPr>
          <w:rFonts w:ascii="arial" w:eastAsia="arial" w:hAnsi="arial" w:cs="arial"/>
          <w:i/>
          <w:color w:val="000000"/>
          <w:sz w:val="20"/>
          <w:lang w:val="en-US" w:eastAsia="en-US" w:bidi="ar-SA"/>
        </w:rPr>
        <w:t>Hunter Engr. Co. v. SynCrude Can. Limited</w:t>
      </w:r>
      <w:r>
        <w:rPr>
          <w:rFonts w:ascii="arial" w:eastAsia="arial" w:hAnsi="arial" w:cs="arial"/>
          <w:color w:val="000000"/>
          <w:sz w:val="20"/>
          <w:lang w:val="en-US" w:eastAsia="en-US" w:bidi="ar-SA"/>
        </w:rPr>
        <w:t xml:space="preserve"> </w:t>
      </w:r>
      <w:hyperlink r:id="rId813" w:history="1">
        <w:r>
          <w:rPr>
            <w:rFonts w:ascii="arial" w:eastAsia="arial" w:hAnsi="arial" w:cs="arial"/>
            <w:i/>
            <w:color w:val="0077CC"/>
            <w:sz w:val="20"/>
            <w:u w:val="single"/>
            <w:shd w:val="clear" w:color="auto" w:fill="FFFFFF"/>
            <w:lang w:val="en-US" w:eastAsia="en-US" w:bidi="ar-SA"/>
          </w:rPr>
          <w:t>(1989), 35 B.C.L.R. (2d) 145</w:t>
        </w:r>
      </w:hyperlink>
      <w:r>
        <w:rPr>
          <w:rFonts w:ascii="arial" w:eastAsia="arial" w:hAnsi="arial" w:cs="arial"/>
          <w:color w:val="000000"/>
          <w:sz w:val="20"/>
          <w:lang w:val="en-US" w:eastAsia="en-US" w:bidi="ar-SA"/>
        </w:rPr>
        <w:t>, that to contract out of the statutory protection of the Sale of Goods Act there must be "clear and direct language". [paragraph] 34 In G.L. Fridman, Sale of Goods in Canada, 4th ed. (Toronto: Carswell, 1995), the author notes at page 282:</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Exemption or exclusion clauses are strictly construed against the party in whose favour they are expressed, that is, in the context of sale of goods, the seller. It must therefore be shown by clear, unambiguous words in the contract that the seller has been relieved of any otherwise arising consequence or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On the other hand, the Supreme Court of Canada in </w:t>
      </w:r>
      <w:r>
        <w:rPr>
          <w:rFonts w:ascii="arial" w:eastAsia="arial" w:hAnsi="arial" w:cs="arial"/>
          <w:i/>
          <w:color w:val="000000"/>
          <w:sz w:val="20"/>
          <w:lang w:val="en-US" w:eastAsia="en-US" w:bidi="ar-SA"/>
        </w:rPr>
        <w:t>Hunter Engineering</w:t>
      </w:r>
      <w:r>
        <w:rPr>
          <w:rFonts w:ascii="arial" w:eastAsia="arial" w:hAnsi="arial" w:cs="arial"/>
          <w:color w:val="000000"/>
          <w:sz w:val="20"/>
          <w:lang w:val="en-US" w:eastAsia="en-US" w:bidi="ar-SA"/>
        </w:rPr>
        <w:t xml:space="preserve"> at 458 and 507, noted the position of Lord Diplock in </w:t>
      </w:r>
      <w:r>
        <w:rPr>
          <w:rFonts w:ascii="arial" w:eastAsia="arial" w:hAnsi="arial" w:cs="arial"/>
          <w:i/>
          <w:color w:val="000000"/>
          <w:sz w:val="20"/>
          <w:lang w:val="en-US" w:eastAsia="en-US" w:bidi="ar-SA"/>
        </w:rPr>
        <w:t>Photo Production Ltd. v. Securicor Transport Ltd.,</w:t>
      </w:r>
      <w:r>
        <w:rPr>
          <w:rFonts w:ascii="arial" w:eastAsia="arial" w:hAnsi="arial" w:cs="arial"/>
          <w:color w:val="000000"/>
          <w:sz w:val="20"/>
          <w:lang w:val="en-US" w:eastAsia="en-US" w:bidi="ar-SA"/>
        </w:rPr>
        <w:t xml:space="preserve"> [1980] A.C. 827, that exclusion clauses negotiated between parties of equal bargaining power need not be given a "strained construction". He stated, at p. 851: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commercial contracts negotiated between business-men capable of looking after their own interests and of deciding how risks inherent in the performance of various kinds of contract can be most economically borne (generally by insurance), it is, in my view, wrong to place a strained construction upon words in an exclusion clause which are clear and fairly susceptible of one meaning only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Justice Wilson in </w:t>
      </w:r>
      <w:r>
        <w:rPr>
          <w:rFonts w:ascii="arial" w:eastAsia="arial" w:hAnsi="arial" w:cs="arial"/>
          <w:i/>
          <w:color w:val="000000"/>
          <w:sz w:val="20"/>
          <w:lang w:val="en-US" w:eastAsia="en-US" w:bidi="ar-SA"/>
        </w:rPr>
        <w:t>Hunter Engineering</w:t>
      </w:r>
      <w:r>
        <w:rPr>
          <w:rFonts w:ascii="arial" w:eastAsia="arial" w:hAnsi="arial" w:cs="arial"/>
          <w:color w:val="000000"/>
          <w:sz w:val="20"/>
          <w:lang w:val="en-US" w:eastAsia="en-US" w:bidi="ar-SA"/>
        </w:rPr>
        <w:t xml:space="preserve"> at 455, ultimately concluded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this Court in </w:t>
      </w:r>
      <w:r>
        <w:rPr>
          <w:rFonts w:ascii="arial" w:eastAsia="arial" w:hAnsi="arial" w:cs="arial"/>
          <w:i/>
          <w:color w:val="000000"/>
          <w:sz w:val="20"/>
          <w:lang w:val="en-US" w:eastAsia="en-US" w:bidi="ar-SA"/>
        </w:rPr>
        <w:t>Beaufort Realties</w:t>
      </w:r>
      <w:r>
        <w:rPr>
          <w:rFonts w:ascii="arial" w:eastAsia="arial" w:hAnsi="arial" w:cs="arial"/>
          <w:color w:val="000000"/>
          <w:sz w:val="20"/>
          <w:lang w:val="en-US" w:eastAsia="en-US" w:bidi="ar-SA"/>
        </w:rPr>
        <w:t xml:space="preserve">, </w:t>
      </w:r>
      <w:hyperlink r:id="rId827" w:history="1">
        <w:r>
          <w:rPr>
            <w:rFonts w:ascii="arial" w:eastAsia="arial" w:hAnsi="arial" w:cs="arial"/>
            <w:i/>
            <w:color w:val="0077CC"/>
            <w:sz w:val="20"/>
            <w:u w:val="single"/>
            <w:shd w:val="clear" w:color="auto" w:fill="FFFFFF"/>
            <w:lang w:val="en-US" w:eastAsia="en-US" w:bidi="ar-SA"/>
          </w:rPr>
          <w:t>[1980] 2 S.C.R. 718</w:t>
        </w:r>
      </w:hyperlink>
      <w:r>
        <w:rPr>
          <w:rFonts w:ascii="arial" w:eastAsia="arial" w:hAnsi="arial" w:cs="arial"/>
          <w:color w:val="000000"/>
          <w:sz w:val="20"/>
          <w:lang w:val="en-US" w:eastAsia="en-US" w:bidi="ar-SA"/>
        </w:rPr>
        <w:t xml:space="preserve">, and the House of Lords in </w:t>
      </w:r>
      <w:r>
        <w:rPr>
          <w:rFonts w:ascii="arial" w:eastAsia="arial" w:hAnsi="arial" w:cs="arial"/>
          <w:i/>
          <w:color w:val="000000"/>
          <w:sz w:val="20"/>
          <w:lang w:val="en-US" w:eastAsia="en-US" w:bidi="ar-SA"/>
        </w:rPr>
        <w:t>Photo Productions</w:t>
      </w:r>
      <w:r>
        <w:rPr>
          <w:rFonts w:ascii="arial" w:eastAsia="arial" w:hAnsi="arial" w:cs="arial"/>
          <w:color w:val="000000"/>
          <w:sz w:val="20"/>
          <w:lang w:val="en-US" w:eastAsia="en-US" w:bidi="ar-SA"/>
        </w:rPr>
        <w:t xml:space="preserve"> clearly stated that exclusion clauses, like all contractual provisions, should be given their natural and true construction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exclusion clause cannot be considered in isolation from the other provisions of the contract and the circumstances in which it was entered into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Similarly, Dickson C.J., concluded that at 462: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preferable to interpret the terms of the contract, in an attempt to determine exactly what the parties agreed. If on its true construction the contract excludes liability for the kind of breach that occurred, the party in breach will generally be saved from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A recent statement of the law is found in </w:t>
      </w:r>
      <w:r>
        <w:rPr>
          <w:rFonts w:ascii="arial" w:eastAsia="arial" w:hAnsi="arial" w:cs="arial"/>
          <w:i/>
          <w:color w:val="000000"/>
          <w:sz w:val="20"/>
          <w:lang w:val="en-US" w:eastAsia="en-US" w:bidi="ar-SA"/>
        </w:rPr>
        <w:t>Tercon Contractors Ltd. v. British Columbia (Transportation and Highways)</w:t>
      </w:r>
      <w:r>
        <w:rPr>
          <w:rFonts w:ascii="arial" w:eastAsia="arial" w:hAnsi="arial" w:cs="arial"/>
          <w:color w:val="000000"/>
          <w:sz w:val="20"/>
          <w:lang w:val="en-US" w:eastAsia="en-US" w:bidi="ar-SA"/>
        </w:rPr>
        <w:t xml:space="preserve">, </w:t>
      </w:r>
      <w:hyperlink r:id="rId828" w:history="1">
        <w:r>
          <w:rPr>
            <w:rFonts w:ascii="arial" w:eastAsia="arial" w:hAnsi="arial" w:cs="arial"/>
            <w:i/>
            <w:color w:val="0077CC"/>
            <w:sz w:val="20"/>
            <w:u w:val="single"/>
            <w:shd w:val="clear" w:color="auto" w:fill="FFFFFF"/>
            <w:lang w:val="en-US" w:eastAsia="en-US" w:bidi="ar-SA"/>
          </w:rPr>
          <w:t>[2010] 1 S.C.R. 69</w:t>
        </w:r>
      </w:hyperlink>
      <w:r>
        <w:rPr>
          <w:rFonts w:ascii="arial" w:eastAsia="arial" w:hAnsi="arial" w:cs="arial"/>
          <w:color w:val="000000"/>
          <w:sz w:val="20"/>
          <w:lang w:val="en-US" w:eastAsia="en-US" w:bidi="ar-SA"/>
        </w:rPr>
        <w:t>. In that case, the court considered an exclusion clause in a tendering contract (the "RFP"), which the Province issued to eligible proponents, including the appellant Tercon. The RFP included an exclusion of liability clause which provided: "Except as expressly and specifically permitted in these Instructions to Proponents, no Proponent shall have any claim for compensation of any kind whatsoever, as a result of participating in this RFP, and by submitting a Proposal each Proponent shall be deemed to have agreed that it has no claim." The Supreme Court articulated the following approach to interpreting exclusion clauses: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64 The key principle of contractual interpretation here is that the words of one provision must not be read in isolation but should be considered in harmony with the rest of the contract and in light of its purposes and commercial context.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65 In a similar way, it is necessary in the present case to consider the exclusion clause in the RFP in light of its purposes and commercial context as well as of its overall terms. The question is whether the exclusion of compensation for claims resulting from "participating in this RFP", properly interpreted, excludes liability for the Province having unfairly considered a bid from a bidder who was not supposed to have been participating in the RFP process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seller alleges that the exclusion clause in the case at bar has the effect of excluding express or implied warranties and specifically excludes statutory warranties.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Mr. McDonnell says that not only should the exclusion clause be strictly construed but that clear and ambiguous language will be required to oust an implied statutory condition or warranty. He points to </w:t>
      </w:r>
      <w:r>
        <w:rPr>
          <w:rFonts w:ascii="arial" w:eastAsia="arial" w:hAnsi="arial" w:cs="arial"/>
          <w:i/>
          <w:color w:val="000000"/>
          <w:sz w:val="20"/>
          <w:lang w:val="en-US" w:eastAsia="en-US" w:bidi="ar-SA"/>
        </w:rPr>
        <w:t>Hunter Engineering</w:t>
      </w:r>
      <w:r>
        <w:rPr>
          <w:rFonts w:ascii="arial" w:eastAsia="arial" w:hAnsi="arial" w:cs="arial"/>
          <w:color w:val="000000"/>
          <w:sz w:val="20"/>
          <w:lang w:val="en-US" w:eastAsia="en-US" w:bidi="ar-SA"/>
        </w:rPr>
        <w:t xml:space="preserve"> at para. 24, where this language was held to be effective: "The Provisions of this paragraph represent the only warranty of the Seller and no other warranty or conditions, statutory or otherwise shall be implied." He also refers to other authorities where, reading the contract as a whole, exclusion clauses were given narrow interpretations.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Foley,</w:t>
      </w:r>
      <w:r>
        <w:rPr>
          <w:rFonts w:ascii="arial" w:eastAsia="arial" w:hAnsi="arial" w:cs="arial"/>
          <w:color w:val="000000"/>
          <w:sz w:val="20"/>
          <w:lang w:val="en-US" w:eastAsia="en-US" w:bidi="ar-SA"/>
        </w:rPr>
        <w:t xml:space="preserve"> the court considered the following exclusion clauses, which were found in two different warranty documents related to the sale of a trailer: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implied warranty of merchantability, of fitness for any particular purpose, and there are no conditions, warranties or representations expressed or implied, statutory or otherwise with respect to the Property or its quality, unless endorsed hereon. This provision does not extend to statutory warranties, described below, the waiver of which is prohibited by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TO THE EXTENT ALLOWED BY LAW, ANY IMPLIED WARRANTY OF MERCHANTABILITY OR FITNESS APPLICABLE TO THIS PRODUCT IS LIMITED TO THE STATED DURATION OF THIS WRITTEN WARRANTY, NEITHER COMPANY NOR THE SELLING DEALER SHALL BE LIABLE FOR LOSS OF THE USE OF THE PRODUCT, LOSS OF TIME, INCONVENIENCE, COMMERCIAL LOSS OR CONSEQUENTIAL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The court held, at para. 41, that the second extract did not say that the implied warranties under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would not apply; it simply limited the duration of the written warranty. The court went on to hold that the two provisions were contradictory, such that they were not "clear and unambiguous" and could not oust the statutory warranties.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The buyer refers to </w:t>
      </w:r>
      <w:r>
        <w:rPr>
          <w:rFonts w:ascii="arial" w:eastAsia="arial" w:hAnsi="arial" w:cs="arial"/>
          <w:i/>
          <w:color w:val="000000"/>
          <w:sz w:val="20"/>
          <w:lang w:val="en-US" w:eastAsia="en-US" w:bidi="ar-SA"/>
        </w:rPr>
        <w:t>Ebco Industries Ltd. v. Strand Industries Ltd.</w:t>
      </w:r>
      <w:r>
        <w:rPr>
          <w:rFonts w:ascii="arial" w:eastAsia="arial" w:hAnsi="arial" w:cs="arial"/>
          <w:color w:val="000000"/>
          <w:sz w:val="20"/>
          <w:lang w:val="en-US" w:eastAsia="en-US" w:bidi="ar-SA"/>
        </w:rPr>
        <w:t xml:space="preserve">, </w:t>
      </w:r>
      <w:hyperlink r:id="rId829" w:history="1">
        <w:r>
          <w:rPr>
            <w:rFonts w:ascii="arial" w:eastAsia="arial" w:hAnsi="arial" w:cs="arial"/>
            <w:i/>
            <w:color w:val="0077CC"/>
            <w:sz w:val="20"/>
            <w:u w:val="single"/>
            <w:shd w:val="clear" w:color="auto" w:fill="FFFFFF"/>
            <w:lang w:val="en-US" w:eastAsia="en-US" w:bidi="ar-SA"/>
          </w:rPr>
          <w:t>[1995] B.C.J. No. 739</w:t>
        </w:r>
      </w:hyperlink>
      <w:r>
        <w:rPr>
          <w:rFonts w:ascii="arial" w:eastAsia="arial" w:hAnsi="arial" w:cs="arial"/>
          <w:color w:val="000000"/>
          <w:sz w:val="20"/>
          <w:lang w:val="en-US" w:eastAsia="en-US" w:bidi="ar-SA"/>
        </w:rPr>
        <w:t xml:space="preserve"> (C.A.), in which Ebco did some welding of poles for Strand that did not meet the specifications. At trial, it was held that Ebco was in fundamental breach of its obligations under the contract and that an exclusion clause in the contract could not be relied on by Ebco to limit its liability. The issue on appeal was the meaning and effect of a limitation of liability clause. The clause read as follows: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no event shall Ebco be responsible to the Purchaser for any indirect, consequential or special damages of any nature or kind arising out of Ebco's performance or non-performance of these Terms. Furthermore, Ebco shall not be responsible to the Purchaser for any direct or general damages of any nature or kind which exceed the value of the Purchase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Court of Appeal upheld the trial judge's decision and stated that the two sentences in Clause 12 were linked and properly interpreted would not serve to protect Ebco from paying the full amount of Strand's claim for direct damages. The Court of Appeal held that the clause must be read as a whole and that where words may bear two constructions, the more reasonable one must be taken to promote the intention of the parties. It held that the proper interpretation was the one that produced the commercially sensible result; namely, that Ebco should replace the value of the property it destroyed by its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With these authorities in mind, I turn to the exclusion clause before me. In the case at bar, it is important to consider the exclusion clause in light of the contract as a whole. It follows a description on the website of a limited warranty. It says that the seller warrants the equipment manufactured by it to be free from defects in workmanship and material. For ease of reference, I will repeat the relevant extracts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Warranty Details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Kobelt Manufacturing, hereafter referred to as the Seller, warrants the equipment manufactured by it to be free from defects in workmanship and material. Also, that the same is designed mechanically and functionally to perform to the specifications. This warranty is effective providing: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equipment is used within the operating conditions and in accordance with the Sellers' recommendations;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warranty does not cover cosmetic damage or damage due to acts of God, accident, misuse, abuse,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modification of any part of the product. This warranty does not cover damage due to improper operation or maintenance, connection to improper equipment, or attempted repair by anyone other than KOBELT or its authorized agents.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Warranty Period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purposes of this Warranty, the warranty period shall be ... one (1) year on all disc brakes and other brake products with the exception of brake lining for which there is no warranty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NO EVENT SHALL KOBELT'S LIABILITY EXCEED THE PRICE PAID FOR THE PRODUCT FROM DIRECT, INDIRECT, SPECIAL, INCIDENTAL, OR CONSEQUENTIAL DAMAGES RESULTING FROM THE USE OF THE PRODUCT, ITS ACCOMPANYING SOFTWARE, OR ITS DOCUMENTATION. KOBELT makes no warranty or representation, express, implied, or statutory with respect to its products, contents or use of this documentation and all accompanying software and especially disclaims its quality, performance, merchantability, or fitness for any non-conforming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The exclusion/limitation clause beneath the heading "Liability" reads in two parts. The first part purports to limit the amount of damages that can be claimed against Kobelt to the price paid for the product. The second part states that Kobelt makes no warranties or representations, express, implied </w:t>
      </w:r>
      <w:r>
        <w:rPr>
          <w:rFonts w:ascii="arial" w:eastAsia="arial" w:hAnsi="arial" w:cs="arial"/>
          <w:i/>
          <w:color w:val="000000"/>
          <w:sz w:val="20"/>
          <w:lang w:val="en-US" w:eastAsia="en-US" w:bidi="ar-SA"/>
        </w:rPr>
        <w:t>or statutory</w:t>
      </w:r>
      <w:r>
        <w:rPr>
          <w:rFonts w:ascii="arial" w:eastAsia="arial" w:hAnsi="arial" w:cs="arial"/>
          <w:color w:val="000000"/>
          <w:sz w:val="20"/>
          <w:lang w:val="en-US" w:eastAsia="en-US" w:bidi="ar-SA"/>
        </w:rPr>
        <w:t xml:space="preserve"> with respect to its products, etc., and it especially disclaims quality, performance, merchantability or fitness for any non-conforming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language of the first part states that liability is limited with respect to the amount of damages that may be claimed. If that were the end of the clause, the limitation of liability might arguably be the amount paid for the product, i.e. the brakes. Although the buyer does not purport to claim under that warranty on the website, as it disputes that this warranty forms part of the contract between the parties, Mr. McDonnell argues that the limitation of liability in the first part is ambiguous and appears to relate solely to damages from use. It is, I find, ambiguous whether this provision would limit the liability to the purchaser for breach of an implied warranty of fitness, if that were established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purpose of the second part, from a plain reading, appears to be to preclude the introduction of ANY warranties, express, implied or statutory with respect to Kobelt's products. This clause might lead to some ambiguity when read alongside the express conditional warranty provided by Kobelt under the heading "Warranty". The contract must be read as a whole, and reading the exclusion narrowly, I find that objectively the parties intended that there be no statutory warranties.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Moreover, I do not interpret the language following the phrase "especially disclaims" to limit the exclusion of statutory warranties to non-conforming 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However, had this exclusion clause applied, in my view the language would not have ousted the implied statutory condition of fitness for purpose. Although the purchaser claims damages for breach of warranty of fitness for purpose, it asserts a breach of condition and seeks damages under s. 56 of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which applies where it elects, or is compelled, to treat any breach of a condition as a breach of warranty. As noted by Eberle J. in </w:t>
      </w:r>
      <w:r>
        <w:rPr>
          <w:rFonts w:ascii="arial" w:eastAsia="arial" w:hAnsi="arial" w:cs="arial"/>
          <w:i/>
          <w:color w:val="000000"/>
          <w:sz w:val="20"/>
          <w:lang w:val="en-US" w:eastAsia="en-US" w:bidi="ar-SA"/>
        </w:rPr>
        <w:t>Chabot v. Ford Motor Co. of Canada Ltd. et al.</w:t>
      </w:r>
      <w:r>
        <w:rPr>
          <w:rFonts w:ascii="arial" w:eastAsia="arial" w:hAnsi="arial" w:cs="arial"/>
          <w:color w:val="000000"/>
          <w:sz w:val="20"/>
          <w:lang w:val="en-US" w:eastAsia="en-US" w:bidi="ar-SA"/>
        </w:rPr>
        <w:t xml:space="preserve"> </w:t>
      </w:r>
      <w:hyperlink r:id="rId830" w:history="1">
        <w:r>
          <w:rPr>
            <w:rFonts w:ascii="arial" w:eastAsia="arial" w:hAnsi="arial" w:cs="arial"/>
            <w:i/>
            <w:color w:val="0077CC"/>
            <w:sz w:val="20"/>
            <w:u w:val="single"/>
            <w:shd w:val="clear" w:color="auto" w:fill="FFFFFF"/>
            <w:lang w:val="en-US" w:eastAsia="en-US" w:bidi="ar-SA"/>
          </w:rPr>
          <w:t>(1982), 39 O.R. (2d) 162</w:t>
        </w:r>
      </w:hyperlink>
      <w:r>
        <w:rPr>
          <w:rFonts w:ascii="arial" w:eastAsia="arial" w:hAnsi="arial" w:cs="arial"/>
          <w:color w:val="000000"/>
          <w:sz w:val="20"/>
          <w:lang w:val="en-US" w:eastAsia="en-US" w:bidi="ar-SA"/>
        </w:rPr>
        <w:t xml:space="preserve"> (H.C.J.) at para. 59 "... although a buyer may and sometimes must treat a breach of condition as a breach of warranty, that is to say, he may have the remedies applicable to a breach of warranty ... that does not mean that the breach was really a breach of warranty or that what was a condition has been degraded into a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The buyer argues that the language of the exclusion clause is not clear and unambiguous so as to exclude </w:t>
      </w:r>
      <w:r>
        <w:rPr>
          <w:rFonts w:ascii="arial" w:eastAsia="arial" w:hAnsi="arial" w:cs="arial"/>
          <w:color w:val="000000"/>
          <w:sz w:val="20"/>
          <w:u w:val="single"/>
          <w:lang w:val="en-US" w:eastAsia="en-US" w:bidi="ar-SA"/>
        </w:rPr>
        <w:t>conditions</w:t>
      </w:r>
      <w:r>
        <w:rPr>
          <w:rFonts w:ascii="arial" w:eastAsia="arial" w:hAnsi="arial" w:cs="arial"/>
          <w:color w:val="000000"/>
          <w:sz w:val="20"/>
          <w:lang w:val="en-US" w:eastAsia="en-US" w:bidi="ar-SA"/>
        </w:rPr>
        <w:t xml:space="preserve"> implied by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Chabot</w:t>
      </w:r>
      <w:r>
        <w:rPr>
          <w:rFonts w:ascii="arial" w:eastAsia="arial" w:hAnsi="arial" w:cs="arial"/>
          <w:color w:val="000000"/>
          <w:sz w:val="20"/>
          <w:lang w:val="en-US" w:eastAsia="en-US" w:bidi="ar-SA"/>
        </w:rPr>
        <w:t>, Eberle J. provided this summary, at para. 65: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review of the case law suggests to me certain principles of interpretation of exclusion clauses. First, general language may be sufficient to exclude what otherwise would be express conditions or warranties. Conditions and warranties implied by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xml:space="preserve"> can be excluded only by explicit language, however. Second, words excluding implied warranties are sufficient only to exclude implied warranties, and do not also exclude implied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Murray v. Sperry Rand Corporation</w:t>
      </w:r>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(1979), 23 O.R. (2d) 456</w:t>
        </w:r>
      </w:hyperlink>
      <w:r>
        <w:rPr>
          <w:rFonts w:ascii="arial" w:eastAsia="arial" w:hAnsi="arial" w:cs="arial"/>
          <w:color w:val="000000"/>
          <w:sz w:val="20"/>
          <w:lang w:val="en-US" w:eastAsia="en-US" w:bidi="ar-SA"/>
        </w:rPr>
        <w:t xml:space="preserve"> (H.C.J.) at para. 40, Reid J. held that a disclaimer, which accompanied a description of the seller's limited warranty and read as follows: "the Seller makes no other warranty, express or implied in fact or by law", might "effectively exclude other warranties but it does not exclude conditions." The court held that the implied statutory conditions remained in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Keefer Laundry Ltd. v. Pellerin Milnor Corp.</w:t>
      </w:r>
      <w:r>
        <w:rPr>
          <w:rFonts w:ascii="arial" w:eastAsia="arial" w:hAnsi="arial" w:cs="arial"/>
          <w:color w:val="000000"/>
          <w:sz w:val="20"/>
          <w:lang w:val="en-US" w:eastAsia="en-US" w:bidi="ar-SA"/>
        </w:rPr>
        <w:t xml:space="preserve">, </w:t>
      </w:r>
      <w:hyperlink r:id="rId832" w:history="1">
        <w:r>
          <w:rPr>
            <w:rFonts w:ascii="arial" w:eastAsia="arial" w:hAnsi="arial" w:cs="arial"/>
            <w:i/>
            <w:color w:val="0077CC"/>
            <w:sz w:val="20"/>
            <w:u w:val="single"/>
            <w:shd w:val="clear" w:color="auto" w:fill="FFFFFF"/>
            <w:lang w:val="en-US" w:eastAsia="en-US" w:bidi="ar-SA"/>
          </w:rPr>
          <w:t>2008 BCSC 1119</w:t>
        </w:r>
      </w:hyperlink>
      <w:r>
        <w:rPr>
          <w:rFonts w:ascii="arial" w:eastAsia="arial" w:hAnsi="arial" w:cs="arial"/>
          <w:color w:val="000000"/>
          <w:sz w:val="20"/>
          <w:lang w:val="en-US" w:eastAsia="en-US" w:bidi="ar-SA"/>
        </w:rPr>
        <w:t xml:space="preserve"> upheld </w:t>
      </w:r>
      <w:hyperlink r:id="rId833" w:history="1">
        <w:r>
          <w:rPr>
            <w:rFonts w:ascii="arial" w:eastAsia="arial" w:hAnsi="arial" w:cs="arial"/>
            <w:i/>
            <w:color w:val="0077CC"/>
            <w:sz w:val="20"/>
            <w:u w:val="single"/>
            <w:shd w:val="clear" w:color="auto" w:fill="FFFFFF"/>
            <w:lang w:val="en-US" w:eastAsia="en-US" w:bidi="ar-SA"/>
          </w:rPr>
          <w:t>2009 BCCA 273</w:t>
        </w:r>
      </w:hyperlink>
      <w:r>
        <w:rPr>
          <w:rFonts w:ascii="arial" w:eastAsia="arial" w:hAnsi="arial" w:cs="arial"/>
          <w:color w:val="000000"/>
          <w:sz w:val="20"/>
          <w:lang w:val="en-US" w:eastAsia="en-US" w:bidi="ar-SA"/>
        </w:rPr>
        <w:t>, N. Smith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103 For purposes of a remedy in this case, any breach of the statutory condition would have to be treated as only a breach of warranty, but the difference is still relevant for the purpose of interpreting a clause that purports to exclude the statutory provisions. In </w:t>
      </w:r>
      <w:r>
        <w:rPr>
          <w:rFonts w:ascii="arial" w:eastAsia="arial" w:hAnsi="arial" w:cs="arial"/>
          <w:i/>
          <w:color w:val="000000"/>
          <w:sz w:val="20"/>
          <w:lang w:val="en-US" w:eastAsia="en-US" w:bidi="ar-SA"/>
        </w:rPr>
        <w:t>Gregorio v. Intrans-Corp.</w:t>
      </w:r>
      <w:r>
        <w:rPr>
          <w:rFonts w:ascii="arial" w:eastAsia="arial" w:hAnsi="arial" w:cs="arial"/>
          <w:color w:val="000000"/>
          <w:sz w:val="20"/>
          <w:lang w:val="en-US" w:eastAsia="en-US" w:bidi="ar-SA"/>
        </w:rPr>
        <w:t xml:space="preserve"> </w:t>
      </w:r>
      <w:hyperlink r:id="rId834" w:history="1">
        <w:r>
          <w:rPr>
            <w:rFonts w:ascii="arial" w:eastAsia="arial" w:hAnsi="arial" w:cs="arial"/>
            <w:i/>
            <w:color w:val="0077CC"/>
            <w:sz w:val="20"/>
            <w:u w:val="single"/>
            <w:shd w:val="clear" w:color="auto" w:fill="FFFFFF"/>
            <w:lang w:val="en-US" w:eastAsia="en-US" w:bidi="ar-SA"/>
          </w:rPr>
          <w:t>(1994) 115 D.L.R. (4th) 200</w:t>
        </w:r>
      </w:hyperlink>
      <w:r>
        <w:rPr>
          <w:rFonts w:ascii="arial" w:eastAsia="arial" w:hAnsi="arial" w:cs="arial"/>
          <w:color w:val="000000"/>
          <w:sz w:val="20"/>
          <w:lang w:val="en-US" w:eastAsia="en-US" w:bidi="ar-SA"/>
        </w:rPr>
        <w:t xml:space="preserve">, </w:t>
      </w:r>
      <w:hyperlink r:id="rId834" w:history="1">
        <w:r>
          <w:rPr>
            <w:rFonts w:ascii="arial" w:eastAsia="arial" w:hAnsi="arial" w:cs="arial"/>
            <w:i/>
            <w:color w:val="0077CC"/>
            <w:sz w:val="20"/>
            <w:u w:val="single"/>
            <w:shd w:val="clear" w:color="auto" w:fill="FFFFFF"/>
            <w:lang w:val="en-US" w:eastAsia="en-US" w:bidi="ar-SA"/>
          </w:rPr>
          <w:t>18 O.R. (3d) 527</w:t>
        </w:r>
      </w:hyperlink>
      <w:r>
        <w:rPr>
          <w:rFonts w:ascii="arial" w:eastAsia="arial" w:hAnsi="arial" w:cs="arial"/>
          <w:color w:val="000000"/>
          <w:sz w:val="20"/>
          <w:lang w:val="en-US" w:eastAsia="en-US" w:bidi="ar-SA"/>
        </w:rPr>
        <w:t>, the Ontario Court of Appeal considered a manufacturer's warranty that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Except for the above warranty, Peterbilt and Selling Dealer make no other express or implied warranties and NO WARRANTY OF MERCHANTABILITY OR FITNESS FOR A PARTICULAR PURPOSE.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Laskin J.A. said at page 207: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express terms of the Peterbilt warranty do not exclude the statutory conditions of fitness for a purpose and merchantable quality ... There is a difference between a breach of warranty and a breach of condition. Words that exclude only implied warranties do not also exclude implied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104 The exclusion clause that was upheld in Hunter Engineering referred to "no other warranty or conditions." In this case, the Milnor Limited Standard Warranty does not refer to conditions and simply says that Milnor makes "no expressed or implied warranties of merchantability of fitness for any particular use or purpose." That phrase is effectively identical to the one used in Gregorio. I therefore must conclude that the wording of Milnor's Limited Standard Warranty is not sufficiently explicit to exclude the operation of the implied condition in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The exclusion clause in </w:t>
      </w:r>
      <w:r>
        <w:rPr>
          <w:rFonts w:ascii="arial" w:eastAsia="arial" w:hAnsi="arial" w:cs="arial"/>
          <w:i/>
          <w:color w:val="000000"/>
          <w:sz w:val="20"/>
          <w:lang w:val="en-US" w:eastAsia="en-US" w:bidi="ar-SA"/>
        </w:rPr>
        <w:t>Hunter Engineering</w:t>
      </w:r>
      <w:r>
        <w:rPr>
          <w:rFonts w:ascii="arial" w:eastAsia="arial" w:hAnsi="arial" w:cs="arial"/>
          <w:color w:val="000000"/>
          <w:sz w:val="20"/>
          <w:lang w:val="en-US" w:eastAsia="en-US" w:bidi="ar-SA"/>
        </w:rPr>
        <w:t xml:space="preserve">, which read "the Provisions of this paragraph represent the only warranty of the Seller and no other warranty or </w:t>
      </w:r>
      <w:r>
        <w:rPr>
          <w:rFonts w:ascii="arial" w:eastAsia="arial" w:hAnsi="arial" w:cs="arial"/>
          <w:color w:val="000000"/>
          <w:sz w:val="20"/>
          <w:u w:val="single"/>
          <w:lang w:val="en-US" w:eastAsia="en-US" w:bidi="ar-SA"/>
        </w:rPr>
        <w:t>conditions</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statutory</w:t>
      </w:r>
      <w:r>
        <w:rPr>
          <w:rFonts w:ascii="arial" w:eastAsia="arial" w:hAnsi="arial" w:cs="arial"/>
          <w:color w:val="000000"/>
          <w:sz w:val="20"/>
          <w:lang w:val="en-US" w:eastAsia="en-US" w:bidi="ar-SA"/>
        </w:rPr>
        <w:t xml:space="preserve"> or otherwise shall be implied (emphasis added)" was found to be sufficient the oust the statutory warranty. However, this clause referred explicitly to "conditions", whereas in the case at bar, the exclusion clause only refers to warranties.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In the circumstances, had I found a statutory implied condition of fitness for purpose, I would have concluded that the exclusion clause did not have the effect of ousting a statutory implied </w:t>
      </w:r>
      <w:r>
        <w:rPr>
          <w:rFonts w:ascii="arial" w:eastAsia="arial" w:hAnsi="arial" w:cs="arial"/>
          <w:i/>
          <w:color w:val="000000"/>
          <w:sz w:val="20"/>
          <w:lang w:val="en-US" w:eastAsia="en-US" w:bidi="ar-SA"/>
        </w:rPr>
        <w:t>condition</w:t>
      </w:r>
      <w:r>
        <w:rPr>
          <w:rFonts w:ascii="arial" w:eastAsia="arial" w:hAnsi="arial" w:cs="arial"/>
          <w:color w:val="000000"/>
          <w:sz w:val="20"/>
          <w:lang w:val="en-US" w:eastAsia="en-US" w:bidi="ar-SA"/>
        </w:rPr>
        <w:t xml:space="preserve"> or that the liability of the seller is limited to the price paid for the goods because that provision was ambiguous as to whether it limited liability for breach of a condition of fitness for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In summary, I have found that the exclusion clause is not part of the contract, but if it were, it would not have had the effect of excluding liability for breach of a condition under the </w:t>
      </w:r>
      <w:r>
        <w:rPr>
          <w:rFonts w:ascii="arial" w:eastAsia="arial" w:hAnsi="arial" w:cs="arial"/>
          <w:i/>
          <w:color w:val="000000"/>
          <w:sz w:val="20"/>
          <w:lang w:val="en-US" w:eastAsia="en-US" w:bidi="ar-SA"/>
        </w:rPr>
        <w:t>Sale of Goods Act</w:t>
      </w:r>
      <w:r>
        <w:rPr>
          <w:rFonts w:ascii="arial" w:eastAsia="arial" w:hAnsi="arial" w:cs="arial"/>
          <w:color w:val="000000"/>
          <w:sz w:val="20"/>
          <w:lang w:val="en-US" w:eastAsia="en-US" w:bidi="ar-SA"/>
        </w:rPr>
        <w:t>, had a breach of the condition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However, as I have not found there to be a statutory condition or warranty of fitness for purpose in this case, the fact that the exclusion clause was not part of the contract and the statutory condition has not been ousted has no impact on the outcome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Had I found an implied condition of fitness for purpose that was breached, I would have required the parties to re-attend to provide further submissions on the question of damages, as, on reflection, I found the submissions on damages to be incomplete. However, as the defendant's defence and counterclaim fails, it was not necessary to do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Accordingly, the plaintiff is entitled to judgment in the sum of $116,333.30, with interest and costs, and the counterclaim of the defendant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J.S. SIGURDSON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6" style="position:absolute;z-index:251892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35"/>
          <w:headerReference w:type="default" r:id="rId836"/>
          <w:footerReference w:type="even" r:id="rId837"/>
          <w:footerReference w:type="default" r:id="rId838"/>
          <w:headerReference w:type="first" r:id="rId839"/>
          <w:footerReference w:type="first" r:id="rId84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41" w:history="1">
        <w:r>
          <w:rPr>
            <w:rFonts w:ascii="arial" w:eastAsia="arial" w:hAnsi="arial" w:cs="arial"/>
            <w:b/>
            <w:bCs/>
            <w:i/>
            <w:color w:val="0077CC"/>
            <w:kern w:val="32"/>
            <w:sz w:val="28"/>
            <w:szCs w:val="32"/>
            <w:u w:val="single"/>
            <w:shd w:val="clear" w:color="auto" w:fill="FFFFFF"/>
            <w:lang w:val="en-US" w:eastAsia="en-US" w:bidi="ar-SA"/>
          </w:rPr>
          <w:t>Lawrence v. Sandilands, [2003] B.C.J. No. 343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Wedge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21 - 24,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11,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S015657, S015656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343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211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121 A.C.W.S. (3d) 1053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Roger Lawrence, Mid-Pacific Services Inc., Sierra Resources Inc. and Teknon Industries Inc., plaintiffs, and Bryan Baynham, Godon Hilliker and Harper Grey Easton, a Partnership, defendants (Vancouver Registry No. S015657) And between Roger Lawrence, Sierra Resources Inc., Teknon Industries Inc., and Mid-Pacific Services Inc., plaintiffs, and Andrew George Sandilands, Kowarsky and Company and Dumoulin and Boskovich, defendants (Vancouver Registry No. S015656)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7"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70" w:name="Keywords_45"/>
      <w:bookmarkEnd w:id="370"/>
      <w:r>
        <w:rPr>
          <w:rFonts w:ascii="arial" w:eastAsia="arial" w:hAnsi="arial" w:cs="arial"/>
          <w:b/>
          <w:color w:val="000000"/>
          <w:sz w:val="20"/>
          <w:lang w:val="en-US" w:eastAsia="en-US" w:bidi="ar-SA"/>
        </w:rPr>
        <w:t>Practice — Pleadings — Striking out pleadings — Grounds, failure to disclose a cause of action or defence — Grounds, abuse of process, hopeless suits — Costs — Security for costs — Where plaintiff insolvent or impecunious — Barristers and solicitors — Relations with third parties (including opposite parties).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71" w:name="Case Summary_44"/>
            <w:bookmarkEnd w:id="37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defendant law firm Harper Grey Easton, and two of its partners, Baynham and Hillicker, for an order striking out the statement of claim against them or for an order for security for costs. They also asked for special costs. Motion by the plaintiff Lawrence for an order compelling Baynham and Hillicker to provide affidavits verifying their list of documents. Motion by the defendants in another action, Sandilands, Kowarsky &amp; Company and Doumoulin &amp; Boskovich, for an order for security for costs against the plaintiff Lawrence. Lawrence had commenced two separate actions against lawyers who had acted for him and against him in a prior civil proceeding. Lawrence had been named as a defendant in actions alleging fraudulent conduct by Lawrence. Lawrence and his companies had also been indicted on criminal charges arising out of the same transactions. The plaintiffs in the civil actions had retained Baynham and Hillicker to represent them after they had initiated the action. Lawrence retained Sandilands to defend the actions. The court granted judgment to the plaintiffs in the amount of $9 million. Lawrence had applied for indigent status in the actions. He argued that the lawyers acting against him brought malicious proceedings, and that Sandilands was negligent in his representation of Lawrence.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72" w:name="Holdings of Court_41"/>
            <w:bookmarkEnd w:id="372"/>
            <w:r>
              <w:rPr>
                <w:rFonts w:ascii="arial" w:eastAsia="arial" w:hAnsi="arial" w:cs="arial"/>
                <w:color w:val="000000"/>
                <w:sz w:val="20"/>
                <w:lang w:val="en-US" w:eastAsia="en-US" w:bidi="ar-SA"/>
              </w:rPr>
              <w:t>HELD: Motion by Harper Grey Easton, Baynham and Hillicker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Lawrence's action against them was struck and he was ordered to pay special costs on the basis that the action was reprehensible and an abuse of process. The motion by Lawrence was moot. Motion by Sandilands, Kowarsky &amp; Company and Doumoulin &amp; Boskovich allowed. The opposing lawyers did not have any special relationship with Lawrence and did not owe him any duty of care. The actions were not initiated by the lawyers as parties or even as counsel for the parties at the outset of the litigation. The civil proceedings were initiated with reasonable cause and did not constitute malicious prosecution. Lawrence's action constituted an abuse of process. Lawrence had not demonstrated that he had the ability to pay costs of the litigation or that there was not an arguable defence to his action against his own lawyers.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73" w:name="Legislation Cited_30"/>
      <w:bookmarkEnd w:id="37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8"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19(24), 19(24)(a), 19(24)(d).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Income Tax Act, </w:t>
      </w:r>
      <w:r>
        <w:rPr>
          <w:rFonts w:ascii="arial" w:eastAsia="arial" w:hAnsi="arial" w:cs="arial"/>
          <w:i/>
          <w:color w:val="000000"/>
          <w:sz w:val="20"/>
          <w:lang w:val="en-US" w:eastAsia="en-US" w:bidi="ar-SA"/>
        </w:rPr>
        <w:t>R.S.B.C. 1996, c. 215</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74" w:name="Counsel_46"/>
      <w:bookmarkEnd w:id="37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9" style="position:absolute;z-index:251808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R. Lawrence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(A.G. Sandilands, Kowarksy &amp; Company and DuMoulin and Boskovich): J. Webster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 Baynham, G. Hilliker and Harper Grey Easton): I.D. Mackie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75" w:name="Judgment_46"/>
      <w:bookmarkEnd w:id="375"/>
      <w:r>
        <w:pict>
          <v:line id="_x0000_s1250" style="position:absolute;z-index:25185894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76" w:name="WEDGE J."/>
            <w:bookmarkEnd w:id="376"/>
            <w:r>
              <w:rPr>
                <w:rFonts w:ascii="arial" w:eastAsia="arial" w:hAnsi="arial" w:cs="arial"/>
                <w:b/>
                <w:color w:val="000000"/>
                <w:sz w:val="30"/>
                <w:lang w:val="en-US" w:eastAsia="en-US" w:bidi="ar-SA"/>
              </w:rPr>
              <w:t>WEDGE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October 2001, Roger Lawrence and three companies incorporated by him (Mid-Pacific Services Inc., Sierra Resources Inc. and Teknon Industries Inc.) brought an action (Vancouver Registry No. S015657) against the law firm of Harper Grey Easton ("HGE") and two of its partners, Bryan Baynham Q.C. and Gordon Hilliker Q.C. ("Action #1"). It is alleged that Mr. Baynham and Mr. Hilliker maliciously prosecuted civil proceedings on behalf of certain individuals against Mr. Lawrence and the three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Lawrence and the three companies also brought an action (Vancouver Registry No. S015656) against Andrew Sandilands, the solicitor retained by Mr. Lawrence to represent his interests the civil proceedings ("Action #2). It is alleged that as a result of Mr. Sandilands' negligent representation in those proceedings, Mr. Lawrence and the three companies lost their interests in two properties of significant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For the most part, these two actions initiated by Mr. Lawrence have the same underlying facts. There is significant overlap between the actions. As the case management judge assigned to both actions, I directed that the pre-trial motions brought by the parties be heard together. I made that direction over the objection of Mr. Lawrence.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NATURE OF 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are presently four motions before the court.</w:t>
      </w:r>
      <w:r>
        <w:rPr>
          <w:rFonts w:ascii="arial" w:eastAsia="arial" w:hAnsi="arial" w:cs="arial"/>
          <w:sz w:val="20"/>
          <w:lang w:val="en-US" w:eastAsia="en-US" w:bidi="ar-SA"/>
        </w:rPr>
        <w:cr/>
      </w:r>
    </w:p>
    <w:p>
      <w:pPr>
        <w:numPr>
          <w:numId w:val="2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Action #1</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HGE, Mr. Baynham and Mr. Hillicker seek an order that the Statement of Claim be struck out pursuant to Rule 19(24) of the Rules of Court on the grounds that it discloses no reasonable cause of action and is otherwise an abuse of process; or,</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an order that Mr. Lawrence and the three companies pay $100,000 into court as security for costs, and that the proceedings be stayed pending that payment; and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special costs.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Lawrence seeks orders compelling Mr. Baynham and Mr. Hillicker to provide affidavits verifying their list of documents and stating whether certain documents are, or have been, in their possession or control;</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Action #2, Mr. Sandilands, Kowarsky &amp; Co. and Dumoulin &amp; Boskovich seek an order that Mr. Lawrence and the three companies pay into court the amount of $49,256.15 as security for costs, that the proceedings be stayed in the interim, and leave to apply to have the action struck if costs are not posted within 30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have concluded the following:</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Action #1:</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of HGE, Mr. Baynham and Mr. Hillicker pursuant to Rule 19(24) to strike the Statement of Claim is granted on the grounds that it discloses no reasonable claim and is otherwise an abuse of process;</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are entitled to an order for special costs;</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of the plaintiffs is dismissed as moot.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Action #2: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application of Mr. Sandilands and the two defendant law firms for payment into court of security for costs in the amount of $49,256.15 is granted. In the interim, the proceedings are stayed, with leave to the defendants to apply to have the action struck if the payment into court is not made by Mr. Lawrence within 30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Underlying these actions, and many others initiated by Mr. Lawrence in the past nine years, is the acquisition by others of two properties previously owned by companies incorporated by Mr. Lawrence. The first is a residential properly at 1075 Millstream Road in West Vancouver (Millstream), registered in the name of Mid-Pacific Services. The second is a large parcel of undeveloped land in Whistler (Whistler), registered in the name of Sierra Resources.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A detailed history of the manner in which these properties were acquired and the various individual and corporate entities involved over time in their acquisition, is contained in the decision of Brenner J. (as he then was) in Hydro Fuels Inc. v. Mid-Pacific Services Inc., </w:t>
      </w:r>
      <w:hyperlink r:id="rId842" w:history="1">
        <w:r>
          <w:rPr>
            <w:rFonts w:ascii="arial" w:eastAsia="arial" w:hAnsi="arial" w:cs="arial"/>
            <w:i/>
            <w:color w:val="0077CC"/>
            <w:sz w:val="20"/>
            <w:u w:val="single"/>
            <w:shd w:val="clear" w:color="auto" w:fill="FFFFFF"/>
            <w:lang w:val="en-US" w:eastAsia="en-US" w:bidi="ar-SA"/>
          </w:rPr>
          <w:t>[1998] B.C.J. No. 2025</w:t>
        </w:r>
      </w:hyperlink>
      <w:r>
        <w:rPr>
          <w:rFonts w:ascii="arial" w:eastAsia="arial" w:hAnsi="arial" w:cs="arial"/>
          <w:color w:val="000000"/>
          <w:sz w:val="20"/>
          <w:lang w:val="en-US" w:eastAsia="en-US" w:bidi="ar-SA"/>
        </w:rPr>
        <w:t>, and the reasons of Martinson J. in Mid-Pacific Services Inc. v. Leung et al (pronounced April 17, 2001). I will review that history only insofar as it is relevant to the facts of the applications presently before me and are necessary to give the applications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Lawrence practiced as a lawyer from the time he was called to the bar in 1980 until approximately 1990. He incorporated Mid-Pacific in 1984. Until April, 1993, Mid-Pacific was the registered owner of Millstream, where Mr. Lawrence lived with his family. Mr. Lawrence incorporated Teknon in 1985 and Sierra in 1986.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1984, Mr. Lawrence and others became involved in a scheme with Sean Morriss and his company Hydro Fuels Inc., among others, relating to the sale or transfer of tax credits pursuant to the Scientific Research Tax Credit plan under the Income Tax Act, </w:t>
      </w:r>
      <w:r>
        <w:rPr>
          <w:rFonts w:ascii="arial" w:eastAsia="arial" w:hAnsi="arial" w:cs="arial"/>
          <w:i/>
          <w:color w:val="000000"/>
          <w:sz w:val="20"/>
          <w:lang w:val="en-US" w:eastAsia="en-US" w:bidi="ar-SA"/>
        </w:rPr>
        <w:t>R.S.B.C. 1996 c. 215</w:t>
      </w:r>
      <w:r>
        <w:rPr>
          <w:rFonts w:ascii="arial" w:eastAsia="arial" w:hAnsi="arial" w:cs="arial"/>
          <w:color w:val="000000"/>
          <w:sz w:val="20"/>
          <w:lang w:val="en-US" w:eastAsia="en-US" w:bidi="ar-SA"/>
        </w:rPr>
        <w:t>. The scheme involved the purchase of equipment for two research programs on the understanding that payment for the equipment used in the research programs would be made from funds derived from the transfer or sale of the tax credits.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1988, Mr. Lawrence purchased Whistler and registered the property in the name of Sierra. The purchase money apparently came through Teknon. Sierra, acting through Mr. Lawrence, executed a mortgage with a face value of $250,000 over the Whistler property in favour of Teknon. A term of the mortgage granted a right of first refusal to Teknon in the event the property was offered for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1990, Mr. Lawrence and Mid-Pacific were indicted on various charges relating to allegedly fraudulent transactions carried out under the auspices of the Scientific Research Tax Credit plan. One count of the indictment charged that Mr. Lawrence and Mid-Pacific had possession of the Millstream property knowing that it was obtained from proceeds of the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the time he was indicted, Mr. Lawrence apparently transferred his shares in Mid-Pacific, Sierra and Teknon to a family friend, Ian Neely. In the course of the proceedings that culminated in the Hydro Fuels Inc. decision (supra), Mr. Neely deposed that he was the sole officer and director of the three companies and held their shares in trust for Mr. Lawrence's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Between 1986 and 1991, Mr. Morriss, Hydro Fuels and others commenced a number of related civil proceedings against Mr. Lawrence and Mid-Pacific Services Inc. (among others) involving the same transactions that gave rise to the criminal proceedings (the "Morriss actions"). They alleged that Mr. Lawrence and the companies had defrauded them of $31 million in the scheme involving the purchase of research equipment with tax credits under the Scientific Research Tax Credit plan. One of their claims was that Mr. Lawrence purchased the Millstream and Whistler properties with some of the funds he had wrongfully diverted.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in the Morriss actions eventually retained Mr. Baynham and Mr. Hillicker to act on their behalf, but did not do so until 1992, well after they had initiated the actions. (The Morriss actions were commenced in 1986, 1989, 1990 and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1993, shortly before the Morriss actions went to trial, Mr. Lawrence and his companies retained Mr. Sandilands to defend the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One of the Morriss actions was dismissed by consent. Another was struck as disclosing no cause of action. The remaining actions, because they were related, were heard together. On April 20, 1993, after a two-week summary trial, Leggatt J. granted judgment to the plaintiffs in the amount of $9,453,846 and interest from 1985. Morriss and Hydro Fuels obtained vesting orders with respect to the Millstream and Whistler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An appeal was launched from the orders of Leggatt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June 23, 1993, the Court of Appeal granted Mid-Pacific an order staying execution of the Millstream vesting order, subject to the express conditions that Mid-Pacific pay the taxes and insurance on the property before they fell due, and that any property tax arrears be paid by December 31, 1993. No stay was obtained with respect to the Whistler vesting order; because the order had not yet been entered the Court was of the view that the application was premature. (That order was eventually entered on December 14,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Lawrence and Mid-Pacific failed to pay the property taxes and insurance on the Millstream property when they fell due in July 1993. On October 19, 1993, an application was heard by McEachern C.J. who made the following comment: "I think the Court is being trifled with and I think it is deliberate and I am not the slightest bit impressed by the conduct of Mr. Lawrence...". The Chief Justice ordered that the stay be set aside unless Mr. Lawrence paid the taxes within two weeks and provided proof of insurance with 24 hours. He also noted that if the tax arrears were not paid by December 31, 1993, he would not hesitate to set aside the stay entirely.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Still the conditions of the stay were not met. Hydro Fuels applied to the Court of Appeal for an order for possession of the Millstream property. Mid-Pacific applied for an extension of time to meet the conditions of the stay. On January 14, 1994, Gibbs J.A. refused to grant an extension of time, and the stay was set aside. That decision was subsequently upheld by a three-member panel of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trial of the criminal charges commenced in early 1993. On October 5, 1993, Mr. Lawrence and three co-accused were convicted by a judge and jury of several counts of perpetrating income tax fraud in the amount of $17.5 million from the purported scientific research projects financed by the sale of income tax credits. Mr. Lawrence and Mid-Pacific were also convicted of purchasing the Millstream property from proceeds of the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Lawrence's appeal to the Court of Appeal was dismissed. Leave to appeal to the Supreme Court of Canada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January 6, 1994, Mr. Lawrence was sentenced to a total of seven years for his part in the fraud, and was fined $1 million. Mid-Pacific was fined $1,000. Apparently these fines have never been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his reasons for judgment on sentencing, Wong J. noted that the Crown sought to forfeit the Millstream property, then worth in excess of $1 million. Morriss and Hydro Fuels, as civil judgement creditors with a vesting order respecting Millstream in their favour, opposed the motion. As a result, Wong J. concluded that the Crown could not forfeit the Millstream property (R. v. Lawrence et al, </w:t>
      </w:r>
      <w:hyperlink r:id="rId843" w:history="1">
        <w:r>
          <w:rPr>
            <w:rFonts w:ascii="arial" w:eastAsia="arial" w:hAnsi="arial" w:cs="arial"/>
            <w:i/>
            <w:color w:val="0077CC"/>
            <w:sz w:val="20"/>
            <w:u w:val="single"/>
            <w:shd w:val="clear" w:color="auto" w:fill="FFFFFF"/>
            <w:lang w:val="en-US" w:eastAsia="en-US" w:bidi="ar-SA"/>
          </w:rPr>
          <w:t>[1994] B.C.J. No. 355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January 18, 1994 a company known as Ashmar Developments Ltd., to whom Sean Morriss was indebted, purchased the Millstream property from Morriss and Hydro Fuels.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January 19, 1994, the Crown unsuccessfully applied to the Court of Appeal to obtain forfeiture of the Millstream property as a result of Mr. Lawrence's conviction.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January 20, 1994, Morriss and Hydro Fuels obtained an ex parte order from Leggatt J. varying the vesting order to vest title in Ashmar.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Ashmar renovated Millstream and sold it to a Mr. Leung in May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Whistler vesting order was eventually entered. In June 1994, Mr. Sandilands advised Mr. Lawrence that an application ought to be made for a stay of the order, but before making that or any other application he wished to have his fees paid. Mr. Lawrence did not pay the fees and no application to stay the Whistler vesting order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Morriss and Hydro Fuels continued to owe money to Ashmar. In August, 1994, Morriss entered into an agreement to sell the Whistler property to Ashmar; in turn, Ashmar intended to transfer the property to a numbered company, 475338 B.C. Ltd ("475"). The numbered company had the same principals as Ashmar. On August 12, 1994, Morriss applied for an order transferring the property directly to 475. He deposed in an affidavit that if the Whistler property was not vested directly into the name of 475, both Ashmar and 475 would be required to pay the property purchase tax.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However, Teknon continued to hold a mortgage on the Whistler property, which included a right of first refusal to meet any bona fide offer to purchase the property that Morriss was willing to accept. Mr. Neely, now the sole officer and director of Teknon, had not been notified of the proposed sale. He was apparently notified on August 23, 1994, which triggered the right of first refusal and a 30 day period within which to exercise the right. The notice period was due to expire September 22, 1994. Solicitors for Ashmar were of the view that if the right of first refusal was not exercised within the notice period, it became a nullity.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Neely deposed in an affidavit filed in support of the application to set aside the Whistler and Millstream transfers (heard by Brenner J. in 1998) that he did not receive timely notification and did not fully understand the significance of the notification once he did receive it. He also deposed that he believed the offer was much less than the potential value of the Whistler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September 15, 1994, Mr. Sandilands applied on behalf of Teknon and Sierra to the Court of Appeal for a stay of proceedings concerning the Whistler vesting order. On September 19, 1994, the court adjourned the application to September 23, 1994 and enjoined Morriss from acting on the order until that date. On September 23, as Teknon had not exercised its right of first refusal, 475 filed the necessary declaration to perfect its registration of the Whistler property in the Land Title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stay application was heard by the Court of Appeal on September 23, 1994, and was dismissed. The court noted that the property had just that day been transferred to 475, but gave leave to Teknon to bring the application again in the event that it discovered the transfer was a sham.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Teknon then commenced proceedings seeking a declaration that its mortgage and right of first refusal were valid and subsisting.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December 14, 1994, the Court of Appeal allowed Mr. Lawrence's appeal from the vesting orders of Leggatt J. in the Morriss actions. The Court was of the view that the actions were not suitable for determination by summary trial. The orders were set aside and the actions remitted for trial. No determination was made on the merits of the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Morriss actions did not proceed to a full trial following the decision of the Court of Appeal. On April 20, 1995, Melnick J. ordered that the actions be stayed until the plaintiffs in those actions paid into court security for costs totalling more that $2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plaintiffs in the Morriss actions failed to post the security for costs. Mr. Lawrence and the three companies then applied to dismiss the Morriss actions. In a memorandum to counsel dated December 4, 1995, Huddart J. (as she then was) declined to dismiss the actions, stating that it would be: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unfair to take that step when Leggatt J. was convinced the plaintiffs had a winning claim. The Court of appeal considered inter alia, that this case was not an appropriate case from summary judgment-it did not suggest that the claims were without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No further steps were taken by the plaintiffs in the Morriss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July, 1995, Mr. Lawrence filed a letter of complaint to the Law Society of British Columbia concerning Mr. Baynham and Mr. Hillicker, alleging that the plaintiffs in the Morriss actions "initiated numerous identical actions" against Mr. Lawrence and his companies, and that the two lawyers "knew of this and allowed them to continue and actively participated in the pursuit and progressing of those multiplicitous actions." Mr. Lawrence alleged that by so doing, Mr. Baynham and Mr. Hillicker "participated knowingly in an egregious abuse of our Courts and their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Lawrence also alleged that Mr. Baynham and Mr. Hillicker had no reasonable basis on which to represent the plaintiffs in the Morriss actions, and knew the claims were "fraudulent and malicious."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due course, the Law Society advised Mr. Lawrence in writing that following detailed consideration of the complaint it concluded there was no basis for action by the Law Society against Mr. Baynham and Mr. Hillicker.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At some point in 1995, Teknon commenced foreclosure proceedings under the Whistler mortgage. The order, if granted, would allow 475 to pay out the amount due under the mortgage and redeem the Whistler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Lawrence and Mid-Pacific brought an action attacking the bona fides of the purchase of Millstream by Mr. Leung. That action was dismissed by Allan J. on January 16, 1996, on the basis that Mr. Leung was a bona fide purchaser for value without notice of the vesting orders or the appeals from those orders. That decision was not appealed.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Lawrence and the three companies, still represented by Mr. Sandilands, brought an action attacking the bona fides of the transfers of the Millstream and Whistler properties on the basis that Sean Morriss and Hydro Fuels were in a joint venture with Ashmar and 475 designed to put the properties out of reach of the Lawrence group in the event Leggatt J.'s decision was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action was heard by Brenner J. in May 1998, who concluded that Mr. Lawrence and his companies had failed to prove a lack of bona fides that would permit the court to set aside either the transfer of Millstream to Ashmar or the transfer of Whistler to Ashmar and 475.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Brenner J. considered both transfers, although his focus was on the dealings concerning the Whistler property because the claim concerning Mr. Leung and Millstream had already been dismissed by Allan J. With respect to the Millstream purchase, he concluded that it had "none of the hallmarks of a fraudulent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Brenner J. concluded that the transfer of the Whistler property from Sean Morriss and Hydro Fuels to Ashmar, and then to 475, was also bona fide. He concluded that the "only lapse was the failure to communicate all the terms of the accepted offer to Teknon" as required by the right of first refusal.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court went on to consider whether the pending appeal of Leggatt J.'s vesting orders constituted an unregistered interest in land binding on those with notice of the appeal (such as Ashmar and 475). He concluded that it was not, because an order of the court is effective from pronouncement until reversed or modified. Accordingly, Mr. Lawrence and his companies had no interest in the properties as they had been vested by court order in Morriss and Hydro Fuels, subject only to Teknon's right of first refusal under the Whistler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Brenner J. concluded that 475 did not comply with the right of first refusal because it failed to communicate to Teknon all of the terms of the offer concerning the purchase of Whistler; it disclosed only that part of the offer directly affecting Teknon. For that reason, Teknon's right of first refusal was restored.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Brenner J. then heard arguments on the issue of the terms on which the right of first refusal should continue. In supplementary reasons (Hydro Fuels Inc. v. Mid-Pacific Services Inc., </w:t>
      </w:r>
      <w:hyperlink r:id="rId844" w:history="1">
        <w:r>
          <w:rPr>
            <w:rFonts w:ascii="arial" w:eastAsia="arial" w:hAnsi="arial" w:cs="arial"/>
            <w:i/>
            <w:color w:val="0077CC"/>
            <w:sz w:val="20"/>
            <w:u w:val="single"/>
            <w:shd w:val="clear" w:color="auto" w:fill="FFFFFF"/>
            <w:lang w:val="en-US" w:eastAsia="en-US" w:bidi="ar-SA"/>
          </w:rPr>
          <w:t>[1999] B.C.J. No. 361</w:t>
        </w:r>
      </w:hyperlink>
      <w:r>
        <w:rPr>
          <w:rFonts w:ascii="arial" w:eastAsia="arial" w:hAnsi="arial" w:cs="arial"/>
          <w:color w:val="000000"/>
          <w:sz w:val="20"/>
          <w:lang w:val="en-US" w:eastAsia="en-US" w:bidi="ar-SA"/>
        </w:rPr>
        <w:t>) he held that the right of first refusal would be restored with no additional terms other than it would remain on title. The significant findings of the court, for purposes of the motions presently before me, are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...Teknon commenced foreclosure proceedings May 29, 1995 seeking an order which, if granted, would allow 475 to pay out the amount said to be due under the Teknon mortgage and redeem the Whistler property. Having elected to pursue a foreclosure remedy, it is difficult to see the basis on which Teknon can now seek an order which would permit it to acquire the property and deny title in the property to 475.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considerable doubt that even if the terms of the right of first refusal had been communicated whether Teknon would in fact have exercised it. Mr. Neely testified that he believed the offer he received was less than the potential value of the Whistler property and that if he had a chance to develop it he could get "ten times or more" than the price 475 was paying. He also testified he took no steps to exercise the right of first refusal because the interests of Teknon and Sierra were identical.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his evidence, it is clear that Teknon was offered a chance to purchase the property at a price which on Neely's evidence would have been clearly in its best interest. Because it did not, it appears that Neely and Lawrence did not in fact treat Teknon as a separate entity and they did not deal with the right of first refusal in a manner that was consistent with a bona fide holder of such a right. In fact one can infer from Neely's discovery evidence than Teknon never had an intention to exercise the right of first refusal.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Lawrence appealed the decision concerning the transfer of Whistler to Ashmar and 475. For the reasons of Finch C.J. dated November 2, 2000, the appeal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Shortly after the Court of Appeal decision was rendered, Mr. Sandilands ceased to represent Mr. Lawrence and the three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April 2001, Mid-Pacific, represented by Mr. Lawrence, brought an application seeking to set aside the Millstream vesting order granted by Leggatt J. in favour of Ashmar and the subsequent transfer to Mr. Leung. Not surprisingly, the response of counsel for Mr. Leung (and the bank holding Mr. Leung's mortgage, CIBC) was that the matter was res judicata by virtue of the decision of Allen J. in January 1996 and that of Brenner J. in May 1998 (affirmed on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application came before Martinson J., who, in reasons for judgement dated April 17, 2001, canvassed the lengthy history of the litigation concerning Millstream. She noted that the application was "yet another step in litigation that has been before the court in one form or another for about fifteen years." Martinson J. dismissed the petition on the basis that the issues were res judicata. She also held that Mr. Lawrence had misled the court during his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Counsel for Mr. Leung and CIBC sought special costs against Mid-Pacific and against Mr. Lawrence personally. In a memorandum to counsel, Martinson J. made the following comments: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Mid-Pacific misled the court with respect to its knowledge of the existence of the vesting order granted by Mr. Justice Leggatt on January 20, 1994. The court was advised in writing that he did not know of the existence of or the significance of the vesting order....When confronted with evidence of his knowledge of the existence of the order Mr. Lawrence said what he meant was that he did not know of its significance.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Lawrence is a former lawyer. He is very familiar with the proceedings relating to this Petition. His knowledge of the vesting order in advance of the hearing before Madam Justice Allan was a significant factor in determining whether the issues raised in this Petition could have been raised in earlier proceedings.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Mid-Pacific, through its representative Roger Lawrence, feels it has been wrongly deprived of the Millstream property. It has not been willing to accept court decisions that have not been in its favour. As a result it has continued to bring Mr. Leung before the court. Doing so necessarily brought CIBC and CIBC Mortgages Inc. before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CIBC and CIBC Mortgages Inc. have incurred unnecessary legal costs. Mr. Leung has faced not only unnecessary legal costs, but also the public embarrassment of repeated and unsubstantiated accusations of misconduct.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Mid-Pacific proceeded in the face of written notice that res judicata would be raised and that special costs against it and Mr. Lawrence would be sought. In the course of doing so, Mid-Pacific did not comply with the order of Master Patterson...which required it to pay CIBC $500 in lump sum costs within 21 days. Nor did it comply with the order of Mr. Justice Preston which required it to pay CIBC $720 in lump sum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conduct is worthy of reproof or rebuke...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also find that the allegations against former legal counsel were inappropriate and not supported by the evidence. I do not find it necessary to consider those allegations in making the order for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Martinson J. went on to find that the case was an exceptional one in which an order for costs against a representative of a corporate entity was warranted. She did so on the basis that although Mid-Pacific was the registered owner of Millstream, it had never been in a financial position to fund the litigation. Instead, Mr. Lawrence was the operating mind of Mid-Pacific, and "the only person or entity with a financial interest at stake in these proceedings. He has had sole conduct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the result, Mr. Lawrence and Mid-Pacific were found to be liable, jointly and severally, for special costs of the proceedings. Mr. Leung was awarded $23,647.37. The CIBC respondents were awarded $27,924.07.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Those special costs, with the exception of one $600 payment obtained through garnishment proceedings, have never been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March 2001, 475 applied for an order concerning the amount required to discharge the mortgages then registered against the Whistler property. Teknon held its mortgage on the property. Mr. Sandilands also held a mortgage on the property to secure fees owed to him by Mr. Lawrence and the companies. 475 wanted to have the mortgages discharged. The application was heard by Chief Justice Brenner on March 15, 2001. He determined that the amount owing on the mortgages was $477,239.81 plus post judgement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September 14, 2001, pursuant to the March 2001 order, 475 paid into court $495,185.33 to fully discharge the mortgages. In a Notice of Motion dated September 29, Mr. Sandilands sought an order that he be paid out of court the amount of approximately $170,000, or, alternatively, $104.000. The balance of the funds would be payable to Teknon. On October 4, 2001, Mr. Lawrence, on behalf of Teknon, filed a Response to the motion in which he opposed Mr. Sandilands'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October 5, 2001, Mr. Lawrence swore an affidavit in support of an application for indigent status with respect to the two actions underlying the motions presently before the Court. He deposed that his only source of income was $510 per month from Social Services, and that he has no assets with an aggregate value of more than $1,000. Despite his knowledge that 475 had paid funds into court to discharge the mortgage held by Teknon, he deposed that Teknon, as well as Mid-Pacific and Sierra, had no assets "other than their claims through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On October 18, 2001, Mr. Sandilands obtained an order for payment out of $170,490 of the funds paid into court. On December 14, 2001, Mr. Lawrence endorsed a praecipe for payment out to Teknon of the balance of the funds in the amount of $324,729.11 and accrued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No materials were filed by Mr. Lawrence in these applications that would provide the court with information concerning the funds received by Teknon, or Mr. Lawrence's present interest in the company, if any. As noted earlier, in the 1998 proceedings brought by Mr. Lawrence and the three companies attacking the transfers of the Millstream and Whistler properties, Mr. Neely deposed that he is the sole director and officer of Teknon (as well as Mid-Pacific and Sierra) and holds its shares beneficially for Mr. Lawrence's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However, I note that in April 2001, Martinson J. found that Mr. Lawrence was the "operating mind" of Mid-Pacific, had sole conduct of the litigation, and was "the only person or entity with a financial interest at stake..."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At the same time Mr. Lawrence commenced the two actions underlying the motions presently before the court, he initiated a third action against Clarke and Banks law partnership and its partners, John Banks and Jay Clarke. Mr. Lawrence had retained Mr. Banks to represent him his unsuccessful appeal from the fraud conviction. Mr. Banks did not act for Mr. Lawrence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Clarke and Banks action involved a claim by Mr. Lawrence against Mr. Banks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in the conduct of the appeal proceedings. The gist of Mr. Lawrence's claim was that Mr. Banks failed to successfully attack the credibility of Crown witnesses on appeal. He advanced that claim despite the observation of Southin J.A., in the course of giving reasons denying the second application to re-open the appeal (</w:t>
      </w:r>
      <w:hyperlink r:id="rId845" w:history="1">
        <w:r>
          <w:rPr>
            <w:rFonts w:ascii="arial" w:eastAsia="arial" w:hAnsi="arial" w:cs="arial"/>
            <w:i/>
            <w:color w:val="0077CC"/>
            <w:sz w:val="20"/>
            <w:u w:val="single"/>
            <w:shd w:val="clear" w:color="auto" w:fill="FFFFFF"/>
            <w:lang w:val="en-US" w:eastAsia="en-US" w:bidi="ar-SA"/>
          </w:rPr>
          <w:t>[1998] B.C.J. No. 432</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matter of law, it would have done the appellant no good for his counsel to argue in this Court that the witnesses in question were lying and the jury should not have believed them, or at least had a reasonable doubt. That is not, except in the most exceptional circumstances, a matter for an appellate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Mr. Banks brought an application to strike Mr. Lawrence's claim on the grounds that it disclosed no reasonable claim and was an abuse of process. The matter came before McEwan J., who held that the action was "doomed to fail", and granted the application on the basis of both grounds (Lawrence v. Banks, </w:t>
      </w:r>
      <w:hyperlink r:id="rId846" w:history="1">
        <w:r>
          <w:rPr>
            <w:rFonts w:ascii="arial" w:eastAsia="arial" w:hAnsi="arial" w:cs="arial"/>
            <w:i/>
            <w:color w:val="0077CC"/>
            <w:sz w:val="20"/>
            <w:u w:val="single"/>
            <w:shd w:val="clear" w:color="auto" w:fill="FFFFFF"/>
            <w:lang w:val="en-US" w:eastAsia="en-US" w:bidi="ar-SA"/>
          </w:rPr>
          <w:t>[2002] B.C.J. No. 2227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r>
        <w:rPr>
          <w:rFonts w:ascii="arial" w:eastAsia="arial" w:hAnsi="arial" w:cs="arial"/>
          <w:sz w:val="20"/>
          <w:lang w:val="en-US" w:eastAsia="en-US" w:bidi="ar-SA"/>
        </w:rPr>
        <w:cr/>
      </w:r>
    </w:p>
    <w:p>
      <w:pPr>
        <w:numPr>
          <w:numId w:val="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ACTION #1: APPLICATION TO STRIKE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HGE, Mr. Baynham and Mr. Hilliker bring their application pursuant to Rule 19(24)of the Rules of Court which provides, to the extent the defendants rely on it, as follows:</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 on the ground that</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process of the court,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grant judgement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Rule 19(24)(a):</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reasonable claim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On an application under Rule 19(24)(a), the court must determine whether, assuming all the facts the plaintiff alleges are true, there is a question to be tried regardless of the novelty or complexity of it. The applicant will succeed in having the claim struck if it is "plain and obvious" that the statement of claim, as it stands or as it might be amended, discloses no reasonable claim (Hunt v. Carey Canada Inc. </w:t>
      </w:r>
      <w:r>
        <w:rPr>
          <w:rFonts w:ascii="arial" w:eastAsia="arial" w:hAnsi="arial" w:cs="arial"/>
          <w:i/>
          <w:color w:val="000000"/>
          <w:sz w:val="20"/>
          <w:lang w:val="en-US" w:eastAsia="en-US" w:bidi="ar-SA"/>
        </w:rPr>
        <w:t>(1990), 49 B.C.L.R. (2d) 273</w:t>
      </w:r>
      <w:r>
        <w:rPr>
          <w:rFonts w:ascii="arial" w:eastAsia="arial" w:hAnsi="arial" w:cs="arial"/>
          <w:color w:val="000000"/>
          <w:sz w:val="20"/>
          <w:lang w:val="en-US" w:eastAsia="en-US" w:bidi="ar-SA"/>
        </w:rPr>
        <w:t xml:space="preserve">, at paragraphs 29 and 33; Kripps v. Touche Ross &amp; Co. </w:t>
      </w:r>
      <w:hyperlink r:id="rId847" w:history="1">
        <w:r>
          <w:rPr>
            <w:rFonts w:ascii="arial" w:eastAsia="arial" w:hAnsi="arial" w:cs="arial"/>
            <w:i/>
            <w:color w:val="0077CC"/>
            <w:sz w:val="20"/>
            <w:u w:val="single"/>
            <w:shd w:val="clear" w:color="auto" w:fill="FFFFFF"/>
            <w:lang w:val="en-US" w:eastAsia="en-US" w:bidi="ar-SA"/>
          </w:rPr>
          <w:t>(1992), 69 B.C.L.R. (2d) 62</w:t>
        </w:r>
      </w:hyperlink>
      <w:r>
        <w:rPr>
          <w:rFonts w:ascii="arial" w:eastAsia="arial" w:hAnsi="arial" w:cs="arial"/>
          <w:color w:val="000000"/>
          <w:sz w:val="20"/>
          <w:lang w:val="en-US" w:eastAsia="en-US" w:bidi="ar-SA"/>
        </w:rPr>
        <w:t xml:space="preserve"> at p. 4; Lawrence v. Banks et al, supra, at paragraph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procedure under Rule 19(24)(a) is only to be relied on in plain and obvious cases. Guidelines to that rule include the following:</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is a question fit to be tried regardless of complexity or novelty;</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outcome of the claim at trial is beyond reasonable doubt;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serious questions of law or of general importance are raised or facts should be known before rights are decided;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pleadings might be amended; and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is an element of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(Midwest Management (1987) Ltd. v. British Columbia Gas Utility Ltd. </w:t>
      </w:r>
      <w:hyperlink r:id="rId621" w:history="1">
        <w:r>
          <w:rPr>
            <w:rFonts w:ascii="arial" w:eastAsia="arial" w:hAnsi="arial" w:cs="arial"/>
            <w:i/>
            <w:color w:val="0077CC"/>
            <w:sz w:val="20"/>
            <w:u w:val="single"/>
            <w:shd w:val="clear" w:color="auto" w:fill="FFFFFF"/>
            <w:lang w:val="en-US" w:eastAsia="en-US" w:bidi="ar-SA"/>
          </w:rPr>
          <w:t>(1997), 34 C.L.R. (2d) 186</w:t>
        </w:r>
      </w:hyperlink>
      <w:r>
        <w:rPr>
          <w:rFonts w:ascii="arial" w:eastAsia="arial" w:hAnsi="arial" w:cs="arial"/>
          <w:color w:val="000000"/>
          <w:sz w:val="20"/>
          <w:lang w:val="en-US" w:eastAsia="en-US" w:bidi="ar-SA"/>
        </w:rPr>
        <w:t xml:space="preserve"> at paragraph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Application of the Law to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Statement of Claim (paragraph 19) discloses the allegation that the defendants, as solicitors for the plaintiffs in the Morriss actions, "maliciously and without reasonable grounds continued these proceedings..." It is also alleged that the defendants "orchestrated, participated and executed the fraudulent transfer of Whistler and West Vancouver properties owned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Statement of Claim further alleges that as a result of the malicious prosecution, Mr. Lawrence and his companies sustained damage and loss, and Mr. Lawrence suffered injury to his character, credit and reputation.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pleadings do not allege that Mr. Baynham and Mr. Hillicker commenced the actions, or prosecuted the claims at their own instance. Nor is there any allegation that they expressly or implicitly agreed to perform any legal work for Mr. Lawrence or any of the three companies, or owed any duty to them as solicitors.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Lawrence acknowledges that Mr. Baynham and Mr. Hillicker acted solely as opposing counsel in the Morriss actions. He does not allege any relationship of special proximity between himself and opposing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Lawrence also acknowledges that the Morriss actions were commenced well before 1992, when Mr. Baynham and Mr. Hillicker were retained. Thus he does not allege they initiated the Morriss actions themselves or on behalf of their clients. Instead, he alleges they "continued" the actions after they were retained as counsel, and did so maliciously.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Duty of opposing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It is well established that in the course of counsel's representation of his or her clients interests, it is to be expected that "...much may be done that is intentionally and necessarily directed toward injuring the opposing party's interests." (Crooks v. Manolescu, </w:t>
      </w:r>
      <w:hyperlink r:id="rId848" w:history="1">
        <w:r>
          <w:rPr>
            <w:rFonts w:ascii="arial" w:eastAsia="arial" w:hAnsi="arial" w:cs="arial"/>
            <w:i/>
            <w:color w:val="0077CC"/>
            <w:sz w:val="20"/>
            <w:u w:val="single"/>
            <w:shd w:val="clear" w:color="auto" w:fill="FFFFFF"/>
            <w:lang w:val="en-US" w:eastAsia="en-US" w:bidi="ar-SA"/>
          </w:rPr>
          <w:t>[1995] B.C.J. No. 17</w:t>
        </w:r>
      </w:hyperlink>
      <w:r>
        <w:rPr>
          <w:rFonts w:ascii="arial" w:eastAsia="arial" w:hAnsi="arial" w:cs="arial"/>
          <w:color w:val="000000"/>
          <w:sz w:val="20"/>
          <w:lang w:val="en-US" w:eastAsia="en-US" w:bidi="ar-SA"/>
        </w:rPr>
        <w:t xml:space="preserve"> (B.C.S.C.) at paragraph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Kamahap Enterprises Ltd. v. Chu's Central Market Ltd. </w:t>
      </w:r>
      <w:hyperlink r:id="rId90" w:history="1">
        <w:r>
          <w:rPr>
            <w:rFonts w:ascii="arial" w:eastAsia="arial" w:hAnsi="arial" w:cs="arial"/>
            <w:i/>
            <w:color w:val="0077CC"/>
            <w:sz w:val="20"/>
            <w:u w:val="single"/>
            <w:shd w:val="clear" w:color="auto" w:fill="FFFFFF"/>
            <w:lang w:val="en-US" w:eastAsia="en-US" w:bidi="ar-SA"/>
          </w:rPr>
          <w:t>(1989), 40 B.C.L.R. (2d) 288</w:t>
        </w:r>
      </w:hyperlink>
      <w:r>
        <w:rPr>
          <w:rFonts w:ascii="arial" w:eastAsia="arial" w:hAnsi="arial" w:cs="arial"/>
          <w:color w:val="000000"/>
          <w:sz w:val="20"/>
          <w:lang w:val="en-US" w:eastAsia="en-US" w:bidi="ar-SA"/>
        </w:rPr>
        <w:t xml:space="preserve"> (C.A.), the Court of Appeal said at page 291 and 292: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cause of action asserted, were it to be upheld, would be one imposing on the solicitors for one party an obligation of care to all others involved in the transaction to see the transaction properly carried into effect, even though the solicitors were retained and paid only by one of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only damage foreseeable is damage to another's pocket or estate-where there is no foreseeable risk of personal injury or physical property damage-foreseability of such economic loss, while essential to the existence of a duty of care, cannot, it snow seems clear, generally be regarded as sufficient to create proximity and thus impose such a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While a solicitor may owe an ethical duty to the court to be candid and fair, the only party to whom a solicitor owes an actionable duty is his or her client (Jensen v. MacGregor </w:t>
      </w:r>
      <w:hyperlink r:id="rId849" w:history="1">
        <w:r>
          <w:rPr>
            <w:rFonts w:ascii="arial" w:eastAsia="arial" w:hAnsi="arial" w:cs="arial"/>
            <w:i/>
            <w:color w:val="0077CC"/>
            <w:sz w:val="20"/>
            <w:u w:val="single"/>
            <w:shd w:val="clear" w:color="auto" w:fill="FFFFFF"/>
            <w:lang w:val="en-US" w:eastAsia="en-US" w:bidi="ar-SA"/>
          </w:rPr>
          <w:t>(1992), 65 B.C.L.R. (2d) 224</w:t>
        </w:r>
      </w:hyperlink>
      <w:r>
        <w:rPr>
          <w:rFonts w:ascii="arial" w:eastAsia="arial" w:hAnsi="arial" w:cs="arial"/>
          <w:color w:val="000000"/>
          <w:sz w:val="20"/>
          <w:lang w:val="en-US" w:eastAsia="en-US" w:bidi="ar-SA"/>
        </w:rPr>
        <w:t xml:space="preserve"> at p. 228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court in Jensen found that in the absence of a contractual obligation and any duty of care owed between counsel for one party and the party adverse in interest, there was no recognizable cause of action, no plausible argument and no triable issue raised on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Malicious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cause of action alleged by Mr. Lawrence requires that he establish that the defendant solicitors, as opposing counsel in the Morriss actions, maliciously prosecuted the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Malicious prosecution as a cause of action in civil proceedings rarely succeeds. In Olorenshaw v. International Chem-Pro Industries Inc., </w:t>
      </w:r>
      <w:hyperlink r:id="rId850" w:history="1">
        <w:r>
          <w:rPr>
            <w:rFonts w:ascii="arial" w:eastAsia="arial" w:hAnsi="arial" w:cs="arial"/>
            <w:i/>
            <w:color w:val="0077CC"/>
            <w:sz w:val="20"/>
            <w:u w:val="single"/>
            <w:shd w:val="clear" w:color="auto" w:fill="FFFFFF"/>
            <w:lang w:val="en-US" w:eastAsia="en-US" w:bidi="ar-SA"/>
          </w:rPr>
          <w:t>[1991] B.C.J. No. 2061</w:t>
        </w:r>
      </w:hyperlink>
      <w:r>
        <w:rPr>
          <w:rFonts w:ascii="arial" w:eastAsia="arial" w:hAnsi="arial" w:cs="arial"/>
          <w:color w:val="000000"/>
          <w:sz w:val="20"/>
          <w:lang w:val="en-US" w:eastAsia="en-US" w:bidi="ar-SA"/>
        </w:rPr>
        <w:t xml:space="preserve"> (B.C.S.C.), the court noted at p.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Malicious prosecution as a cause of action in civil proceedings is even more rare as Fleming comments in the sixth edition of his Law of Torts (at p. 578):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Extending the action to wrongful civil proceedings has encountered anything but enthusiastic response. Admittedly, there is nothing in the history of the action nor any pronouncement of binding authority to suggest that the action is categorically confined to criminal proceedings alone. Yet in practice this comes close to being the case in consequence of so interpreting the conventional requirements of legally recognized damage. First of all, it has been peremptorily denied that any civil proceedings could possibly expose the person sued to scandal.... In an ordinary civil action it is not the bringing of the suit that does harm but the publicity of the proceedings, and the fair fame of a person improperly maligned is supposedly cleared in open court by a determination in his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an action for malicious prosecution, a plaintiff must establish four elements: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proceedings were initiated by the defendant;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proceedings terminated in favour of the plaintiff;</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proceedings were initiated without reasonable cause;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was actuated by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(Nelles v. The Queen in Right of Ontario et al. </w:t>
      </w:r>
      <w:hyperlink r:id="rId851" w:history="1">
        <w:r>
          <w:rPr>
            <w:rFonts w:ascii="arial" w:eastAsia="arial" w:hAnsi="arial" w:cs="arial"/>
            <w:i/>
            <w:color w:val="0077CC"/>
            <w:sz w:val="20"/>
            <w:u w:val="single"/>
            <w:shd w:val="clear" w:color="auto" w:fill="FFFFFF"/>
            <w:lang w:val="en-US" w:eastAsia="en-US" w:bidi="ar-SA"/>
          </w:rPr>
          <w:t>(1989), 60 D.L.R. (4th) 609</w:t>
        </w:r>
      </w:hyperlink>
      <w:r>
        <w:rPr>
          <w:rFonts w:ascii="arial" w:eastAsia="arial" w:hAnsi="arial" w:cs="arial"/>
          <w:color w:val="000000"/>
          <w:sz w:val="20"/>
          <w:lang w:val="en-US" w:eastAsia="en-US" w:bidi="ar-SA"/>
        </w:rPr>
        <w:t xml:space="preserve"> (SCC) at. p. 615; Hung v. Gardiner, </w:t>
      </w:r>
      <w:hyperlink r:id="rId852" w:history="1">
        <w:r>
          <w:rPr>
            <w:rFonts w:ascii="arial" w:eastAsia="arial" w:hAnsi="arial" w:cs="arial"/>
            <w:i/>
            <w:color w:val="0077CC"/>
            <w:sz w:val="20"/>
            <w:u w:val="single"/>
            <w:shd w:val="clear" w:color="auto" w:fill="FFFFFF"/>
            <w:lang w:val="en-US" w:eastAsia="en-US" w:bidi="ar-SA"/>
          </w:rPr>
          <w:t>[2002] B.C.J. No. 1918</w:t>
        </w:r>
      </w:hyperlink>
      <w:r>
        <w:rPr>
          <w:rFonts w:ascii="arial" w:eastAsia="arial" w:hAnsi="arial" w:cs="arial"/>
          <w:color w:val="000000"/>
          <w:sz w:val="20"/>
          <w:lang w:val="en-US" w:eastAsia="en-US" w:bidi="ar-SA"/>
        </w:rPr>
        <w:t xml:space="preserve"> (B.C.S.C.) at paragraph 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Morriss actions were not initiated by the defendant solicitors as parties, or even as legal counsel representing the parties. Mr. Baynham and Mr. Hillicker were retained well after all of the Morriss actions were initiated.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Nor were the Morriss actions resolved in Mr. Lawrence's favour. Leggatt J.'s decision was set aside by the Court of Appeal and remitted for trial because the proceedings were not suitable for summary trial. The full trial of the action did not proceed following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No determination was made that the Morriss actions were initiated without reasonable cause. Huddart J.A. refused to dismiss the actions when the plaintiffs failed to post security for costs after the appeal. She noted that Leggatt J. was convinced the plaintiffs had a winning claim and the Court of Appeal did not suggest the claims were without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It is significant, in my view, that the Morriss actions arose from the same transactions as the criminal proceedings that resulted in Mr. Lawrence's conviction on several counts of fraud. A central allegation of the Morriss group was that they suffered significant losses as a result of Mr. Lawrence's fraudulent activities. One of their claims was that Millstream and Whistler were purchased from funds obtained in the fraudulent tax credit scheme. Mr. Lawrence and Mid-Pacific were convicted of possessing Millstream knowing it had been obtained from the proceeds of fraud. As such, it can hardly be said that the plaintiffs in the civil actions initiated the proceedings without reasonable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my view there is no reasonable claim arising from the allegations of malicious prosecution. As a matter of law, there is no sustainable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Defamation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pleadings allege that the claims advanced by the defendant solicitors and their clients in the civil proceedings "have brought the plaintiffs into public scandal, odium and contempt" and, with respect to Mr. Lawrence, caused injury to "his character, credit and reputation..."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Even assuming that the pleadings disclosed a separate cause of action for defamation, there is no plausible claim in law. That is because the defendant solicitors, as counsel advocating a position on behalf of their clients, are protected from claims alleging their conduct during the civil proceedings was defamatory. There is an absolute privilege for all communications made by counsel "in the course of, or incidental to, the processing and furtherance of judicial and quasi-judicial proceedings" (R.E. Brown, The Law of Defamation in Canada (2d ed.) (Toronto: Carswell, 1994) at p.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Whether the communications are made by parties, counsel or witnesses, they are made on an occasion of absolute privilege and no civil action will lie for what is alleged (Geyer v. Merritt and Gouge </w:t>
      </w:r>
      <w:hyperlink r:id="rId853" w:history="1">
        <w:r>
          <w:rPr>
            <w:rFonts w:ascii="arial" w:eastAsia="arial" w:hAnsi="arial" w:cs="arial"/>
            <w:i/>
            <w:color w:val="0077CC"/>
            <w:sz w:val="20"/>
            <w:u w:val="single"/>
            <w:shd w:val="clear" w:color="auto" w:fill="FFFFFF"/>
            <w:lang w:val="en-US" w:eastAsia="en-US" w:bidi="ar-SA"/>
          </w:rPr>
          <w:t>(1979), 16 B.C.L.R. 27</w:t>
        </w:r>
      </w:hyperlink>
      <w:r>
        <w:rPr>
          <w:rFonts w:ascii="arial" w:eastAsia="arial" w:hAnsi="arial" w:cs="arial"/>
          <w:color w:val="000000"/>
          <w:sz w:val="20"/>
          <w:lang w:val="en-US" w:eastAsia="en-US" w:bidi="ar-SA"/>
        </w:rPr>
        <w:t xml:space="preserve"> (B.C.S.C.) at page 32; affirmed </w:t>
      </w:r>
      <w:hyperlink r:id="rId854" w:history="1">
        <w:r>
          <w:rPr>
            <w:rFonts w:ascii="arial" w:eastAsia="arial" w:hAnsi="arial" w:cs="arial"/>
            <w:i/>
            <w:color w:val="0077CC"/>
            <w:sz w:val="20"/>
            <w:u w:val="single"/>
            <w:shd w:val="clear" w:color="auto" w:fill="FFFFFF"/>
            <w:lang w:val="en-US" w:eastAsia="en-US" w:bidi="ar-SA"/>
          </w:rPr>
          <w:t>(1980), 26 B.C.L.R. 374</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protection extends to "the content of all pleadings, documents and testimony offered in evidence, and to all actions taken preliminary but necessary to the institution or processing of the action or essential to the judicial review of or execution upon judgement or decision" (The Law of Defamation in Canada (2d ed.)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As any statements made or steps taken by Mr. Baynham or Mr. Hilliker on their clients' behalf in the course of the civil proceedings are subject to an absolute privilege, the pleadings disclose no reasonable claim for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Rule 19(24)(d):</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Abuse of Process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Counsel for HGE, Mr. Baynham and Mr. Hilliker argued that Mr. Lawrence's conduct amounts to an improper use of the litigation process to seek redress against those who prosecuted the civil actions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When determining whether proceedings constitute an abuse of process, the court may consider whether the court process is being used dishonestly or unfairly, or for some ulterior or improper purpose. It may also consider whether there have been multiple or successive related proceedings that are likely to cause vexation or oppression (Babavic v. Babowech, </w:t>
      </w:r>
      <w:hyperlink r:id="rId615" w:history="1">
        <w:r>
          <w:rPr>
            <w:rFonts w:ascii="arial" w:eastAsia="arial" w:hAnsi="arial" w:cs="arial"/>
            <w:i/>
            <w:color w:val="0077CC"/>
            <w:sz w:val="20"/>
            <w:u w:val="single"/>
            <w:shd w:val="clear" w:color="auto" w:fill="FFFFFF"/>
            <w:lang w:val="en-US" w:eastAsia="en-US" w:bidi="ar-SA"/>
          </w:rPr>
          <w:t>[1993] B.C.J. No. 1802</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court in Re Lang Michener and Fabian </w:t>
      </w:r>
      <w:hyperlink r:id="rId612" w:history="1">
        <w:r>
          <w:rPr>
            <w:rFonts w:ascii="arial" w:eastAsia="arial" w:hAnsi="arial" w:cs="arial"/>
            <w:i/>
            <w:color w:val="0077CC"/>
            <w:sz w:val="20"/>
            <w:u w:val="single"/>
            <w:shd w:val="clear" w:color="auto" w:fill="FFFFFF"/>
            <w:lang w:val="en-US" w:eastAsia="en-US" w:bidi="ar-SA"/>
          </w:rPr>
          <w:t>(1987), 59 O.R. (2d) 353</w:t>
        </w:r>
      </w:hyperlink>
      <w:r>
        <w:rPr>
          <w:rFonts w:ascii="arial" w:eastAsia="arial" w:hAnsi="arial" w:cs="arial"/>
          <w:color w:val="000000"/>
          <w:sz w:val="20"/>
          <w:lang w:val="en-US" w:eastAsia="en-US" w:bidi="ar-SA"/>
        </w:rPr>
        <w:t xml:space="preserve"> (Ont. H.C.J.), observed as a general characteristic of proceedings that are vexatious or otherwise an abuse of process that "grounds and issues raised tend to be rolled forward into subsequent actions and repeated and supplemented, often with actions brought against the lawyers who have acted for or against the litigants in earlier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As noted by Martinson J. in the proceedings brought by Mr. Lawrence against Mr. Leung, Mr. Lawrence has been unwilling to accept the numerous decisions of this court concerning the transfers of the Millstream and Whistler properties. He continues, despite those judicial determinations, to take the position that he was wrongly deprived of the properties. There is no basis for his position. With respect to the Millstream vesting order, Mr. Lawrence's solicitors obtained a stay of proceedings. The stay was set aside solely as a result of the failure of Mr. Lawrence and Mid-Pacific to meet the conditions of the stay.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Moreover, Wong J. held that Millstream was purchased with the proceeds of crime. Regardless of the vesting orders in the Morriss actions, Mr. Lawrence would have lost title to Millstream. The only reason the Crown's application to forfeit Millstream did not succeed was because, at the time of the application, the stay of the vesting order had been set aside and Morriss was a judgement creditor holding a vesting order in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acquisition of the Whistler property by third parties has also been the subject of protracted litigation and, in the result, determined to be bona fide.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Lawrence has alleged in the pleadings that the defendant solicitors "...orchestrated, participated and executed the fraudulent transfer of Whistler and West Vancouver properties owned by the Plaintiffs." In the face of the numerous decisions concerning those properties, Mr. Lawrence must know that allegation is manifestly untrue.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Martinson J. assessed special costs against Mr. Lawrence for repeatedly initiating proceedings concerning the Millstream property. Those costs, which are in excess of $51,000, have not been paid. The failure of the person initiating the proceedings to pay the costs of unsuccessful proceedings is a factor that may be considered in determining whether proceedings are an abuse of the court's process (Re Lang Michener and Fabian,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Moreover, as noted earlier, the criminal convictions of Mr. Lawrence and Mid-Pacific were based on substantially the same allegations of fraudulent conduct as those advanced in the civil proceedings. That being the case, Mr. Lawrence must have known when he initiated these proceedings that his claim in malicious prosecution had no reasonable prospect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the result, I conclude that this action is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defendant solicitors seek special costs on the basis that Mr. Lawrence has commenced and prosecuted these proceedings in the absence of a plausible action. They submit Mr. Lawrence's conduct is reprehensible particularly in light of the allegations in the pleadings that Mr. Baynham and Mr. Hillicker participated in fraudulent transfers of the two properties, allegations he knew to be unfounded.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conclude, on the materials filed in support of these motions and history of the litigation in the related proceedings, that Mr. Lawrence knew his claim against the defendant solicitors was implausible. He is well aware of the relevance of his criminal convictions to the claim that he was maliciously prosecuted, and the significance of the finding that Millstream was obtained from the proceeds of crime. Mr. Baynham and Mr. Hillicker simply acted for the plaintiffs in civil proceedings arising from the same transactions that resulted in Mr. Lawrence's criminal convictions.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Lawrence has litigated and re-litigated the issue of the bona fides of the transfers of the two properties. He is well aware of the significance of the numerous judgements upholding the transfer of his properties to third parties. The allegations of misconduct were a deliberate attack on the professional integrity of Mr. Hillicker and Mr. Baynham, and the professional reputation of their law firm, brought to punish them for their role as opposing counsel in the Morriss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 conclude that Mr. Lawrence's conduct in commencing this action is reprehensible, and as such attracts an award of special costs (Garcia v. Crestbrook Forest Industries Ltd. </w:t>
      </w:r>
      <w:hyperlink r:id="rId855" w:history="1">
        <w:r>
          <w:rPr>
            <w:rFonts w:ascii="arial" w:eastAsia="arial" w:hAnsi="arial" w:cs="arial"/>
            <w:i/>
            <w:color w:val="0077CC"/>
            <w:sz w:val="20"/>
            <w:u w:val="single"/>
            <w:shd w:val="clear" w:color="auto" w:fill="FFFFFF"/>
            <w:lang w:val="en-US" w:eastAsia="en-US" w:bidi="ar-SA"/>
          </w:rPr>
          <w:t>(1994) 9 B.C.L.R. (3d) 242</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remaining applications concerning Action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As the pleadings in Action #1 have been struck, the other applications concerning that action are moot.</w:t>
      </w:r>
      <w:r>
        <w:rPr>
          <w:rFonts w:ascii="arial" w:eastAsia="arial" w:hAnsi="arial" w:cs="arial"/>
          <w:sz w:val="20"/>
          <w:lang w:val="en-US" w:eastAsia="en-US" w:bidi="ar-SA"/>
        </w:rPr>
        <w:cr/>
      </w:r>
    </w:p>
    <w:p>
      <w:pPr>
        <w:numPr>
          <w:numId w:val="1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ACTION #2: SECURITY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Lawrence retained Mr. Sandilands in 1993, a few days after the decision of Leggatt J. was rendered in the Morriss actions. Mr. Sandilands ceased to act shortly after the appeal from the decision of Brenner J. was dismissed by the Court of Appeal in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Lawrence commenced an action against Mr. Sandilands and his law firms alleging, in essence, that they were negligent in their provision of legal services. The gist of Mr. Lawrence's allegations is that Mr. Sandilands was negligent in failing to protect the interest of Mr. Lawrence he and his companies in the Millstream from Ashmar and Mr. Leung, and their interest in the Whistler property from Morriss, Ashmar and 475.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The law concerning the discretionary remedy of security for costs is well-summarized by Romilly J. in J.D.L. V. C.L.L., </w:t>
      </w:r>
      <w:hyperlink r:id="rId856" w:history="1">
        <w:r>
          <w:rPr>
            <w:rFonts w:ascii="arial" w:eastAsia="arial" w:hAnsi="arial" w:cs="arial"/>
            <w:i/>
            <w:color w:val="0077CC"/>
            <w:sz w:val="20"/>
            <w:u w:val="single"/>
            <w:shd w:val="clear" w:color="auto" w:fill="FFFFFF"/>
            <w:lang w:val="en-US" w:eastAsia="en-US" w:bidi="ar-SA"/>
          </w:rPr>
          <w:t>[1999] B.C.J. No. 803</w:t>
        </w:r>
      </w:hyperlink>
      <w:r>
        <w:rPr>
          <w:rFonts w:ascii="arial" w:eastAsia="arial" w:hAnsi="arial" w:cs="arial"/>
          <w:color w:val="000000"/>
          <w:sz w:val="20"/>
          <w:lang w:val="en-US" w:eastAsia="en-US" w:bidi="ar-SA"/>
        </w:rPr>
        <w:t xml:space="preserve"> (B.C.S.C.) at paragraphs 23-24. The court first noted that "the purpose of a security for costs order is to protect the defendant from the likelihood that in the event of his or her success, that party will be unable to recover its costs from the other party". Romilly J. went on to list the factors to be considered in deciding whether to exercise the discretion to grant the order:</w:t>
      </w:r>
      <w:r>
        <w:rPr>
          <w:rFonts w:ascii="arial" w:eastAsia="arial" w:hAnsi="arial" w:cs="arial"/>
          <w:sz w:val="20"/>
          <w:lang w:val="en-US" w:eastAsia="en-US" w:bidi="ar-SA"/>
        </w:rPr>
        <w:cr/>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ability of the defendants to pay costs; if ordered;</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merits of the case;</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level of costs;</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prejudice to the plaintiff as a result of a delay in the application; and</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prejudice to the plaintiff in the sense of preventing it from proceeding with a meritorious claim if an order is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Romilly J. noted an additional factor that is relevant to the case at hand: "The law does not treat corporate plaintiffs with the same generosity and flexibility as natural persons opposing an application for security (Kropp (c.o.b. Canadian Resort Development Corp.) v. Swaneset Bay Golf Course Ltd. </w:t>
      </w:r>
      <w:hyperlink r:id="rId857" w:history="1">
        <w:r>
          <w:rPr>
            <w:rFonts w:ascii="arial" w:eastAsia="arial" w:hAnsi="arial" w:cs="arial"/>
            <w:i/>
            <w:color w:val="0077CC"/>
            <w:sz w:val="20"/>
            <w:u w:val="single"/>
            <w:shd w:val="clear" w:color="auto" w:fill="FFFFFF"/>
            <w:lang w:val="en-US" w:eastAsia="en-US" w:bidi="ar-SA"/>
          </w:rPr>
          <w:t>(1997), 29 B.C.L.R. (3d) 252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In essence, security for costs will be ordered if the defendant has shown that the corporate plaintiff will be unable to pay costs in the event that it is not successful, unless the plaintiff can show there is no arguable defence or that it has assets of a real and substantial character (Fat Mel's Restaurant Ltd v. Canadian Northern Shield Insurance Co. </w:t>
      </w:r>
      <w:hyperlink r:id="rId858" w:history="1">
        <w:r>
          <w:rPr>
            <w:rFonts w:ascii="arial" w:eastAsia="arial" w:hAnsi="arial" w:cs="arial"/>
            <w:i/>
            <w:color w:val="0077CC"/>
            <w:sz w:val="20"/>
            <w:u w:val="single"/>
            <w:shd w:val="clear" w:color="auto" w:fill="FFFFFF"/>
            <w:lang w:val="en-US" w:eastAsia="en-US" w:bidi="ar-SA"/>
          </w:rPr>
          <w:t>(1993), 76 B.C.L.R. (2d) 231</w:t>
        </w:r>
      </w:hyperlink>
      <w:r>
        <w:rPr>
          <w:rFonts w:ascii="arial" w:eastAsia="arial" w:hAnsi="arial" w:cs="arial"/>
          <w:color w:val="000000"/>
          <w:sz w:val="20"/>
          <w:lang w:val="en-US" w:eastAsia="en-US" w:bidi="ar-SA"/>
        </w:rPr>
        <w:t xml:space="preserve"> (C.A.) at paragraph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Counsel for the defendant solicitors acknowledged that different considerations apply where security is sought from an individual plaintiff in addition to corporate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Individual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With respect to individual plaintiffs, the court must balance the interests of preventing an abuse of process with the rights of citizens to have access to the courts. In Fraser v. Houston </w:t>
      </w:r>
      <w:hyperlink r:id="rId859" w:history="1">
        <w:r>
          <w:rPr>
            <w:rFonts w:ascii="arial" w:eastAsia="arial" w:hAnsi="arial" w:cs="arial"/>
            <w:i/>
            <w:color w:val="0077CC"/>
            <w:sz w:val="20"/>
            <w:u w:val="single"/>
            <w:shd w:val="clear" w:color="auto" w:fill="FFFFFF"/>
            <w:lang w:val="en-US" w:eastAsia="en-US" w:bidi="ar-SA"/>
          </w:rPr>
          <w:t>(1997), 36 B.C.L.R. (3d) 118</w:t>
        </w:r>
      </w:hyperlink>
      <w:r>
        <w:rPr>
          <w:rFonts w:ascii="arial" w:eastAsia="arial" w:hAnsi="arial" w:cs="arial"/>
          <w:color w:val="000000"/>
          <w:sz w:val="20"/>
          <w:lang w:val="en-US" w:eastAsia="en-US" w:bidi="ar-SA"/>
        </w:rPr>
        <w:t xml:space="preserve"> (B.C.S.C.) at paragraph 11, Shaw J. has described the principle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court must have jurisdiction to do what is necessary to prevent its jurisdiction from being abused, the court in exercising this power must weigh carefully the right of our citizens to have access to the courts. In my view, the courts should not make an order which would preclude the right of access except in egregious circumstances amounting to a likely abuse of the court's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Thus, while the court has an inherent power to order that an individual plaintiff post security for costs, that power will be exercised cautiously, sparingly, and only in special circumstances (Fraser v. Houston, supra at paragraphs 10 and 11; Kropp v. Swaneset Bay Golf Course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Such special circumstances may include a previous failure by the plaintiff to pay costs (Kropp,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The presence of an individual as a co-plaintiff to a corporation is not a bar to the court's power to order security for costs against the corporate plaintiff (Canned Heat Marketing Inc. et. Al. v. Canned Heat Marketing USA Inc. </w:t>
      </w:r>
      <w:hyperlink r:id="rId860" w:history="1">
        <w:r>
          <w:rPr>
            <w:rFonts w:ascii="arial" w:eastAsia="arial" w:hAnsi="arial" w:cs="arial"/>
            <w:i/>
            <w:color w:val="0077CC"/>
            <w:sz w:val="20"/>
            <w:u w:val="single"/>
            <w:shd w:val="clear" w:color="auto" w:fill="FFFFFF"/>
            <w:lang w:val="en-US" w:eastAsia="en-US" w:bidi="ar-SA"/>
          </w:rPr>
          <w:t>(1996), 71 B.C.A.C. 189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Ability of the plaintiffs to pay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defendants bear the burden of demonstrating the plaintiff's inability to pay costs. Once this prima facie burden is met, the onus shifts to the plaintiffs to show there is no arguable defence or they have assets capable of satisfying an award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On this application, the defendants filed substantial materials concerning the inability of Mr. Lawrence and the three corporate plaintiffs to pay the costs of this litigation. Neither Mr. Lawrence nor any of the three companies filed any financial information in response. Nor did Mr. Lawrence, on his own behalf or on behalf of any of the three companies, depose that he or any of the companies has the funds to pay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To the contrary, Mr. Lawrence applied for, and obtained, an order for indigent status with respect to him and the three corporate plaintiffs. He deposed in his affidavit in support of that application that he has no assets and earns only $510 per month on social assistance. He further deposed that none of the companies had any assets (other than the properties claimed in these actions). However, it is clear from the materials filed in the proceedings concerning Teknon and the Whistler mortgages that Mr. Lawrence was aware, before he swore his affidavit, that $495,000 had been paid into court by 475 and that well over $300,000 of that would be paid out to Teknon in the near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It appears that Teknon is the only entity that may have the ability to pay cost. Approximately $325,000 was in fact paid out to Teknon in December 2001. As noted, Mr. Lawrence provided no financial information to the Court concerning Teknon other than the order he obtained for indigent status. Given the affidavits of Mr. Neely filed in earlier proceedings concerning his role in the companies, it is unclear as to the ownership of the Teknon funds. There is no evidence tendered by Mr. Lawrence to assist in determining whether any of the plaintiffs have the ability to satisfy an award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allegations raised by Mr. Lawrence against Mr. Sandilands relate to both the Millstream and Whistler properties and span a period of approximately five years. Counsel for Mr. Sandilands deposed that given the length of time the allegations cover and the protracted litigation concerning the properties, the trial of the action will be complex and lengthy. It will therefore be costly.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defendants have established a prima facie case that neither Mr. Lawrence personally nor any of the three corporate plaintiffs has assets capable of satisfying an award of costs. The plaintiffs have failed to provide any evidence establishing an ability on their part to fund the payment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Existence of an arguable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plaintiffs have also failed to establish that there is no arguable defence. To the contrary, there is a strong defence available to Mr. Sandilands and the defendant law firms in this case. The real question is whether the plaintiffs have a plausible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Mr. Lawrence alleges that he and his companies lost their interests in the Millstream and Whistler properties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Sandilands. However, most of the allegations against Mr. Sandilands are based on facts underlying previous actions that have been considered either directly or indirectly in various decisions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Sandilands obtained a stay of proceedings with respect to the Millstream vesting order. The stay was set aside only because Mr. Lawrence and Mid-Pacific failed to pay the property taxes and insurance, conditions of the stay. In any event, there has been a finding (affirmed on appeal) that Mr. Lawrence and Mid-Pacific purchased the property from the proceeds of crime. But for the transfer of Millstream pursuant to Leggatt J.'s vesting order in 1993, the property would have been forfeited by the Crown. Mr. Sandilands did not represent Mr. Lawrence in the criminal proceedings. How he could have protected Mr. Lawrence's interests in Millstream, in light of the finding that it was obtained from the proceeds of fraud, is far from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How Mr. Sandilands could have protected any interest of the plaintiffs in the Whistler property is also unclear. According to the evidence advanced in the action heard by Brenner J., Mr. Lawrence divested himself of any interest in the Whistler property in about 1990 (at the time he was facing criminal charges for fraud), three years before Leggatt J.'s vesting order. He did so by divesting himself of any interest in his companies. Sierra was the registered owner of the Whistler property. Teknon held a substantial mortgage on the property and a right of first refusal under the mortgage. It appears that Mr. Lawrence transferred his interests in Sierra and Teknon to Ian Neely, who, as noted earlier, said he held the Teknon shares in trust for Mr. Lawrence's children. Those transfers, according to Mr. Neely, occurred in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materials filed by the defendants in this application disclose that Mr. Sandilands attempted to obtain a stay of execution regarding the Whistler vesting order shortly after the decision of Leggatt J. but the application was ruled premature because the order had not been entered at the time. In June of 1994, before Morriss agreed to sell the property to 475, Mr. Sandilands advised Mr. Lawrence that an application for a stay ought to be made, but that he required payment of his fees before he was prepared to take any further steps on Mr. Lawrence's behalf. He received no response from Mr. Lawrence.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Sierra declined to foreclose on the Whistler property, and Teknon did not exercise its right of first refusal before the property was transferred to 475. In his supplementary reasons in Hydro Fuels Inc. (supra), Brenner J. concluded that in all likelihood neither Mr. Lawrence nor Teknon ever intended to exercise the right under the mortgage to obtain title to Whistler. 475 (found by Brenner J. to be a bona fide purchaser of the property) eventually paid out the mortgage and Teknon received its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summary, the plaintiffs have failed to establish an ability to pay costs and there is clearly an arguable defence to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only issue remaining is whether I ought to exercise my discretion to order security for costs against Mr. Lawrence individually as well as against the three corporate plaintiffs. I am aware that my discretion to do so must be exercised cautiously and only if special circumstances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am satisfied that special circumstances exist in this case such that an order against Mr. Lawrence is warranted. The merits of his claim are, as noted, doubtful. The costs of the litigation will be substantial. Mr. Lawrence has already failed to pay special costs of approximately $51,000 awarded against him by Martinson J. in May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am satisfied that Mr. Lawrence is the operating mind of the corporate plaintiffs. He obtained an order for indigent status by swearing a misleading affidavit with respect to Teknon. He has positioned himself in the past to avoid creditors and continues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summary, I order that Mr. Lawrence personally and the three companies (Mid-Pacific, Sierra and Teknon) pay into court the amount of $49,265.15 as security for the payment of costs of the defendants. All proceedings in the action will be stayed in the interim. If payment of the funds into court is not made within thirty days of the date of this order, the defendants have liberty to apply to have the action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defendants are entitled to costs in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 OF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My orders are as follows:</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Action #1:</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Statement of Claim filed in the action against HGE, Mr. Baynham and Mr. Hillicker is struck out on the grounds that it discloses no reasonable cause of action and is otherwise an abuse of process;</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are entitled to an award of special costs against Mr. Lawrence and the corporate plaintiffs in the action;</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of Mr. Lawrence and the corporate plaintiffs is dismissed.</w:t>
      </w:r>
    </w:p>
    <w:p>
      <w:pPr>
        <w:numPr>
          <w:numId w:val="2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Action #2:</w:t>
      </w:r>
    </w:p>
    <w:p>
      <w:pPr>
        <w:numPr>
          <w:numId w:val="2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Lawrence and the corporate plaintiffs must pay into court the amount of $49,256.15 as security for costs, with leave to the defendants to apply to have the action struck if costs are not posted within 30 days;</w:t>
      </w:r>
    </w:p>
    <w:p>
      <w:pPr>
        <w:numPr>
          <w:numId w:val="2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proceedings are stayed in the interim;</w:t>
      </w:r>
    </w:p>
    <w:p>
      <w:pPr>
        <w:numPr>
          <w:numId w:val="2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are entitled to their costs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WEDGE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1" style="position:absolute;z-index:251893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61"/>
          <w:headerReference w:type="default" r:id="rId862"/>
          <w:footerReference w:type="even" r:id="rId863"/>
          <w:footerReference w:type="default" r:id="rId864"/>
          <w:headerReference w:type="first" r:id="rId865"/>
          <w:footerReference w:type="first" r:id="rId86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67" w:history="1">
        <w:r>
          <w:rPr>
            <w:rFonts w:ascii="arial" w:eastAsia="arial" w:hAnsi="arial" w:cs="arial"/>
            <w:b/>
            <w:bCs/>
            <w:i/>
            <w:color w:val="0077CC"/>
            <w:kern w:val="32"/>
            <w:sz w:val="28"/>
            <w:szCs w:val="32"/>
            <w:u w:val="single"/>
            <w:shd w:val="clear" w:color="auto" w:fill="FFFFFF"/>
            <w:lang w:val="en-US" w:eastAsia="en-US" w:bidi="ar-SA"/>
          </w:rPr>
          <w:t>Lee v. Transamerica Life Canada, [2017] B.C.J. No. 960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N.P. Kent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31 and November 1-3, 2016; March 3,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19,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S1410089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960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843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68 C.C.L.I. (5th) 301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279 A.C.W.S. (3d) 253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 C.P.C. (8th) 296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98 B.C.L.R. (5th) 178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11 W.W.R. 146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CarswellBC 1322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Sook Hing Lee, also known as Susan Lee, Kwan Ping Grace Chow, also known as Grace Chow, and Tom Wan Yao Chow, also known as Tom Chow on their own behalf and on behalf of the class of persons who purchased Transamerica Wealth Advantage universal life insurance policies pursuant to a personalized investment plan marketed by Kalano Jang between January 1, 2002 and June 1, 2006, Plaintiffs, and Transamerica Life Canada, Kalano Jang and Allen Wong &amp; Associates Insurance Agency Limited, Defendants, and Kalano Jang in his personal capacity and as administrator of Billion Financial Corporation and Erica Minh-Ngoc Pham Thi also known as Minh Ngoc Thi Pham in her personal capacity and as administrator of Pham Ngoc Professional Corporation and Kalson Jang,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2"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77" w:name="Keywords_46"/>
      <w:bookmarkEnd w:id="377"/>
      <w:r>
        <w:rPr>
          <w:rFonts w:ascii="arial" w:eastAsia="arial" w:hAnsi="arial" w:cs="arial"/>
          <w:b/>
          <w:color w:val="000000"/>
          <w:sz w:val="20"/>
          <w:lang w:val="en-US" w:eastAsia="en-US" w:bidi="ar-SA"/>
        </w:rPr>
        <w:t>Civil Litigation — Civil procedure — Parties — Class or representative actions — Certification — Application by plaintiffs for certification of class proceeding dismissed — Plaintiffs commenced action against insurance company, insurance broker and insurance agent for civil fraud with respect to investments they were sold by insurance agent — Agent did not defend — Pleadings failed to disclose cause of action against company and broker — Plaintiffs did not allege company and broker acted together with agent pursuant to some common wrongful design or procured agent through inducement, enticement or persuasion to commit fraud against the plaintiffs — Action was dismissed — Class Proceedings Act, ss. 1, 4, 4(1), 4(1)(a), 4(1)(b), 7 — Supreme Court Civil Rules, Rules 9-5(1)(a), 9-6.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Fraud and misrepresentation — Pleadings — Pleading fraud or fraudulent misrepresentation — Sufficiency — Specific form of pleading — Application by plaintiffs for certification of class proceeding dismissed — Plaintiffs commenced action against insurance company, insurance broker and insurance agent for civil fraud with respect to investments they were sold by insurance agent — Agent did not defend — Pleadings failed to disclose cause of action against company and broker — Plaintiffs did not allege company and broker acted together with agent pursuant to some common wrongful design or procured agent through inducement, enticement or persuasion to commit fraud against the plaintiffs — Action was dismissed — Class Proceedings Act, ss. 1, 4, 4(1), 4(1)(a), 4(1)(b), 7 — Supreme Court Civil Rules, Rules 9-5(1)(a), 9-6.</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78" w:name="Case Summary_45"/>
            <w:bookmarkEnd w:id="37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for certification of a class proceeding and to have themselves appointed as representative plaintiffs. The proceeding concerned the marketing of Transamerica Wealth Advantage (TWA) universal life insurance policies by the defendant Jang, an insurance agent. The defendant insurer, Transamerica Life Canada (Transamerica), strongly encouraged its agents to have their clients, prior to investing in any ILS products, seek professional advice from tax advisors, accountants and/or lawyers to determine whether the strategy would work, bearing in mind each client's individual circumstances. Jang marketed the investment loan strategy (ILS), and associated Transamerica products at seminars directed to prospects in the Chinese community. Jang modified the Transamerica ILS investment plan to generate multiple commissions for himself, while also potentially negating any tax-sheltering benefits it offered the client. Transamerica formally terminated its contracts with Jang in 2006 as a result of his improper sales practices. The proposed plaintiffs claimed to be clients of Jang who invested in the TWA policies in 2004 and 2005. Plaintiffs commenced and action against the defendants for civil fraud. The claim against Jang was not defended. The remaining defendants, Transamerica and the insurance broker, Wong, claimed that by failing to expressly plead reliance on misrepresentation as a cause of their losses, the plaintiffs failed to plead any proper cause of action at all.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79" w:name="Holdings of Court_42"/>
            <w:bookmarkEnd w:id="379"/>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pleadings failed to disclose a cause of action. The plaintiffs adopted a deliberate pleading strategy in the hopes of making the case more amenable to certification. They expressly refused to plead knowingly false representations upon which they relied to their financial detriment. A cause of action in fraud was not properly pleaded. In order for Transamerica and Wong to be a participant in Jang's fraudulent conduct sufficient to found joint liability, the plaintiffs must allege that Transamerica and Wong either acted together with Jang pursuant to some common wrongful design or procured Jang through inducement, enticement or persuasion to commit the fraud against the plaintiffs. No such allegations were made in the plaintiffs' pleading and thus no cause of action for joint liability was pleaded. The failure of the pleadings to disclose a cause of action was fatal not only to the certification of the matter as a class proceeding, but also to the action itself. The action was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80" w:name="Legislation Cited_31"/>
      <w:bookmarkEnd w:id="38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3"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Proceedings Act, </w:t>
      </w:r>
      <w:hyperlink r:id="rId868" w:history="1">
        <w:r>
          <w:rPr>
            <w:rFonts w:ascii="arial" w:eastAsia="arial" w:hAnsi="arial" w:cs="arial"/>
            <w:i/>
            <w:color w:val="0077CC"/>
            <w:sz w:val="20"/>
            <w:u w:val="single"/>
            <w:shd w:val="clear" w:color="auto" w:fill="FFFFFF"/>
            <w:lang w:val="en-US" w:eastAsia="en-US" w:bidi="ar-SA"/>
          </w:rPr>
          <w:t>R.S.B.C. 1996, c. 50, s. 1</w:t>
        </w:r>
      </w:hyperlink>
      <w:r>
        <w:rPr>
          <w:rFonts w:ascii="arial" w:eastAsia="arial" w:hAnsi="arial" w:cs="arial"/>
          <w:color w:val="000000"/>
          <w:sz w:val="20"/>
          <w:lang w:val="en-US" w:eastAsia="en-US" w:bidi="ar-SA"/>
        </w:rPr>
        <w:t>, s. 4, s. 4(1), s. 4(1)(a), s. 4(1)(b), s.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Limitation Act, </w:t>
      </w:r>
      <w:hyperlink r:id="rId869"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9-5</w:t>
      </w:r>
      <w:r>
        <w:rPr>
          <w:rFonts w:ascii="arial" w:eastAsia="arial" w:hAnsi="arial" w:cs="arial"/>
          <w:color w:val="000000"/>
          <w:sz w:val="20"/>
          <w:lang w:val="en-US" w:eastAsia="en-US" w:bidi="ar-SA"/>
        </w:rPr>
        <w:t>(1)(a), Rule 9-6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81" w:name="Counsel_47"/>
      <w:bookmarkEnd w:id="38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4" style="position:absolute;z-index:251809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Irwin G. Nathanson, Q.C., Malcolm B. Funt.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Transamerica Life Canada: Stein K. Gudmundseth, Q.C., Arpal S. Dosanjh, Allan L. Doolittle.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Allen Wong &amp; Associates Insurance Agency Limited: Diana L. Dorey, Jill M. Shore, Eric Girard.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Kalson Jang: Ryan D.W. Dalziel.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82" w:name="Judgment_47"/>
      <w:bookmarkEnd w:id="382"/>
      <w:r>
        <w:pict>
          <v:line id="_x0000_s1255" style="position:absolute;z-index:2518599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BACKGROUND FACTS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PLEADINGS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Pleadings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Defence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CERTIFICATION APPLICATIONS: THE FRAMEWORK FOR ANALYSIS DO THE PLEADINGS DISCLOSE A CAUSE OF ACTION?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OTHER GROUNDS FOR REFUSING CERTIFICATION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Class Definition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Common Issues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Preferable Procedure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Suitability as Representative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SUMMARY JUDGMENT APPLICATION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83" w:name="N.P. KENT J."/>
            <w:bookmarkEnd w:id="383"/>
            <w:r>
              <w:rPr>
                <w:rFonts w:ascii="arial" w:eastAsia="arial" w:hAnsi="arial" w:cs="arial"/>
                <w:b/>
                <w:color w:val="000000"/>
                <w:sz w:val="30"/>
                <w:lang w:val="en-US" w:eastAsia="en-US" w:bidi="ar-SA"/>
              </w:rPr>
              <w:t>N.P. KENT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plaintiffs apply to have this action certified as a class proceeding pursuant to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and to have themselves appointed as representative plaintiffs for the persons (the "Class Members") on whose behalf they seek to prosecute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defendants, Transamerica Life Canada and Allen Wong &amp; Associates Insurance Agency Limited, oppose certification and have each brought a cross-application seeking to strike and/or dismiss the action in whole or in part. They argue that the pleadings disclose no cause of action against either themselves or the defendant Kalano Jang and that, in any event, the action should be summarily dismissed as statute barred by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869"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and on the basis that there remain no genuine issues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action was filed on December 31, 2014 and much strategic manoeuvring ensued both before and after the certification hearing finally got underway. A previous application to dismiss some of the plaintiffs' claims met only with partial success. Appeals have been filed, albeit subsequently stayed pending the outcome of this certification hearing. Parties have been added. Pleadings have been amended several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For the reasons that follow, both the application for certification and the action itself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Some of the background facts are not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all material times Transamerica was a licensed life insurance company selling a variety of life insurance policies to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Wong &amp; Associates is a licensed life insurance agency. Since November 1997, it has operated under a "managing general agent" contract with Transamerica. Pursuant to this contract, Wong &amp; Associates serves as an intermediary between Transamerica and its independent life insurance agents. Wong &amp; Associates is responsible for processing the life insurance applications procured by the agents and brokers for submission to Transamerica.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Wong &amp; Associates also had a separate brokers' contract with Transamerica to solicit life insurance business and act as a servicing advisor for clients referred to Transamerica for life insurance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Jang was a licensed life insurance agent. He also owned and operated two licensed corporate life insurance agencies, Trillion Financial Corp. ("Trillion") and Billion Financial Corporation ("Billion") in respect of which he was the licensed "nominee".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all material times:</w:t>
      </w:r>
      <w:r>
        <w:rPr>
          <w:rFonts w:ascii="arial" w:eastAsia="arial" w:hAnsi="arial" w:cs="arial"/>
          <w:sz w:val="20"/>
          <w:lang w:val="en-US" w:eastAsia="en-US" w:bidi="ar-SA"/>
        </w:rPr>
        <w:cr/>
      </w:r>
    </w:p>
    <w:p>
      <w:pPr>
        <w:numPr>
          <w:numId w:val="2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Trillion was the signatory to an "associate general agent" contract with Transamerica;</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Billion was signatory to two "independent agent/ broker" contracts with Transamerica;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Both Mr. Jang and Billion were signatories to an "independent broker contract" with Wong &amp; Associates which required them to obtain and submit to Wong &amp; Associates applications for insurance policies and other products offered by Wong &amp; Associates' "principal insurers", including Transamerica.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This case concerns the marketing of Transamerica Wealth Advantage ("TWA") universal life insurance policies by Mr. Jang. Transamerica had designed a certain investment plan, an "Investment Loan Strategy" (the "ILS") for high net worth clients who required permanent life insurance protection. Ideally, clients were business owners or individuals with substantial taxable income in liquid assets, as the plan required substantial premium payments during the early years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Under the plan, a client purchased a universal life ("UL") insurance policy and deposited the first premium payment. Once the policy was in force, the client took out a policy loan and was charged a guaranteed interest rate of 10% per annum. The client was responsible for paying the accrued interest on the outstanding policy loan from a source outside the policy. The client then reinvested this borrowed money into an investment that earned income from a business or property, so that this reinvestment enabled the client to deduct the interest being accrued on the policy loan. In the interim, an amount equal to the policy loan amount was transferred to an interest-bearing account that guaranteed a rate of 8% per annum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Transamerica strongly encouraged its agents to have their clients, prior to investing in any ILS products, seek professional advice from tax advisors, accountants and/or lawyers to determine whether the strategy would work, bearing in mind each client's individual circumstances. One of the key issues to be assessed was whether the interest expense incurred in relation to the strategy would be deductible for tax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Jang marketed the ILS, and associated Transamerica products, at seminars directed to prospects in the Chinese community. The seminars were in Cantonese. Mr. Jang attended, often with some of his senior advisors and a number of support staff who, after the presentation, met with prospects to collect personal and financial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Jang modified the Transamerica ILS investment plan to generate multiple commissions for himself, while also potentially negating any tax-sheltering benefits it offered the client. He had clients first invest in segregated fund policies while he underwrote and awaited approval of their UL insurance policies. Upon approval of the UL policies, which typically had high amounts of insurance coverage, Mr. Jang liquidated the clients' segregated fund accounts (thereby triggering deferred sales charges) and transferred the money into the UL policies. Mr. Jang then had the clients take out loans against the policies' accounts to invest in deferred sales charge segregated fund accounts or other investments he recommended, including one with a lawyer in Ontario, Erika Pham, whose firm loaned out money for mortgages. Mr. Jang did not disclose to clients the details of the Pham investment but guaranteed a 12 or 13% rate of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June 1, 2006, Transamerica formally terminated its contracts with Mr. Jang as a result of his improper sales practices. The termination letter is four pages long and sets out the details of his misconduct. It expressed concern that the products were being purchased by clients that did not understand the product and or that they were not in a taxable position to benefit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While the Transamerica insureds/clients were advised of Mr. Jang's termination, the cause for termination was not disclosed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Jang's misconduct eventually came to the attention of the Insurance Council of British Columbia (the "Council"). Following a detailed investigation, the Council issued and published an 11-page decision setting out the details of Mr. Jang's misconduct and ordering Mr. Jang's and Trillion/Billion's insurance licences cancelled. The Council described his conduct as egregious and incompetent. It concluded that he had been marketing a distorted version of Transamerica's ILS solely to generate commissions on products that were not suitable for the clients' insurance needs and financial circumstances. The Council found Mr. Jang untrustworthy and that he posed "a continuing and imminent risk of serious harm to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All three plaintiffs claim to be victims of Mr. Jang's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Lee was 62 years old when she attended seminars hosted by Mr. Jang in 2004. Thereafter, on the recommendation of and with the assistance of Mr. Jang, she borrowed funds to purchase deferred sales charge segregated funds policies issued by Transamerica. She then applied for TWA universal life policies providing $8 million of insurance coverage. When those policies were issued, she paid immediate premiums of $460,000.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2005, on Mr. Jang's recommendation, Ms. Lee borrowed approximately $266,000 from Transamerica as a policy loan so she could invest $270,000 through Ms. Pham, the lawyer recommended by Mr. Jang in Ontario. This investment was completely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2006 when Transamerica terminated its relationship with Mr. Jang, Ms. Lee was informed of the termination but received no explanation. In November 2007, having obtained financial and insurance advice independent of Mr. Jang, Ms. Lee cancelled her TWA policies. In total, the net amount paid by Ms. Lee to Transamerica in respect of the TWA policies sold by Mr. Jang was approximately $322,000.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losses sustained by the Chows are more controversial. They had a net worth of approximately $7.3 million comprised largely of real estate and mutual funds. They also attended several seminars put on by Mr. Jang and, starting in April 2004, each of them purchased Transamerica segregated funds policies. Mr. Chow failed to qualify for coverage, however Mrs. Chow applied for and was issued four TWA UL policies providing aggregate insurance coverage in the amount of $5 million. Unlike Ms. Lee, she has not cancelled those policies. However she borrowed approximately $225,000 from Transamerica as a policy loan at an interest rate of 10%. Between November 2004 and July 21, 2015 she made payments on account of interest exceeding $210,000 and the balance owing on the loans increased to approximately $285,000.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the recommendation of Mr. Jang, Mr. and Mrs. Chow also invested almost half a million dollars between June 2004 and June 2005 to purchase shares in an entity known as Pender International Inc. As with Ms. Lee, this investment ultimately turned out to be worthless and was completely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While the plaintiffs have sued Kalano Jang in this proceeding, that claim has not been defended and no recovery from that source is anticipated. Rather, the plaintiffs' real targets in this litigation are Transamerica and Allen Wong, against whom pleadings have been issued which have been artfully designed to permit certification of the action as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Pleadings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Bruno Appliance and Furniture, Inc. v. Hryniak</w:t>
      </w:r>
      <w:r>
        <w:rPr>
          <w:rFonts w:ascii="arial" w:eastAsia="arial" w:hAnsi="arial" w:cs="arial"/>
          <w:color w:val="000000"/>
          <w:sz w:val="20"/>
          <w:lang w:val="en-US" w:eastAsia="en-US" w:bidi="ar-SA"/>
        </w:rPr>
        <w:t xml:space="preserve">, </w:t>
      </w:r>
      <w:hyperlink r:id="rId870" w:history="1">
        <w:r>
          <w:rPr>
            <w:rFonts w:ascii="arial" w:eastAsia="arial" w:hAnsi="arial" w:cs="arial"/>
            <w:i/>
            <w:color w:val="0077CC"/>
            <w:sz w:val="20"/>
            <w:u w:val="single"/>
            <w:shd w:val="clear" w:color="auto" w:fill="FFFFFF"/>
            <w:lang w:val="en-US" w:eastAsia="en-US" w:bidi="ar-SA"/>
          </w:rPr>
          <w:t>2014 SCC 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Bruno Appliance</w:t>
      </w:r>
      <w:r>
        <w:rPr>
          <w:rFonts w:ascii="arial" w:eastAsia="arial" w:hAnsi="arial" w:cs="arial"/>
          <w:color w:val="000000"/>
          <w:sz w:val="20"/>
          <w:lang w:val="en-US" w:eastAsia="en-US" w:bidi="ar-SA"/>
        </w:rPr>
        <w:t>], the Supreme Court of Canada summarized the four elements of the tort of civil fraud, at para. 21:</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false representation made by the defendant;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 level of knowledge of the falsehood of the misrepresentation on the part of the defendant (whether through knowledge or recklessness);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false representation caused the plaintiff to act;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actions resulted in a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Knowing full well that the courts have often been reluctant to certify misrepresentation claims as class actions, the plaintiffs in this case made a deliberate strategic decision not to expressly plead fraudulent misrepresentation as a cause of action. They say </w:t>
      </w:r>
      <w:r>
        <w:rPr>
          <w:rFonts w:ascii="arial" w:eastAsia="arial" w:hAnsi="arial" w:cs="arial"/>
          <w:i/>
          <w:color w:val="000000"/>
          <w:sz w:val="20"/>
          <w:lang w:val="en-US" w:eastAsia="en-US" w:bidi="ar-SA"/>
        </w:rPr>
        <w:t>Bruno Appliance</w:t>
      </w:r>
      <w:r>
        <w:rPr>
          <w:rFonts w:ascii="arial" w:eastAsia="arial" w:hAnsi="arial" w:cs="arial"/>
          <w:color w:val="000000"/>
          <w:sz w:val="20"/>
          <w:lang w:val="en-US" w:eastAsia="en-US" w:bidi="ar-SA"/>
        </w:rPr>
        <w:t xml:space="preserve"> does not lay down an exhaustive definition of civil fraud. Rather, they claim fraud can simply comprise "deprivation of another's property by dishonest means", something that can occur without false representations or deceit. Thus, the plaintiffs have framed their pleadings to allege a cause of action founded on this non-misrepresentation-based form of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Not surprisingly, the defendants claim that the </w:t>
      </w:r>
      <w:r>
        <w:rPr>
          <w:rFonts w:ascii="arial" w:eastAsia="arial" w:hAnsi="arial" w:cs="arial"/>
          <w:i/>
          <w:color w:val="000000"/>
          <w:sz w:val="20"/>
          <w:lang w:val="en-US" w:eastAsia="en-US" w:bidi="ar-SA"/>
        </w:rPr>
        <w:t>Bruno Appliance</w:t>
      </w:r>
      <w:r>
        <w:rPr>
          <w:rFonts w:ascii="arial" w:eastAsia="arial" w:hAnsi="arial" w:cs="arial"/>
          <w:color w:val="000000"/>
          <w:sz w:val="20"/>
          <w:lang w:val="en-US" w:eastAsia="en-US" w:bidi="ar-SA"/>
        </w:rPr>
        <w:t xml:space="preserve"> definition of civil fraud is indeed exhaustive and that by failing to expressly plead reliance on misrepresentation as a cause of their losses, the plaintiffs have failed to plead any proper cause of action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pleading manoeuvrings in this case continued to the very last day of the certification and summary dismissal applications. On March 3, 2017, the Court was presented with the plaintiffs' Second Further Amended Notice of Civil Claim. This further amended pleading added/re-crafted paragraphs respecting Transamerica's/Allen Wong's "authority and control" over Kalano Jang. These amendments were presumably designed to reinforce the claimed cause of action for Transamerica's and Allen Wong's "participation" in Kalano Jang's "fraudulent scheme", as well as the claim for the former's vicarious liability for Jang's wrongdoing.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None of the defendants objected to the most recent proposed amendment and leave was granted on March 3, 2017 for the plaintiffs to file the Second Further Amended Notice of Civil Claim. This is the plaintiffs' pleading referred to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plaintiffs' pleading first identifies the named parties. It also alleges Jang's capacity as president of Trillion.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Paragraph 6 of the pleading then identifies the class on whose behalf the proposed class proceeding is brought, namely: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Persons who purchased Transamerica Wealth Advantage universal life insurance contracts marketed by Kalano Jang between January 1, 2002 and June 1, 2006 following attendance at a seminar organized and attended by Kalano Jang.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Paragraphs 7 through 9D of the pleading set out the relationship among the defendants including the alleged agency relationships between Transamerica and Allen Wong and Jang/Trillion. The plaintiffs plead that these relationships and the "understandings established by a course of dealings" between the parties provided Jang with the opportunity and authority to market the Transamerica Life insurance products in the abusive, fraudulent and deceptive manner described later in the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Paragraphs 10 to 12 of the pleading describe Transamerica's life insurance products, including the TWA UL policy and the ILS Investment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Paragraphs 13 through 15 of the pleading describe the "inherently fraudulent and deceptive" "scheme" undertaken by Jang in "marketing" the TWA and segregated funds policies of Transamerica. The word "(mis)representation" appears nowhere in these paragraphs, however the scheme is said to comprise Jang's advice, recommendations, promotion, and encouragement respecting the purchase of the Transamerica products by persons attending the marketing seminars he organized. The scheme is alleged to be fraudulent and deceptive because Jang pushed the products without carrying out any individual needs assessment (thereby contravening his obligations as a licensed insurance agent), solely to generate commission income for Jang and Allen Wong and premiums for Transamerica, even though the products were not suitable for the needs and circumstances of the individuals to whom they were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Paragraphs 16 to 26 of the pleading allege the particulars of Transamerica's participation in the "scheme". This is what the parties have described in their various submissions as "accessory liability" on the part of Transamerica. Essentially, the plaintiffs allege that Transamerica became aware of Jang's improper sales practices by way of information from third parties, as well as its own investigations in 2000 and 2001, such that "Transamerica knew or was wilfully blind to material elements of the Scheme and thus constituted a participant in the Scheme" to which it "failed to put an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Allen Wong's participation in the "scheme" is set out in paragraphs 27 to 30 of the plaintiffs' pleading. It too is alleged to have known or been "wilfully blind" to the scheme and also that it "chose not to terminate Jang's agency or restrain his selling activities in order to continue to profit from the scheme" through receipt of the commissions paid by Transamerica on the insurance products sold by Jang.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pleading then goes on to describe Jang's inducement of the three plaintiffs, the policies they purchased, the costs they incurred, and the investments they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Under the heading "Loss and Damage", paragraph 37 of the pleading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for the Scheme and the conduct and failure to act of Transamerica and Allen Wong as set out above, the plaintiffs and members of the class would not have purchased Wealth Advantage universal life insurance contracts and suffered losses based on the advice and representations of Kalano Jang.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Part 2 of the plaintiffs' pleading sets out the relief sought on behalf of both the plaintiffs and Class Members, namely:</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restitution of the amounts paid by the plaintiffs pursuant to the TWA policies;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accounting of profits made by all defendants from their participation in the scheme; and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 and punitive damages from all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Part 3 of the plaintiffs' pleading articulates the "Legal Basis" for the relief sought. In descending order they include:</w:t>
      </w:r>
      <w:r>
        <w:rPr>
          <w:rFonts w:ascii="arial" w:eastAsia="arial" w:hAnsi="arial" w:cs="arial"/>
          <w:sz w:val="20"/>
          <w:lang w:val="en-US" w:eastAsia="en-US" w:bidi="ar-SA"/>
        </w:rPr>
        <w:cr/>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"participation" by Transamerica and Allen Wong in the "scheme" with Jang by virtue of their knowledge of or wilful blindness to the scheme, their relationship with Jang and the benefits obtained from the scheme;</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being a party to fraudulent and deceptive conduct which induced acquisition of TWA policies by the plaintiffs and for which Transamerica and Allen Wong are vicariously liable;</w:t>
      </w:r>
    </w:p>
    <w:p>
      <w:pPr>
        <w:numPr>
          <w:numId w:val="1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restitution based on unjust enrichment (receipt of payments induced by fraudulent and wrongful conduct) and "waiver of tort" in respect of which an accounting of profits derived from the scheme must be made; and</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damages for the wrongful conduct,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participation in a fraudulent and deceptive marketing scheme including vicarious liability on the part of Transamerica and Allen Wong.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Defence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By its Amended Response to Further Amended Civil Claim Transamerica denies that it participated "in any fraudulent and deceptive scheme" devised by Jang. It alleges that before its decision to terminate Jang's agency, Transamerica neither knew of any such fraudulent and deceptive scheme nor was it wilfully blind to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Transamerica then joins issue with each of the three plaintiffs' individual claims. While it has since come to learn that the plaintiffs borrowed monies for the purposes of their respective "Transamerica investment portfolios", it alleges that "the use of borrowed funds for deposit into the [portfolios] was not disclosed to Transamerica"; indeed, Transamerica alleges that the plaintiffs acquired their investment portfolios and used the loans to "inflate" the value of their assets and thereby induce Transamerica to issue policies with greater life insurance than they would otherwise have extended. In other words, Transamerica itself raises misrepresentation by the plaintiffs as a defence to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Insofar as the Lee portfolio is concerned, Transamerica alleges that this particular plaintiff received approximately $70,000 through market gains net of her deposits and all charges for the early withdrawal of funds (deferred sales charges). Transamerica also alleges that in the approximate three-year period during which the UL policies were in force, Ms. Lee received "the benefit of $8 million in life insurance coverage and protection against any changes in her insurability".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same "benefits" are alleged by Transamerica as against Mrs. Chow. Mrs. Chow's policies have not been cancelled and remain in force and she has thus had the "benefit" of $5 million in life insurance coverage and protection against any changes in insurability since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Insofar as the plaintiff Mr. Chow is concerned, Transamerica alleges that it did not issue any life insurance to him for medical reasons and that any premiums he had tendered with his application for life insurance were returned to him. Rather, Mr. Chow's only dealing with Transamerica was the opening of his "Transamerica investment portfolio" into which he deposited $900,000 and from which he has made a substantial profit through market gains net of deposits and all deferred sales charges for early withdrawal of funds. In Mr. Chow's case, Transamerica is alleging that he has suffered no loss and thus has no cause of action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As against all defendants, Transamerica pleads limitation defences under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s. 3, and claims that the actions are barred by the effluxion of time. In the case of Ms. Lee, it is expressly pleaded by Transamerica that she deliberately adopted a "wait and see" approach instead of actively prosecuting her claim, and that, as well, she improperly threatened reporting her allegations to the media and other persons in order to thwart a proposed sale of Transamerica in October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Lastly, insofar as Mrs. Chow is concerned, Transamerica alleges that she was herself a licensed life insurance broker, affiliated with Trillion and contracted with Transamerica, and as such actually received commissions in relation to her own policies. In this capacity, it is alleged Mrs. Chow knew or ought to have known the nature of the insurance products she was purchasing and that she is estopped from asserting unsuitability of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their Response to Further Amended Notice of Civil Claim, Allen Wong also denies any participation in or wilful blindness respecting any fraudulent or deceptive conduct of Jang. It emphasizes that Jang was an </w:t>
      </w:r>
      <w:r>
        <w:rPr>
          <w:rFonts w:ascii="arial" w:eastAsia="arial" w:hAnsi="arial" w:cs="arial"/>
          <w:color w:val="000000"/>
          <w:sz w:val="20"/>
          <w:u w:val="single"/>
          <w:lang w:val="en-US" w:eastAsia="en-US" w:bidi="ar-SA"/>
        </w:rPr>
        <w:t>independent</w:t>
      </w:r>
      <w:r>
        <w:rPr>
          <w:rFonts w:ascii="arial" w:eastAsia="arial" w:hAnsi="arial" w:cs="arial"/>
          <w:color w:val="000000"/>
          <w:sz w:val="20"/>
          <w:lang w:val="en-US" w:eastAsia="en-US" w:bidi="ar-SA"/>
        </w:rPr>
        <w:t xml:space="preserve"> agent, as were the two companies owned or controlled by him (Billion and Trillion), whose sole authority was to "solicit and submit applications to Transamerica for insurance products offered by Transamerica, subject to Transamerica's rules and regulations then in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Insofar as Allen Wong's own role is concerned, it pleads that it was at all material times simply a "managing general agent" for Transamerica for the purpose of soliciting and submitting to Transamerica applications for their insurance products and recruiting other agents/brokers to do likewise. It alleges that it had no authority to bind or commit Transamerica or to waive any of Transamerica's rights or requirements in respect of their insurance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Allen Wong alleges that it had no involvement with any of the seminars provided by Jang to his various clients (including the plaintiffs) and that it had no involvement in or knowledge of any advice or recommendations given to them by Jang/Billion/Trillion in respect of their respective investment portfolios or strategies.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Certification Applications: The Framework for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Certification is addressed in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Definitions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this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"common issues"</w:t>
      </w:r>
      <w:r>
        <w:rPr>
          <w:rFonts w:ascii="arial" w:eastAsia="arial" w:hAnsi="arial" w:cs="arial"/>
          <w:color w:val="000000"/>
          <w:sz w:val="20"/>
          <w:lang w:val="en-US" w:eastAsia="en-US" w:bidi="ar-SA"/>
        </w:rPr>
        <w:t xml:space="preserve"> means</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but not necessarily identical issues of fact, or</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but not necessarily identical issues of law that arise from common but not necessarily identical facts;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Class certification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(1) The court must certify a proceeding as a class proceeding on an application under section 2 or 3 if all of the following requirements are met:</w:t>
      </w:r>
    </w:p>
    <w:p>
      <w:pPr>
        <w:numPr>
          <w:numId w:val="1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2 or more persons;</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2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w:t>
      </w:r>
    </w:p>
    <w:p>
      <w:pPr>
        <w:numPr>
          <w:numId w:val="2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2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 class proceeding would be the preferable procedure for the fair and efficient resolution of the common issues, the court must consider all relevant matters including the following:</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2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Certain matters not bar to certification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court must not refuse to certify a proceeding as a class proceeding merely because of one or more of the following:</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relief claimed includes a claim for damages that would require individual assessment after determination of the common issues;</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relief claimed relates to separate contracts involving different class members;</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different remedies are sought for different class members;</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of class members or the identity of each class member is not known;</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class includes a subclass whose members have claims that raise common issues not shared by all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This is a procedural hearing. Its purpose is to determine whether a particular type of proceeding -- a class proceeding -- is a preferable way to adjudicate underlying claims of the proposed Class Members. If the five conditions prescribed in s. 4(1)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are met, then it is mandatory for the court to certify the action as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onus and standard of proof applicable to certification applications was summarized by Masuhara J. in </w:t>
      </w:r>
      <w:r>
        <w:rPr>
          <w:rFonts w:ascii="arial" w:eastAsia="arial" w:hAnsi="arial" w:cs="arial"/>
          <w:i/>
          <w:color w:val="000000"/>
          <w:sz w:val="20"/>
          <w:lang w:val="en-US" w:eastAsia="en-US" w:bidi="ar-SA"/>
        </w:rPr>
        <w:t>Seidel v. Telus Communications Inc.</w:t>
      </w:r>
      <w:r>
        <w:rPr>
          <w:rFonts w:ascii="arial" w:eastAsia="arial" w:hAnsi="arial" w:cs="arial"/>
          <w:color w:val="000000"/>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2016 BCSC 114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The onus is on the party seeking certification to meet the requirements. The burden is not an onerous one. The cause of action requirement in s. 4(1)(a) is satisfied unless, assuming all the pleaded facts are true, it is plain and obvious that the claim cannot succeed: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980; </w:t>
      </w:r>
      <w:r>
        <w:rPr>
          <w:rFonts w:ascii="arial" w:eastAsia="arial" w:hAnsi="arial" w:cs="arial"/>
          <w:i/>
          <w:color w:val="000000"/>
          <w:sz w:val="20"/>
          <w:lang w:val="en-US" w:eastAsia="en-US" w:bidi="ar-SA"/>
        </w:rPr>
        <w:t>Hollick v. Toronto (City)</w:t>
      </w:r>
      <w:r>
        <w:rPr>
          <w:rFonts w:ascii="arial" w:eastAsia="arial" w:hAnsi="arial" w:cs="arial"/>
          <w:color w:val="000000"/>
          <w:sz w:val="20"/>
          <w:lang w:val="en-US" w:eastAsia="en-US" w:bidi="ar-SA"/>
        </w:rPr>
        <w:t xml:space="preserve">, </w:t>
      </w:r>
      <w:hyperlink r:id="rId872" w:history="1">
        <w:r>
          <w:rPr>
            <w:rFonts w:ascii="arial" w:eastAsia="arial" w:hAnsi="arial" w:cs="arial"/>
            <w:i/>
            <w:color w:val="0077CC"/>
            <w:sz w:val="20"/>
            <w:u w:val="single"/>
            <w:shd w:val="clear" w:color="auto" w:fill="FFFFFF"/>
            <w:lang w:val="en-US" w:eastAsia="en-US" w:bidi="ar-SA"/>
          </w:rPr>
          <w:t>2001 SCC 68</w:t>
        </w:r>
      </w:hyperlink>
      <w:r>
        <w:rPr>
          <w:rFonts w:ascii="arial" w:eastAsia="arial" w:hAnsi="arial" w:cs="arial"/>
          <w:color w:val="000000"/>
          <w:sz w:val="20"/>
          <w:lang w:val="en-US" w:eastAsia="en-US" w:bidi="ar-SA"/>
        </w:rPr>
        <w:t xml:space="preserve"> at para. 25. With respect to the other four requirements in s. 4(1), the applicant need only provide a minimum evidentiary basis that shows some basis in fact for each of them; the application hearing is procedural and not the forum where the merits of the action are decided: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paras. 24-25. The "some basis in fact" standard does not require the court to resolve conflicting facts and evidence at the certification stage. The authorities on this point have reiterated that at the certification stage the court is ill-equipped to resolve such conflicts: </w:t>
      </w:r>
      <w:r>
        <w:rPr>
          <w:rFonts w:ascii="arial" w:eastAsia="arial" w:hAnsi="arial" w:cs="arial"/>
          <w:i/>
          <w:color w:val="000000"/>
          <w:sz w:val="20"/>
          <w:lang w:val="en-US" w:eastAsia="en-US" w:bidi="ar-SA"/>
        </w:rPr>
        <w:t>Pro-Sys Consultants Ltd. v. Microsoft Corporation</w:t>
      </w:r>
      <w:r>
        <w:rPr>
          <w:rFonts w:ascii="arial" w:eastAsia="arial" w:hAnsi="arial" w:cs="arial"/>
          <w:color w:val="000000"/>
          <w:sz w:val="20"/>
          <w:lang w:val="en-US" w:eastAsia="en-US" w:bidi="ar-SA"/>
        </w:rPr>
        <w:t xml:space="preserve">, </w:t>
      </w:r>
      <w:hyperlink r:id="rId873" w:history="1">
        <w:r>
          <w:rPr>
            <w:rFonts w:ascii="arial" w:eastAsia="arial" w:hAnsi="arial" w:cs="arial"/>
            <w:i/>
            <w:color w:val="0077CC"/>
            <w:sz w:val="20"/>
            <w:u w:val="single"/>
            <w:shd w:val="clear" w:color="auto" w:fill="FFFFFF"/>
            <w:lang w:val="en-US" w:eastAsia="en-US" w:bidi="ar-SA"/>
          </w:rPr>
          <w:t>2013 SCC 57</w:t>
        </w:r>
      </w:hyperlink>
      <w:r>
        <w:rPr>
          <w:rFonts w:ascii="arial" w:eastAsia="arial" w:hAnsi="arial" w:cs="arial"/>
          <w:color w:val="000000"/>
          <w:sz w:val="20"/>
          <w:lang w:val="en-US" w:eastAsia="en-US" w:bidi="ar-SA"/>
        </w:rPr>
        <w:t xml:space="preserve"> at para. 102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In this respect, I note the observation of Rothstein J., for the Court, in </w:t>
      </w:r>
      <w:r>
        <w:rPr>
          <w:rFonts w:ascii="arial" w:eastAsia="arial" w:hAnsi="arial" w:cs="arial"/>
          <w:i/>
          <w:color w:val="000000"/>
          <w:sz w:val="20"/>
          <w:lang w:val="en-US" w:eastAsia="en-US" w:bidi="ar-SA"/>
        </w:rPr>
        <w:t>Microsoft</w:t>
      </w:r>
      <w:r>
        <w:rPr>
          <w:rFonts w:ascii="arial" w:eastAsia="arial" w:hAnsi="arial" w:cs="arial"/>
          <w:color w:val="000000"/>
          <w:sz w:val="20"/>
          <w:lang w:val="en-US" w:eastAsia="en-US" w:bidi="ar-SA"/>
        </w:rPr>
        <w:t xml:space="preserve"> at para. 105: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Canadian courts have resisted the U.S. approach of engaging in a robust analysis of the merits at the certification stage. Consequently, the outcome of a certification application will not be predictive of the success of the action at the trial of the common issues. I think it important to emphasize that the Canadian approach at the certification stage does not allow for an extensive assessment of the complexities and challenges that a plaintiff may face in establishing its case at trial. After an action has been certified, additional information may come to light calling into question whether the requirements of s. 4(1) continue to be met. It is for this reason that enshrined in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is the power of the court to decertify the action if at any time it is found that the conditions for certification are no longer met (s. 10(1)).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Tonn v. Sears Canada Inc.</w:t>
      </w:r>
      <w:r>
        <w:rPr>
          <w:rFonts w:ascii="arial" w:eastAsia="arial" w:hAnsi="arial" w:cs="arial"/>
          <w:color w:val="000000"/>
          <w:sz w:val="20"/>
          <w:lang w:val="en-US" w:eastAsia="en-US" w:bidi="ar-SA"/>
        </w:rPr>
        <w:t xml:space="preserve">, </w:t>
      </w:r>
      <w:hyperlink r:id="rId874" w:history="1">
        <w:r>
          <w:rPr>
            <w:rFonts w:ascii="arial" w:eastAsia="arial" w:hAnsi="arial" w:cs="arial"/>
            <w:i/>
            <w:color w:val="0077CC"/>
            <w:sz w:val="20"/>
            <w:u w:val="single"/>
            <w:shd w:val="clear" w:color="auto" w:fill="FFFFFF"/>
            <w:lang w:val="en-US" w:eastAsia="en-US" w:bidi="ar-SA"/>
          </w:rPr>
          <w:t>2016 BCSC 1081</w:t>
        </w:r>
      </w:hyperlink>
      <w:r>
        <w:rPr>
          <w:rFonts w:ascii="arial" w:eastAsia="arial" w:hAnsi="arial" w:cs="arial"/>
          <w:color w:val="000000"/>
          <w:sz w:val="20"/>
          <w:lang w:val="en-US" w:eastAsia="en-US" w:bidi="ar-SA"/>
        </w:rPr>
        <w:t>, the Griffin J.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The evidentiary threshold to be applied is therefore not a balance of probabilities, but rather the less stringent "some basis in fact" test. The question at the certification stage is not whether the claim is likely to succeed, but whether the suit is appropriately pursued as a class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Although the burden is on the plaintiff, the opposing party may respond with evidence of its own to challenge certification. Where the defendant does so, it is proper for the court to scrutinize the plaintiff's evidence by reference to the defendant's evidence. However, care must be taken not to engage in an impermissible weighing of the evidence (</w:t>
      </w:r>
      <w:r>
        <w:rPr>
          <w:rFonts w:ascii="arial" w:eastAsia="arial" w:hAnsi="arial" w:cs="arial"/>
          <w:i/>
          <w:color w:val="000000"/>
          <w:sz w:val="20"/>
          <w:lang w:val="en-US" w:eastAsia="en-US" w:bidi="ar-SA"/>
        </w:rPr>
        <w:t>Marshall v. United Furniture Warehouse Limited Partnership</w:t>
      </w:r>
      <w:r>
        <w:rPr>
          <w:rFonts w:ascii="arial" w:eastAsia="arial" w:hAnsi="arial" w:cs="arial"/>
          <w:color w:val="000000"/>
          <w:sz w:val="20"/>
          <w:lang w:val="en-US" w:eastAsia="en-US" w:bidi="ar-SA"/>
        </w:rPr>
        <w:t xml:space="preserve">, </w:t>
      </w:r>
      <w:hyperlink r:id="rId875" w:history="1">
        <w:r>
          <w:rPr>
            <w:rFonts w:ascii="arial" w:eastAsia="arial" w:hAnsi="arial" w:cs="arial"/>
            <w:i/>
            <w:color w:val="0077CC"/>
            <w:sz w:val="20"/>
            <w:u w:val="single"/>
            <w:shd w:val="clear" w:color="auto" w:fill="FFFFFF"/>
            <w:lang w:val="en-US" w:eastAsia="en-US" w:bidi="ar-SA"/>
          </w:rPr>
          <w:t>2013 BCSC 2050</w:t>
        </w:r>
      </w:hyperlink>
      <w:r>
        <w:rPr>
          <w:rFonts w:ascii="arial" w:eastAsia="arial" w:hAnsi="arial" w:cs="arial"/>
          <w:color w:val="000000"/>
          <w:sz w:val="20"/>
          <w:lang w:val="en-US" w:eastAsia="en-US" w:bidi="ar-SA"/>
        </w:rPr>
        <w:t xml:space="preserve"> at para. 54, aff'd </w:t>
      </w:r>
      <w:hyperlink r:id="rId876" w:history="1">
        <w:r>
          <w:rPr>
            <w:rFonts w:ascii="arial" w:eastAsia="arial" w:hAnsi="arial" w:cs="arial"/>
            <w:i/>
            <w:color w:val="0077CC"/>
            <w:sz w:val="20"/>
            <w:u w:val="single"/>
            <w:shd w:val="clear" w:color="auto" w:fill="FFFFFF"/>
            <w:lang w:val="en-US" w:eastAsia="en-US" w:bidi="ar-SA"/>
          </w:rPr>
          <w:t>2015 BCCA 252</w:t>
        </w:r>
      </w:hyperlink>
      <w:r>
        <w:rPr>
          <w:rFonts w:ascii="arial" w:eastAsia="arial" w:hAnsi="arial" w:cs="arial"/>
          <w:color w:val="000000"/>
          <w:sz w:val="20"/>
          <w:lang w:val="en-US" w:eastAsia="en-US" w:bidi="ar-SA"/>
        </w:rPr>
        <w:t xml:space="preserve">, leave to appeal ref'd </w:t>
      </w:r>
      <w:hyperlink r:id="rId877" w:history="1">
        <w:r>
          <w:rPr>
            <w:rFonts w:ascii="arial" w:eastAsia="arial" w:hAnsi="arial" w:cs="arial"/>
            <w:i/>
            <w:color w:val="0077CC"/>
            <w:sz w:val="20"/>
            <w:u w:val="single"/>
            <w:shd w:val="clear" w:color="auto" w:fill="FFFFFF"/>
            <w:lang w:val="en-US" w:eastAsia="en-US" w:bidi="ar-SA"/>
          </w:rPr>
          <w:t>[2015] S.C.C.A. No. 326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Do the Pleadings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test for disclosure of a cause of action is the same for the purposes of s. 4(1)(a)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as it is for a defendant's application to strike out a plaintiff's pleading and dismiss an action under Rule 9-5(1)(a): </w:t>
      </w:r>
      <w:r>
        <w:rPr>
          <w:rFonts w:ascii="arial" w:eastAsia="arial" w:hAnsi="arial" w:cs="arial"/>
          <w:i/>
          <w:color w:val="000000"/>
          <w:sz w:val="20"/>
          <w:lang w:val="en-US" w:eastAsia="en-US" w:bidi="ar-SA"/>
        </w:rPr>
        <w:t>Jiang v. Peoples Trust Company</w:t>
      </w:r>
      <w:r>
        <w:rPr>
          <w:rFonts w:ascii="arial" w:eastAsia="arial" w:hAnsi="arial" w:cs="arial"/>
          <w:color w:val="000000"/>
          <w:sz w:val="20"/>
          <w:lang w:val="en-US" w:eastAsia="en-US" w:bidi="ar-SA"/>
        </w:rPr>
        <w:t xml:space="preserve">, </w:t>
      </w:r>
      <w:hyperlink r:id="rId878" w:history="1">
        <w:r>
          <w:rPr>
            <w:rFonts w:ascii="arial" w:eastAsia="arial" w:hAnsi="arial" w:cs="arial"/>
            <w:i/>
            <w:color w:val="0077CC"/>
            <w:sz w:val="20"/>
            <w:u w:val="single"/>
            <w:shd w:val="clear" w:color="auto" w:fill="FFFFFF"/>
            <w:lang w:val="en-US" w:eastAsia="en-US" w:bidi="ar-SA"/>
          </w:rPr>
          <w:t>2017 BCCA 119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Jiang</w:t>
      </w:r>
      <w:r>
        <w:rPr>
          <w:rFonts w:ascii="arial" w:eastAsia="arial" w:hAnsi="arial" w:cs="arial"/>
          <w:color w:val="000000"/>
          <w:sz w:val="20"/>
          <w:lang w:val="en-US" w:eastAsia="en-US" w:bidi="ar-SA"/>
        </w:rPr>
        <w:t>]. That latter rule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Rule 9-5 -- Striking Pleadings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Scandalous, frivolous or vexatious matters</w:t>
      </w:r>
    </w:p>
    <w:p>
      <w:pPr>
        <w:numPr>
          <w:numId w:val="4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Admissibility of evidence</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evidence is admissible on an application under subrule (1)(a).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879"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made the following observations about the test for striking out claims pursuant to Rule 9-5(1)(a):</w:t>
      </w:r>
      <w:r>
        <w:rPr>
          <w:rFonts w:ascii="arial" w:eastAsia="arial" w:hAnsi="arial" w:cs="arial"/>
          <w:sz w:val="20"/>
          <w:lang w:val="en-US" w:eastAsia="en-US" w:bidi="ar-SA"/>
        </w:rPr>
        <w:cr/>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claim will only be struck if it is plain and obvious, assuming the facts pleaded to be true, that the pleading discloses no reasonable cause of action" (at para. 17);</w:t>
      </w:r>
    </w:p>
    <w:p>
      <w:pPr>
        <w:numPr>
          <w:numId w:val="5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"Another way of putting the test is that the claim has no reasonable prospect of success" (at para. 17);</w:t>
      </w:r>
    </w:p>
    <w:p>
      <w:pPr>
        <w:numPr>
          <w:numId w:val="5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power to strike out claims that have no reasonable prospect of success is a valuable housekeeping measure essential to effective and fair litigation. It unclutters the proceedings, weeding out the hopeless claims ..." (at para. 19);</w:t>
      </w:r>
    </w:p>
    <w:p>
      <w:pPr>
        <w:numPr>
          <w:numId w:val="72"/>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on a motion to strike, it is not determinative that the law has not yet recognized the particular claim. The court must rather ask whether, assuming the facts pleaded are true, there is a reasonable prospect that the claim will succeed. The approach must be generous and err on the side of permitting a novel but arguable claim to proceed to trial" (at para. 21);</w:t>
      </w:r>
    </w:p>
    <w:p>
      <w:pPr>
        <w:numPr>
          <w:numId w:val="73"/>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motion to strike for failure to disclose a reasonable cause of action proceeds on the basis that the facts pleaded are true, unless they are manifestly incapable of being proven (at para. 22);</w:t>
      </w:r>
    </w:p>
    <w:p>
      <w:pPr>
        <w:numPr>
          <w:numId w:val="74"/>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claimant is not entitled to rely on the possibility that new facts may turn up as the case progresses" (at para. 22); and</w:t>
      </w:r>
    </w:p>
    <w:p>
      <w:pPr>
        <w:numPr>
          <w:numId w:val="75"/>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question is whether, considered </w:t>
      </w:r>
      <w:r>
        <w:rPr>
          <w:rFonts w:ascii="arial" w:eastAsia="arial" w:hAnsi="arial" w:cs="arial"/>
          <w:i/>
          <w:color w:val="000000"/>
          <w:sz w:val="20"/>
          <w:lang w:val="en-US" w:eastAsia="en-US" w:bidi="ar-SA"/>
        </w:rPr>
        <w:t>in the context of the law and the litigation process</w:t>
      </w:r>
      <w:r>
        <w:rPr>
          <w:rFonts w:ascii="arial" w:eastAsia="arial" w:hAnsi="arial" w:cs="arial"/>
          <w:color w:val="000000"/>
          <w:sz w:val="20"/>
          <w:lang w:val="en-US" w:eastAsia="en-US" w:bidi="ar-SA"/>
        </w:rPr>
        <w:t>, the claim has no reasonable chance of succeeding"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It is important to note that the only tort now alleged against all three defendants is civil fraud. The claim originally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all defendants but that claim was deliberately withdrawn.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claim for vicarious liability on the part of Transamerica and Allen Wong is based solely on the fraud of Jang (see paragraph 42A of the Second Further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Similarly, the claim for restitution based on unjust enrichment and waiver of tort is entirely derived from the "fraudulent and wrongful/deceptive conduct" constituting the "scheme" (see paragraphs 13, 14 and 44-46 of the Second Further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claim for direct (as opposed to vicarious) liability on the part of Transamerica and Allen Wong is based on their "participation" in the fraudulent "scheme" by virtue of their knowledge or wilful blindness to the fraudulent "scheme", to which they failed to end for purposes of their own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As noted above (paras. 27 and 35), the plaintiffs deliberately refrained from expressly alleging false misrepresentations upon which they relied to their detriment (although I note the word "representations" in paragraph 37 of the pleadings seemingly escaped the filter).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Ultimately, then, the question is whether by failing to expressly plead reliance on fraudulent misrepresentation as a cause of their losses, the plaintiffs have failed to plead any cause of action in fraud at all. For the reasons that follow, I conclude that a cause of action in fraud has not been properly pleaded and that the failure of the pleadings to disclose a cause of action is fatal not only to the certification of this matter as a class proceeding, but also to the action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my view the Supreme Court of Canada has definitively specified the necessary components for the tort of civil fraud in </w:t>
      </w:r>
      <w:r>
        <w:rPr>
          <w:rFonts w:ascii="arial" w:eastAsia="arial" w:hAnsi="arial" w:cs="arial"/>
          <w:i/>
          <w:color w:val="000000"/>
          <w:sz w:val="20"/>
          <w:lang w:val="en-US" w:eastAsia="en-US" w:bidi="ar-SA"/>
        </w:rPr>
        <w:t>Bruno Appliance</w:t>
      </w:r>
      <w:r>
        <w:rPr>
          <w:rFonts w:ascii="arial" w:eastAsia="arial" w:hAnsi="arial" w:cs="arial"/>
          <w:color w:val="000000"/>
          <w:sz w:val="20"/>
          <w:lang w:val="en-US" w:eastAsia="en-US" w:bidi="ar-SA"/>
        </w:rPr>
        <w:t>. It has, in a sense, "occupied the field". In doing so it has implicitly, if not expressly, overruled those cases upon which the plaintiffs rely which have held that civil fraud can simply comprise the deprivation of property by dishonest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history of the </w:t>
      </w:r>
      <w:r>
        <w:rPr>
          <w:rFonts w:ascii="arial" w:eastAsia="arial" w:hAnsi="arial" w:cs="arial"/>
          <w:i/>
          <w:color w:val="000000"/>
          <w:sz w:val="20"/>
          <w:lang w:val="en-US" w:eastAsia="en-US" w:bidi="ar-SA"/>
        </w:rPr>
        <w:t>Bruno Appliance</w:t>
      </w:r>
      <w:r>
        <w:rPr>
          <w:rFonts w:ascii="arial" w:eastAsia="arial" w:hAnsi="arial" w:cs="arial"/>
          <w:color w:val="000000"/>
          <w:sz w:val="20"/>
          <w:lang w:val="en-US" w:eastAsia="en-US" w:bidi="ar-SA"/>
        </w:rPr>
        <w:t xml:space="preserve"> case is most instructive.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motions judge granted summary judgment to Bruno Appliance against Hryniak in the sum of $1 million USD. Those damages had been sought based on an allegation of fraud as part of a scheme. The court accepted the definition of fraud in </w:t>
      </w:r>
      <w:r>
        <w:rPr>
          <w:rFonts w:ascii="arial" w:eastAsia="arial" w:hAnsi="arial" w:cs="arial"/>
          <w:i/>
          <w:color w:val="000000"/>
          <w:sz w:val="20"/>
          <w:lang w:val="en-US" w:eastAsia="en-US" w:bidi="ar-SA"/>
        </w:rPr>
        <w:t>Kerr on the Law of Fraud and Mistake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surprise, trick, cunning ... and other unfair way that is used to cheat any one is considered fraud. Fraud in all cases implies a willful act on the part of any one, whereby another is sought to be deprived, by illegal or inequitable means, of what he is entitled 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hyperlink r:id="rId880" w:history="1">
        <w:r>
          <w:rPr>
            <w:rFonts w:ascii="arial" w:eastAsia="arial" w:hAnsi="arial" w:cs="arial"/>
            <w:i/>
            <w:color w:val="0077CC"/>
            <w:sz w:val="20"/>
            <w:u w:val="single"/>
            <w:shd w:val="clear" w:color="auto" w:fill="FFFFFF"/>
            <w:lang w:val="en-US" w:eastAsia="en-US" w:bidi="ar-SA"/>
          </w:rPr>
          <w:t>2010 ONSC 5490</w:t>
        </w:r>
      </w:hyperlink>
      <w:r>
        <w:rPr>
          <w:rFonts w:ascii="arial" w:eastAsia="arial" w:hAnsi="arial" w:cs="arial"/>
          <w:color w:val="000000"/>
          <w:sz w:val="20"/>
          <w:lang w:val="en-US" w:eastAsia="en-US" w:bidi="ar-SA"/>
        </w:rPr>
        <w:t xml:space="preserve"> at para.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Hryniak's appeal to a five-member division of the Ontario Court of Appeal succeeded (</w:t>
      </w:r>
      <w:hyperlink r:id="rId656" w:history="1">
        <w:r>
          <w:rPr>
            <w:rFonts w:ascii="arial" w:eastAsia="arial" w:hAnsi="arial" w:cs="arial"/>
            <w:i/>
            <w:color w:val="0077CC"/>
            <w:sz w:val="20"/>
            <w:u w:val="single"/>
            <w:shd w:val="clear" w:color="auto" w:fill="FFFFFF"/>
            <w:lang w:val="en-US" w:eastAsia="en-US" w:bidi="ar-SA"/>
          </w:rPr>
          <w:t>2011 ONCA 764</w:t>
        </w:r>
      </w:hyperlink>
      <w:r>
        <w:rPr>
          <w:rFonts w:ascii="arial" w:eastAsia="arial" w:hAnsi="arial" w:cs="arial"/>
          <w:color w:val="000000"/>
          <w:sz w:val="20"/>
          <w:lang w:val="en-US" w:eastAsia="en-US" w:bidi="ar-SA"/>
        </w:rPr>
        <w:t>). The judgment was set aside and Bruno's motion for summary judgment was dismissed. The Court of Appeal stated at paras. 169-170: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169 What is not clear on the record is whether Hryniak made any statement that induced Bruno to invest with him. The motion judge did not address this important element of a cause of action in civil fraud. </w:t>
      </w:r>
      <w:r>
        <w:rPr>
          <w:rFonts w:ascii="arial" w:eastAsia="arial" w:hAnsi="arial" w:cs="arial"/>
          <w:color w:val="000000"/>
          <w:sz w:val="20"/>
          <w:u w:val="single"/>
          <w:lang w:val="en-US" w:eastAsia="en-US" w:bidi="ar-SA"/>
        </w:rPr>
        <w:t>As we read his reasons, he concluded that because Hryniak had dishonestly converted Bruno's money to his own use, Hryniak was liable to Bruno in fraud. In other words, fraud was made out because Hryniak deprived Bruno of his money and did so in a dishonest way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170 The notion of deprivation underlies both the tort of conversion and civil fraud: see Philip H. Osborne,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xml:space="preserve">, 4th ed. (Toronto: Irwin Law, 2011), at pp. 308-309. </w:t>
      </w:r>
      <w:r>
        <w:rPr>
          <w:rFonts w:ascii="arial" w:eastAsia="arial" w:hAnsi="arial" w:cs="arial"/>
          <w:color w:val="000000"/>
          <w:sz w:val="20"/>
          <w:u w:val="single"/>
          <w:lang w:val="en-US" w:eastAsia="en-US" w:bidi="ar-SA"/>
        </w:rPr>
        <w:t>But proof of civil fraud requires proof of some additional elements; depriving the plaintiff of his goods is not enough. Fraud requires a false statement knowingly made that induces the victim to act to the victim's detriment</w:t>
      </w:r>
      <w:r>
        <w:rPr>
          <w:rFonts w:ascii="arial" w:eastAsia="arial" w:hAnsi="arial" w:cs="arial"/>
          <w:color w:val="000000"/>
          <w:sz w:val="20"/>
          <w:lang w:val="en-US" w:eastAsia="en-US" w:bidi="ar-SA"/>
        </w:rPr>
        <w: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At the Supreme Court of Canada the appeal was dismissed. After defining the constituent elements of civil fraud (set out above) the Court ultimately found there was a genuine issue to be tried, being whether Hryniak had actually perpetrated the fraud: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As noted by the Court of Appeal, and following the analysis above [components of fraud], civil fraud requires a finding that Hryniak made a misrepresentation which induced Bruno Appliance to invest. The motion judge neither identified the need for a misrepresentation, nor found that Hryniak made 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While the motion judge found that Hryniak was aware of the falseness of the representations and exercised "full dominion and control" over Bruno Appliance's funds (para. 169), as noted by the Court of Appeal, this finding would support liability in conversion, but is not sufficient to establish fraud.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While I agree with the motion judge that the evidence clearly demonstrates that Hryniak was </w:t>
      </w:r>
      <w:r>
        <w:rPr>
          <w:rFonts w:ascii="arial" w:eastAsia="arial" w:hAnsi="arial" w:cs="arial"/>
          <w:i/>
          <w:color w:val="000000"/>
          <w:sz w:val="20"/>
          <w:lang w:val="en-US" w:eastAsia="en-US" w:bidi="ar-SA"/>
        </w:rPr>
        <w:t>aware</w:t>
      </w:r>
      <w:r>
        <w:rPr>
          <w:rFonts w:ascii="arial" w:eastAsia="arial" w:hAnsi="arial" w:cs="arial"/>
          <w:color w:val="000000"/>
          <w:sz w:val="20"/>
          <w:lang w:val="en-US" w:eastAsia="en-US" w:bidi="ar-SA"/>
        </w:rPr>
        <w:t xml:space="preserve"> of the fraud, and may in fact have </w:t>
      </w:r>
      <w:r>
        <w:rPr>
          <w:rFonts w:ascii="arial" w:eastAsia="arial" w:hAnsi="arial" w:cs="arial"/>
          <w:i/>
          <w:color w:val="000000"/>
          <w:sz w:val="20"/>
          <w:lang w:val="en-US" w:eastAsia="en-US" w:bidi="ar-SA"/>
        </w:rPr>
        <w:t>benefited</w:t>
      </w:r>
      <w:r>
        <w:rPr>
          <w:rFonts w:ascii="arial" w:eastAsia="arial" w:hAnsi="arial" w:cs="arial"/>
          <w:color w:val="000000"/>
          <w:sz w:val="20"/>
          <w:lang w:val="en-US" w:eastAsia="en-US" w:bidi="ar-SA"/>
        </w:rPr>
        <w:t xml:space="preserve"> from the fraud, whether Hryniak </w:t>
      </w:r>
      <w:r>
        <w:rPr>
          <w:rFonts w:ascii="arial" w:eastAsia="arial" w:hAnsi="arial" w:cs="arial"/>
          <w:i/>
          <w:color w:val="000000"/>
          <w:sz w:val="20"/>
          <w:lang w:val="en-US" w:eastAsia="en-US" w:bidi="ar-SA"/>
        </w:rPr>
        <w:t>perpetrated</w:t>
      </w:r>
      <w:r>
        <w:rPr>
          <w:rFonts w:ascii="arial" w:eastAsia="arial" w:hAnsi="arial" w:cs="arial"/>
          <w:color w:val="000000"/>
          <w:sz w:val="20"/>
          <w:lang w:val="en-US" w:eastAsia="en-US" w:bidi="ar-SA"/>
        </w:rPr>
        <w:t xml:space="preserve"> the fraud by inducing Bruno Appliance to contribute US$1 million to a non-existent investment scheme is a genuine issue requiring a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Dhillon v. Dhillon</w:t>
      </w:r>
      <w:r>
        <w:rPr>
          <w:rFonts w:ascii="arial" w:eastAsia="arial" w:hAnsi="arial" w:cs="arial"/>
          <w:color w:val="000000"/>
          <w:sz w:val="20"/>
          <w:lang w:val="en-US" w:eastAsia="en-US" w:bidi="ar-SA"/>
        </w:rPr>
        <w:t xml:space="preserve">, </w:t>
      </w:r>
      <w:hyperlink r:id="rId881" w:history="1">
        <w:r>
          <w:rPr>
            <w:rFonts w:ascii="arial" w:eastAsia="arial" w:hAnsi="arial" w:cs="arial"/>
            <w:i/>
            <w:color w:val="0077CC"/>
            <w:sz w:val="20"/>
            <w:u w:val="single"/>
            <w:shd w:val="clear" w:color="auto" w:fill="FFFFFF"/>
            <w:lang w:val="en-US" w:eastAsia="en-US" w:bidi="ar-SA"/>
          </w:rPr>
          <w:t>2006 BCCA 524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Dhillon</w:t>
      </w:r>
      <w:r>
        <w:rPr>
          <w:rFonts w:ascii="arial" w:eastAsia="arial" w:hAnsi="arial" w:cs="arial"/>
          <w:color w:val="000000"/>
          <w:sz w:val="20"/>
          <w:lang w:val="en-US" w:eastAsia="en-US" w:bidi="ar-SA"/>
        </w:rPr>
        <w:t xml:space="preserve">], the British Columbia Court of Appeal defined the tort of "civil fraud" in the same terms subsequently articulated in </w:t>
      </w:r>
      <w:r>
        <w:rPr>
          <w:rFonts w:ascii="arial" w:eastAsia="arial" w:hAnsi="arial" w:cs="arial"/>
          <w:i/>
          <w:color w:val="000000"/>
          <w:sz w:val="20"/>
          <w:lang w:val="en-US" w:eastAsia="en-US" w:bidi="ar-SA"/>
        </w:rPr>
        <w:t>Bruno Appliance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[77] While fraudulent activities in the civil context (i.e. "civil fraud") can occur in innumerable ways, the "civil fraud" cause of action is recognized in Canada as the tort of deceit, also referred to as the tort of fraud or fraudulent misrepresentation. In </w:t>
      </w:r>
      <w:r>
        <w:rPr>
          <w:rFonts w:ascii="arial" w:eastAsia="arial" w:hAnsi="arial" w:cs="arial"/>
          <w:i/>
          <w:color w:val="000000"/>
          <w:sz w:val="20"/>
          <w:lang w:val="en-US" w:eastAsia="en-US" w:bidi="ar-SA"/>
        </w:rPr>
        <w:t>The Law of Torts in Canada</w:t>
      </w:r>
      <w:r>
        <w:rPr>
          <w:rFonts w:ascii="arial" w:eastAsia="arial" w:hAnsi="arial" w:cs="arial"/>
          <w:color w:val="000000"/>
          <w:sz w:val="20"/>
          <w:lang w:val="en-US" w:eastAsia="en-US" w:bidi="ar-SA"/>
        </w:rPr>
        <w:t>, second edition, 2002, Fridman sets out the elements required to make out a complete cause of action in the tort of deceit at pages 747-755. The plaintiff must prove (1) that the defendant made a false statement, knowing it to be false, and intending it to deceive the plaintiff, (2) that the plaintiff relied on the fraudulent misrepresentations of the defendant, and (3) that the plaintiff's damage was caused by that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Both the </w:t>
      </w:r>
      <w:r>
        <w:rPr>
          <w:rFonts w:ascii="arial" w:eastAsia="arial" w:hAnsi="arial" w:cs="arial"/>
          <w:i/>
          <w:color w:val="000000"/>
          <w:sz w:val="20"/>
          <w:lang w:val="en-US" w:eastAsia="en-US" w:bidi="ar-SA"/>
        </w:rPr>
        <w:t>Dhillon</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Bruno Appliance</w:t>
      </w:r>
      <w:r>
        <w:rPr>
          <w:rFonts w:ascii="arial" w:eastAsia="arial" w:hAnsi="arial" w:cs="arial"/>
          <w:color w:val="000000"/>
          <w:sz w:val="20"/>
          <w:lang w:val="en-US" w:eastAsia="en-US" w:bidi="ar-SA"/>
        </w:rPr>
        <w:t xml:space="preserve"> definitions were recently applied by the British Columbia Court of Appeal in </w:t>
      </w:r>
      <w:r>
        <w:rPr>
          <w:rFonts w:ascii="arial" w:eastAsia="arial" w:hAnsi="arial" w:cs="arial"/>
          <w:i/>
          <w:color w:val="000000"/>
          <w:sz w:val="20"/>
          <w:lang w:val="en-US" w:eastAsia="en-US" w:bidi="ar-SA"/>
        </w:rPr>
        <w:t>Boyd v. Cook</w:t>
      </w:r>
      <w:r>
        <w:rPr>
          <w:rFonts w:ascii="arial" w:eastAsia="arial" w:hAnsi="arial" w:cs="arial"/>
          <w:color w:val="000000"/>
          <w:sz w:val="20"/>
          <w:lang w:val="en-US" w:eastAsia="en-US" w:bidi="ar-SA"/>
        </w:rPr>
        <w:t xml:space="preserve">, </w:t>
      </w:r>
      <w:hyperlink r:id="rId882" w:history="1">
        <w:r>
          <w:rPr>
            <w:rFonts w:ascii="arial" w:eastAsia="arial" w:hAnsi="arial" w:cs="arial"/>
            <w:i/>
            <w:color w:val="0077CC"/>
            <w:sz w:val="20"/>
            <w:u w:val="single"/>
            <w:shd w:val="clear" w:color="auto" w:fill="FFFFFF"/>
            <w:lang w:val="en-US" w:eastAsia="en-US" w:bidi="ar-SA"/>
          </w:rPr>
          <w:t>2016 BCCA 424</w:t>
        </w:r>
      </w:hyperlink>
      <w:r>
        <w:rPr>
          <w:rFonts w:ascii="arial" w:eastAsia="arial" w:hAnsi="arial" w:cs="arial"/>
          <w:color w:val="000000"/>
          <w:sz w:val="20"/>
          <w:lang w:val="en-US" w:eastAsia="en-US" w:bidi="ar-SA"/>
        </w:rPr>
        <w:t xml:space="preserve"> at paras. 24-25. I am bound by the case law defining the components of a cause of action in civil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plaintiffs adopted a deliberate pleading strategy in the hopes of making this case more amenable to certification. They expressly refused to plead knowingly false representations upon which they relied to their financial detriment. The Court relied on the deliberate nature of that tactic as one reason for refusing the defendants' application for particulars in this case on August 19, 2016. Since all of the remedies sought in this case are dependent upon the existence of civil fraud, and because the cause of action for civil fraud has not been properly pleaded, not only must the application for certification be dismissed but also must the plaintiffs' pleading be struck out pursuant to Rule 9-5(1)(a) and the action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might add that there are other fatal deficiencies in the plaintiffs' pleading of claims against the defendants Transamerica and Allen Wong. As noted above, their liability is alleged on the basis of their "participation" in the fraudulent scheme in the sense that they knew of or were woefully blind to the fraudulent and deceptive conduct of Jang so as to benefit from the premiums and commissions thereby generated. This is the so-called claim for "accessory liability" framed in paragraph 40 of the Second Further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It should be noted that in </w:t>
      </w:r>
      <w:r>
        <w:rPr>
          <w:rFonts w:ascii="arial" w:eastAsia="arial" w:hAnsi="arial" w:cs="arial"/>
          <w:i/>
          <w:color w:val="000000"/>
          <w:sz w:val="20"/>
          <w:lang w:val="en-US" w:eastAsia="en-US" w:bidi="ar-SA"/>
        </w:rPr>
        <w:t>Bruno Appliance</w:t>
      </w:r>
      <w:r>
        <w:rPr>
          <w:rFonts w:ascii="arial" w:eastAsia="arial" w:hAnsi="arial" w:cs="arial"/>
          <w:color w:val="000000"/>
          <w:sz w:val="20"/>
          <w:lang w:val="en-US" w:eastAsia="en-US" w:bidi="ar-SA"/>
        </w:rPr>
        <w:t xml:space="preserve"> the Supreme Court of Canada held that it was not sufficient for civil fraud liability purposes that the defendant was aware of the false representations or fraudulent conduct or that it may even have benefited from the fraud. Rather, in order for liability to be established, it must be proved that the defendant actually perpetrated the fraud by inducing the plaintiff to act (and thereby incurring loss): </w:t>
      </w:r>
      <w:r>
        <w:rPr>
          <w:rFonts w:ascii="arial" w:eastAsia="arial" w:hAnsi="arial" w:cs="arial"/>
          <w:i/>
          <w:color w:val="000000"/>
          <w:sz w:val="20"/>
          <w:lang w:val="en-US" w:eastAsia="en-US" w:bidi="ar-SA"/>
        </w:rPr>
        <w:t>Bruno Appliance</w:t>
      </w:r>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Civil fraud is a tort. It is governed by the fundamental principles of tort law. There is no tort of "aiding and abetting" another person to commit a tort, even knowingly. Rather, joint tortfeasorship and joint liability for a tort only exists in four situations:</w:t>
      </w:r>
      <w:r>
        <w:rPr>
          <w:rFonts w:ascii="arial" w:eastAsia="arial" w:hAnsi="arial" w:cs="arial"/>
          <w:sz w:val="20"/>
          <w:lang w:val="en-US" w:eastAsia="en-US" w:bidi="ar-SA"/>
        </w:rPr>
        <w:cr/>
      </w:r>
    </w:p>
    <w:p>
      <w:pPr>
        <w:numPr>
          <w:numId w:val="76"/>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one is the principal of or vicariously liable for another;</w:t>
      </w:r>
    </w:p>
    <w:p>
      <w:pPr>
        <w:numPr>
          <w:numId w:val="77"/>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duty imposed jointly upon the tortfeasors is not performed;</w:t>
      </w:r>
    </w:p>
    <w:p>
      <w:pPr>
        <w:numPr>
          <w:numId w:val="78"/>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there is concerted action between them to a common end; or</w:t>
      </w:r>
    </w:p>
    <w:p>
      <w:pPr>
        <w:numPr>
          <w:numId w:val="7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tort of one was procured through inducement, enticement or persuasion by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law in this area is very usefully summarized in </w:t>
      </w:r>
      <w:r>
        <w:rPr>
          <w:rFonts w:ascii="arial" w:eastAsia="arial" w:hAnsi="arial" w:cs="arial"/>
          <w:i/>
          <w:color w:val="000000"/>
          <w:sz w:val="20"/>
          <w:lang w:val="en-US" w:eastAsia="en-US" w:bidi="ar-SA"/>
        </w:rPr>
        <w:t>I.C.B.C. v. Stanley Cup Rioters</w:t>
      </w:r>
      <w:r>
        <w:rPr>
          <w:rFonts w:ascii="arial" w:eastAsia="arial" w:hAnsi="arial" w:cs="arial"/>
          <w:color w:val="000000"/>
          <w:sz w:val="20"/>
          <w:lang w:val="en-US" w:eastAsia="en-US" w:bidi="ar-SA"/>
        </w:rPr>
        <w:t xml:space="preserve">, </w:t>
      </w:r>
      <w:hyperlink r:id="rId883" w:history="1">
        <w:r>
          <w:rPr>
            <w:rFonts w:ascii="arial" w:eastAsia="arial" w:hAnsi="arial" w:cs="arial"/>
            <w:i/>
            <w:color w:val="0077CC"/>
            <w:sz w:val="20"/>
            <w:u w:val="single"/>
            <w:shd w:val="clear" w:color="auto" w:fill="FFFFFF"/>
            <w:lang w:val="en-US" w:eastAsia="en-US" w:bidi="ar-SA"/>
          </w:rPr>
          <w:t>2016 BCSC 1108</w:t>
        </w:r>
      </w:hyperlink>
      <w:r>
        <w:rPr>
          <w:rFonts w:ascii="arial" w:eastAsia="arial" w:hAnsi="arial" w:cs="arial"/>
          <w:color w:val="000000"/>
          <w:sz w:val="20"/>
          <w:lang w:val="en-US" w:eastAsia="en-US" w:bidi="ar-SA"/>
        </w:rPr>
        <w:t xml:space="preserve"> at paras. 14-30. I will not repeat it here but suffice it to say I adopt it as an accurate summary of the applicable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the present case, in order to be a "participant" in Jang's fraudulent conduct sufficient to found joint liability, the plaintiffs must allege that Transamerica and Allen Wong either (1) acted together with Jang pursuant to some common wrongful design or (2) procured Jang through inducement, enticement or persuasion to commit the fraud against the plaintiffs. No such allegations have been made in the plaintiffs' pleading and thus no cause of action for joint liability has been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have considered whether the plaintiffs should be given yet another opportunity to "fix" their pleadings. After all, the "scheme" alleged to have been undertaken by Kalano Jang (see paragraph 13 above) involves "recommendations", "advice", "promotion" and "encouragement" by Jang without which the plaintiffs would not have purchased the UL policies and suffered losses (see paragraph 37 above). As well, the word "fraud" appears many times in the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However, the plaintiffs have had no less than four opportunities to get their pleadings in order, including opportunities </w:t>
      </w:r>
      <w:r>
        <w:rPr>
          <w:rFonts w:ascii="arial" w:eastAsia="arial" w:hAnsi="arial" w:cs="arial"/>
          <w:color w:val="000000"/>
          <w:sz w:val="20"/>
          <w:u w:val="single"/>
          <w:lang w:val="en-US" w:eastAsia="en-US" w:bidi="ar-SA"/>
        </w:rPr>
        <w:t>after</w:t>
      </w:r>
      <w:r>
        <w:rPr>
          <w:rFonts w:ascii="arial" w:eastAsia="arial" w:hAnsi="arial" w:cs="arial"/>
          <w:color w:val="000000"/>
          <w:sz w:val="20"/>
          <w:lang w:val="en-US" w:eastAsia="en-US" w:bidi="ar-SA"/>
        </w:rPr>
        <w:t xml:space="preserve"> they had the benefit of detailed submissions from the defendants outlining the perceived flaws. Rather than pleading and particularizing the components of civil fraud as articulated in </w:t>
      </w:r>
      <w:r>
        <w:rPr>
          <w:rFonts w:ascii="arial" w:eastAsia="arial" w:hAnsi="arial" w:cs="arial"/>
          <w:i/>
          <w:color w:val="000000"/>
          <w:sz w:val="20"/>
          <w:lang w:val="en-US" w:eastAsia="en-US" w:bidi="ar-SA"/>
        </w:rPr>
        <w:t>Bruno Appliance</w:t>
      </w:r>
      <w:r>
        <w:rPr>
          <w:rFonts w:ascii="arial" w:eastAsia="arial" w:hAnsi="arial" w:cs="arial"/>
          <w:color w:val="000000"/>
          <w:sz w:val="20"/>
          <w:lang w:val="en-US" w:eastAsia="en-US" w:bidi="ar-SA"/>
        </w:rPr>
        <w:t>, the plaintiffs deliberately and repeatedly refused to oblige and instead, persisted in framing a claim for "accessory liability" that did not include reliance to their detriment on fraudulent misrepresentations. In my view, the deliberate nature of these tactics militates against the exercise of any discretion to grant further relief and I decline to do so. In the circumstances, the plaintiffs are rightly hoisted by their own petard.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should add a footnote insofar as the claim by Ms. Lee is concerned. The question was before the Court in the December 2015 application whether the claims against Transamerica and Allen Wong (as framed at that time) should be struck out pursuant to Rule 9-5(1)(a). That application was ultimately decided with reference to summary judgment principles applicable to Rule 9-6. The question whether the so-called "accessory liability" claim was properly pleaded was not addressed in the reasons for judgment issued February 10, 2016 and indexed at2016 BCSC 191. It is now addressed in the present judgment and the result is a dismissal of the claims of both Ms. Lee and Mr./Mrs. Chow.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Other Grounds for Refusing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While it is now not necessary to address the remaining requirements for certification set out in s. 4(1)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I would nevertheless note other significant obstacles to certification in this case. I will address them only briefly so as to illuminate the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Class Definition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Paragraph 6 of the plaintiffs' Second Further Amended Notice of Civil Claim identifies the class on whose behalf the proposed class proceeding is brought, namely: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...persons who purchased Transamerica Wealth Advantage universal life insurance contracts marketed by Kalano Jang between January 1, 2002 and June 1, 2006 following attendance at a seminar organized and attended by Kalano Jang.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By their Amended Notice of Application filed April 15, 2016, the plaintiffs seek an order defining the class in terms broader than what is set out in paragraph 6 of their pleading, namely: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persons ("class members"), who purchased </w:t>
      </w:r>
      <w:r>
        <w:rPr>
          <w:rFonts w:ascii="arial" w:eastAsia="arial" w:hAnsi="arial" w:cs="arial"/>
          <w:color w:val="000000"/>
          <w:sz w:val="20"/>
          <w:u w:val="single"/>
          <w:lang w:val="en-US" w:eastAsia="en-US" w:bidi="ar-SA"/>
        </w:rPr>
        <w:t>or applied to purchase</w:t>
      </w:r>
      <w:r>
        <w:rPr>
          <w:rFonts w:ascii="arial" w:eastAsia="arial" w:hAnsi="arial" w:cs="arial"/>
          <w:color w:val="000000"/>
          <w:sz w:val="20"/>
          <w:lang w:val="en-US" w:eastAsia="en-US" w:bidi="ar-SA"/>
        </w:rPr>
        <w:t xml:space="preserve"> Transamerica Wealth Advantage Universal Life Insurance contracts marketed by Kalano Jang between January 1 2002 and June 1, 2006 following attendance at a seminar organized and attended by Kalano Jang.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purpose of the proposed expansion of the class was presumably to capture people, such as Mr. Chow, who applied for Transamerica's UL insurance but who were declined by the insurer. Without this expanded definition, one of the named plaintiffs (Mr. Chow) would not have qualified as a class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Jiang</w:t>
      </w:r>
      <w:r>
        <w:rPr>
          <w:rFonts w:ascii="arial" w:eastAsia="arial" w:hAnsi="arial" w:cs="arial"/>
          <w:color w:val="000000"/>
          <w:sz w:val="20"/>
          <w:lang w:val="en-US" w:eastAsia="en-US" w:bidi="ar-SA"/>
        </w:rPr>
        <w:t xml:space="preserve">, the Court of Appeal summarized the requirements of s. 4(1)(b)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[82] In sum, the principles governing the identifiable class requirement may be summarized as follows:</w:t>
      </w:r>
    </w:p>
    <w:p>
      <w:pPr>
        <w:numPr>
          <w:numId w:val="80"/>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purposes of the identifiable class requirement are to determine who is entitled to notice, who is entitled to relief, and who is bound by the final judgment;</w:t>
      </w:r>
    </w:p>
    <w:p>
      <w:pPr>
        <w:numPr>
          <w:numId w:val="8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class must be defined with reference to objective criteria that do not depend on the merits of the claim;</w:t>
      </w:r>
    </w:p>
    <w:p>
      <w:pPr>
        <w:numPr>
          <w:numId w:val="82"/>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class definition must bear a rational relationship to the common issues -- it should not be unnecessarily broad, but nor should it arbitrarily exclude potential class members; and</w:t>
      </w:r>
    </w:p>
    <w:p>
      <w:pPr>
        <w:numPr>
          <w:numId w:val="83"/>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evidence adduced by the plaintiff must be such that it establishes some basis in fact that at least two persons could self-identify as class members and could </w:t>
      </w:r>
      <w:r>
        <w:rPr>
          <w:rFonts w:ascii="arial" w:eastAsia="arial" w:hAnsi="arial" w:cs="arial"/>
          <w:color w:val="000000"/>
          <w:sz w:val="20"/>
          <w:u w:val="single"/>
          <w:lang w:val="en-US" w:eastAsia="en-US" w:bidi="ar-SA"/>
        </w:rPr>
        <w:t>later</w:t>
      </w:r>
      <w:r>
        <w:rPr>
          <w:rFonts w:ascii="arial" w:eastAsia="arial" w:hAnsi="arial" w:cs="arial"/>
          <w:color w:val="000000"/>
          <w:sz w:val="20"/>
          <w:lang w:val="en-US" w:eastAsia="en-US" w:bidi="ar-SA"/>
        </w:rPr>
        <w:t xml:space="preserve"> prove they are members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 proper class definition is an essential component to a class proceeding, and the precise structure of a class is of critical importance. The cause(s) of action alleged by the plaintiffs is fundamental to both the class definition and to the common issues proposed to be determined by the class proceeding. Since I have already determined the plaintiffs have failed to plead a proper cause of action, the questions of class definition and common issues cannot be definitively answered, but some observations respecting the plaintiffs' proposals in that regard may be of utility, whether for the parties or for any court called upon to review the rulings in this case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my view, the class definition proposed by the plaintiff's is overly broad.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First, it proposes to include persons who merely applied to purchase the TWA UL policies. This is designed to capture persons such as Mr. Chow who applied for the insurance but were rejected on medical grounds. There is no rational relationship between such application and rejection and any claim for civil fraud. In Mr. Chow's case, the evidence shows that he actually made money on the Transamerica segregated funds and his alleged loss seems to relate to "pooling" some of his money with that of his wife for her investments and/or the representations made by Mr. Jang for investments outside the UL policies. An "application to purchase" without an actual purchase of a UL policy, is not a material element of any civil fraud to which Transamerica and/or Allen Wong may have been a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Second, the proposed definition captures persons for whom the TWA policies were actually designed and who derived a benefit (related to income tax or otherwise) from the structure. Such persons have no loss and hence no cause of action in tort. They ought not form part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Third, the definition includes persons (at least two on the evidence) who died after the life insurance was put in place and to whom substantial life insurance benefits were paid. Such persons likewise sustained no financial loss as a result of any alleged civil fraud and ought not form part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Further, the proposed definition would include "insiders" to the alleged fraud and other persons associated with the "fraudsters" who "profited" from the tort, </w:t>
      </w:r>
      <w:r>
        <w:rPr>
          <w:rFonts w:ascii="arial" w:eastAsia="arial" w:hAnsi="arial" w:cs="arial"/>
          <w:i/>
          <w:color w:val="000000"/>
          <w:sz w:val="20"/>
          <w:lang w:val="en-US" w:eastAsia="en-US" w:bidi="ar-SA"/>
        </w:rPr>
        <w:t>e.g.</w:t>
      </w:r>
      <w:r>
        <w:rPr>
          <w:rFonts w:ascii="arial" w:eastAsia="arial" w:hAnsi="arial" w:cs="arial"/>
          <w:color w:val="000000"/>
          <w:sz w:val="20"/>
          <w:lang w:val="en-US" w:eastAsia="en-US" w:bidi="ar-SA"/>
        </w:rPr>
        <w:t>, insurance advisors affiliated with Trillion such as the third-party Kalson Jang (Mr. Jang's son) and, indeed, Mrs. Chow herself. Such persons ought not to be included in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Lastly, the wording of the class definition imports several ambiguities. The phrase "following attendance at a seminar organized and attended by Kalano Jang" is particularly troublesome. The word "following" is capable of several meanings: it could be restricted to a broad concept of time (any time after the specified event) or it could be a matter of causation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as a result of or because of ... hence importing reliance). More clarity is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phrase "attendance at a seminar" is also problematic; there is no evidence that the seminars were identical in duration, style of presentation, let alone the words actually used which are said to have been deceitful or deceptive. An attendee who was present for five minutes would qualify for inclusion in the class as much as the person attending for one hour, regardless of actual exposure to allegedly deceptive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While it is possible for a proposed class definition to be amended by the court on its own motion, the parties cannot expect the Court to assume the role of counsel by making wholesale changes to arrive at a definition that the court itself would accept. That goes beyond a simple exercise of discretion and verges into the prohibited territory of descending into the arena.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Insofar as common issues are concerned, the following principles from the case law are helpfully summarized in Eizenga et al., </w:t>
      </w:r>
      <w:r>
        <w:rPr>
          <w:rFonts w:ascii="arial" w:eastAsia="arial" w:hAnsi="arial" w:cs="arial"/>
          <w:i/>
          <w:color w:val="000000"/>
          <w:sz w:val="20"/>
          <w:lang w:val="en-US" w:eastAsia="en-US" w:bidi="ar-SA"/>
        </w:rPr>
        <w:t>Class Actions Law and Practice</w:t>
      </w:r>
      <w:r>
        <w:rPr>
          <w:rFonts w:ascii="arial" w:eastAsia="arial" w:hAnsi="arial" w:cs="arial"/>
          <w:color w:val="000000"/>
          <w:sz w:val="20"/>
          <w:lang w:val="en-US" w:eastAsia="en-US" w:bidi="ar-SA"/>
        </w:rPr>
        <w:t xml:space="preserve"> (2d ed) at para. 3.69.1:</w:t>
      </w:r>
      <w:r>
        <w:rPr>
          <w:rFonts w:ascii="arial" w:eastAsia="arial" w:hAnsi="arial" w:cs="arial"/>
          <w:sz w:val="20"/>
          <w:lang w:val="en-US" w:eastAsia="en-US" w:bidi="ar-SA"/>
        </w:rPr>
        <w:cr/>
      </w:r>
    </w:p>
    <w:p>
      <w:pPr>
        <w:numPr>
          <w:numId w:val="84"/>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underlying foundation of a common issue is whether its resolution will avoid duplication of fact-finding or legal analysis; and</w:t>
      </w:r>
    </w:p>
    <w:p>
      <w:pPr>
        <w:numPr>
          <w:numId w:val="85"/>
        </w:numPr>
        <w:tabs>
          <w:tab w:val="num" w:pos="1120"/>
          <w:tab w:val="clear" w:pos="256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issue can be a common issue even if it makes of a very limited aspect of the liability question and even though many individual issues remain to be decided after its resolution;</w:t>
      </w:r>
    </w:p>
    <w:p>
      <w:pPr>
        <w:numPr>
          <w:numId w:val="8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basis in the evidence before the court to establish the existence of common issues;</w:t>
      </w:r>
    </w:p>
    <w:p>
      <w:pPr>
        <w:numPr>
          <w:numId w:val="8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rational relationship between the class identified by the plaintiff and the proposed common issue;</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proposed common issue must be a substantial ingredient of each class member's claim and its resolution must be necessary to the resolution of that claim;</w:t>
      </w:r>
    </w:p>
    <w:p>
      <w:pPr>
        <w:numPr>
          <w:numId w:val="8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common issue need not dispose of the litigation; it is sufficient if it is an issue of fact or law common to all claims and its resolution will advance the litigation for (or against) the class;</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answer to a question raised by a common issue for the plaintiff must be capable of extrapolation, in the same manner, to each member of the class;</w:t>
      </w:r>
    </w:p>
    <w:p>
      <w:pPr>
        <w:numPr>
          <w:numId w:val="91"/>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common issue cannot be dependent upon individual findings of fact that have to be made with respect to each individual claimant;</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questions relating to causation or damages are proposed as common issues, the plaintiff must demonstrate (with supporting evidence) that there is a workable methodology for determining such issues on a class-wide basis;</w:t>
      </w:r>
    </w:p>
    <w:p>
      <w:pPr>
        <w:numPr>
          <w:numId w:val="9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issues should not be framed in overly broad terms;</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core of the class proceeding is the element of commonality; there must be commonality in the actual wrong that is alleged against the defendant and some evidence to support this; and</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common issue should be clear, neutrally-worded and fair to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 have already observed that the plaintiffs have attempted to disguise what should be a "traditional" civil fraud claim as one of "fraud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(a "deceptive scheme") in order to avoid barriers to certification posed by otherwise predominating individual questions related to the civil fraud components of misrepresentation and reliance. That, of course, has resulted in them framing proposed common issues with a view to securing their objective.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two fundamental common issues proposed by the plaintiffs are:</w:t>
      </w:r>
      <w:r>
        <w:rPr>
          <w:rFonts w:ascii="arial" w:eastAsia="arial" w:hAnsi="arial" w:cs="arial"/>
          <w:sz w:val="20"/>
          <w:lang w:val="en-US" w:eastAsia="en-US" w:bidi="ar-SA"/>
        </w:rPr>
        <w:cr/>
      </w:r>
    </w:p>
    <w:p>
      <w:pPr>
        <w:numPr>
          <w:numId w:val="9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Kalano Jang devise and implement the Scheme to market Transamerica Wealth Advantage Universal Life insurance contracts to members of the class as alleged in the Notice of Civil Claim?; and,</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Scheme inherently fraudulent and deceptive?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would observe that these questions are posed at such a level of generality that they provide little assistance to the resolution of any individual's claim. Even assuming Mr. Jang devised and implemented the alleged "Scheme" and that his scheme was "inherently fraudulent and deceptive", class members only have a cause of action if they were actually induced by that conduct to part with their money. That, in turn, begs the question of each client, "What was actually said to you (and by whom) that caused you to buy the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At its core, the "dishonesty" alleged as comprising the "scheme" is the promotion and sale to naïve individuals of a sophisticated insurance product and related investments unsuitable to their needs and circumstances, in order to generate commissions for the brokers and premiums for the insurer. This requires two highly individual lines of inquiry for each client,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(1) assessment of their needs and means and (2) the manner in which they were convinced to buy the product,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with whom did they speak in forming their decision, what was specifically said to them, and upon what did they actually rely? These inquiries are necessarily individual in nature and are not reflected in the common issues proposed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proposed common issues respecting "participation" of Transamerica and Allen Wong in the "scheme" are similarly too general and vague. I have outlined above the deficiencies in the word "participate" for the purposes of pleading direct joint liability on the part of these defendants. It might be possible to frame common issues about "acting together with Jang pursuant to some common wrongful design" or "inducing, enticing or persuading Jang to commit the deception of the plaintiffs" in terms sufficiently clear to pass muster. The word "participate" does not qualify.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claim for vicarious liability likely involves issues of fact and law that are common to all plaintiffs. That is because it is centered not on the individual characteristics of the plaintiffs themselves but, rather, upon the nature of the relationship between Mr. Jang, Transamerica and Allen Wong. As noted earlier, however, the allegation needs better particularization.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 recognize that the preferability analysis requires a detailed consideration of (1) access to justice, (2) behaviour modification, and (3) judicial economy: </w:t>
      </w:r>
      <w:r>
        <w:rPr>
          <w:rFonts w:ascii="arial" w:eastAsia="arial" w:hAnsi="arial" w:cs="arial"/>
          <w:i/>
          <w:color w:val="000000"/>
          <w:sz w:val="20"/>
          <w:lang w:val="en-US" w:eastAsia="en-US" w:bidi="ar-SA"/>
        </w:rPr>
        <w:t>AIC Limited v. Fisher</w:t>
      </w:r>
      <w:r>
        <w:rPr>
          <w:rFonts w:ascii="arial" w:eastAsia="arial" w:hAnsi="arial" w:cs="arial"/>
          <w:color w:val="000000"/>
          <w:sz w:val="20"/>
          <w:lang w:val="en-US" w:eastAsia="en-US" w:bidi="ar-SA"/>
        </w:rPr>
        <w:t xml:space="preserve">, </w:t>
      </w:r>
      <w:hyperlink r:id="rId884" w:history="1">
        <w:r>
          <w:rPr>
            <w:rFonts w:ascii="arial" w:eastAsia="arial" w:hAnsi="arial" w:cs="arial"/>
            <w:i/>
            <w:color w:val="0077CC"/>
            <w:sz w:val="20"/>
            <w:u w:val="single"/>
            <w:shd w:val="clear" w:color="auto" w:fill="FFFFFF"/>
            <w:lang w:val="en-US" w:eastAsia="en-US" w:bidi="ar-SA"/>
          </w:rPr>
          <w:t>2013 SCC 69</w:t>
        </w:r>
      </w:hyperlink>
      <w:r>
        <w:rPr>
          <w:rFonts w:ascii="arial" w:eastAsia="arial" w:hAnsi="arial" w:cs="arial"/>
          <w:color w:val="000000"/>
          <w:sz w:val="20"/>
          <w:lang w:val="en-US" w:eastAsia="en-US" w:bidi="ar-SA"/>
        </w:rPr>
        <w:t xml:space="preserve"> at paras. 22-24.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If there was indeed a fraudulent scheme jointly devised by all three defendants to unscrupulously promote the sale of expensive insurance and investment vehicles to unsophisticated individuals for whom such products were known to be unsuitable, then there can be no doubt that behaviour modification on the part of such institutional players would militate very strongly in favour of a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What is not so clear, however, is whether the access to justice and judicial economy factors are in meaningful 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evidence on this application shows that relatively few policyholders raised complaints. Only two lawsuits, other than the present one, were instituted, one in British Columbia and the other in Ontario. The claims of those plaintiffs and the plaintiffs/class members in the present action are each in the hundreds of thousands of dollars and, as this case itself demonstrates, there are lawyers who are prepared to assume such litigation on a contingency fee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All three plaintiffs have sworn identical paragraphs in their respective affidavits swearing that they "could not afford to pursue [their] claims against the defendants other than by a lawyer acting on a contingency basis". Quite apart from constituting unsatisfactory standard form "lawyer speak" simply adopted by the clients as opposed to the witnesses expressing themselves in their own words (also the case for their testimony respecting their role as a representative plaintiff), the evidence appears to be untrue; all three individuals have significant net worth and on cross-examination on affidavits, all admitted that they could afford to bring their claims as individual actions. It would seem the plaintiffs prefer the protection of the "no costs exposure" of British Columbia's class action regime rather than running the risk of very substantial special costs awards against them in the event they are unsuccessful in establishing their allegations of fraud. This might be a smart tactical move on their part but it does not speak to access to justice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As is perhaps apparent from all of the above, I am also of the view that a properly pleaded claim for civil fraud in this case would involve so many individual issues, overwhelming over common questions of fact or law, that a class action would not be the preferable procedure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courts have repeatedly held that class proceedings are generally not suitable in misrepresentation cases because of the individual issues involved: see </w:t>
      </w:r>
      <w:r>
        <w:rPr>
          <w:rFonts w:ascii="arial" w:eastAsia="arial" w:hAnsi="arial" w:cs="arial"/>
          <w:i/>
          <w:color w:val="000000"/>
          <w:sz w:val="20"/>
          <w:lang w:val="en-US" w:eastAsia="en-US" w:bidi="ar-SA"/>
        </w:rPr>
        <w:t>e.g. Marshall v. United Furniture Warehouse Limited Partnership</w:t>
      </w:r>
      <w:r>
        <w:rPr>
          <w:rFonts w:ascii="arial" w:eastAsia="arial" w:hAnsi="arial" w:cs="arial"/>
          <w:color w:val="000000"/>
          <w:sz w:val="20"/>
          <w:lang w:val="en-US" w:eastAsia="en-US" w:bidi="ar-SA"/>
        </w:rPr>
        <w:t xml:space="preserve">, </w:t>
      </w:r>
      <w:hyperlink r:id="rId876" w:history="1">
        <w:r>
          <w:rPr>
            <w:rFonts w:ascii="arial" w:eastAsia="arial" w:hAnsi="arial" w:cs="arial"/>
            <w:i/>
            <w:color w:val="0077CC"/>
            <w:sz w:val="20"/>
            <w:u w:val="single"/>
            <w:shd w:val="clear" w:color="auto" w:fill="FFFFFF"/>
            <w:lang w:val="en-US" w:eastAsia="en-US" w:bidi="ar-SA"/>
          </w:rPr>
          <w:t>2015 BCCA 252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N&amp;C Transportation Ltd. v. Navistar International Corporation</w:t>
      </w:r>
      <w:r>
        <w:rPr>
          <w:rFonts w:ascii="arial" w:eastAsia="arial" w:hAnsi="arial" w:cs="arial"/>
          <w:color w:val="000000"/>
          <w:sz w:val="20"/>
          <w:lang w:val="en-US" w:eastAsia="en-US" w:bidi="ar-SA"/>
        </w:rPr>
        <w:t xml:space="preserve">, </w:t>
      </w:r>
      <w:hyperlink r:id="rId885" w:history="1">
        <w:r>
          <w:rPr>
            <w:rFonts w:ascii="arial" w:eastAsia="arial" w:hAnsi="arial" w:cs="arial"/>
            <w:i/>
            <w:color w:val="0077CC"/>
            <w:sz w:val="20"/>
            <w:u w:val="single"/>
            <w:shd w:val="clear" w:color="auto" w:fill="FFFFFF"/>
            <w:lang w:val="en-US" w:eastAsia="en-US" w:bidi="ar-SA"/>
          </w:rPr>
          <w:t>2016 BCSC 2129</w:t>
        </w:r>
      </w:hyperlink>
      <w:r>
        <w:rPr>
          <w:rFonts w:ascii="arial" w:eastAsia="arial" w:hAnsi="arial" w:cs="arial"/>
          <w:color w:val="000000"/>
          <w:sz w:val="20"/>
          <w:lang w:val="en-US" w:eastAsia="en-US" w:bidi="ar-SA"/>
        </w:rPr>
        <w:t xml:space="preserve"> at paras. 140-145.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The suitability of reliance-based misrepresentation claims as the subject matter of a class proceeding is both discussed and exemplified by </w:t>
      </w:r>
      <w:r>
        <w:rPr>
          <w:rFonts w:ascii="arial" w:eastAsia="arial" w:hAnsi="arial" w:cs="arial"/>
          <w:i/>
          <w:color w:val="000000"/>
          <w:sz w:val="20"/>
          <w:lang w:val="en-US" w:eastAsia="en-US" w:bidi="ar-SA"/>
        </w:rPr>
        <w:t>Fantl v. Transamerica Life Canada</w:t>
      </w:r>
      <w:r>
        <w:rPr>
          <w:rFonts w:ascii="arial" w:eastAsia="arial" w:hAnsi="arial" w:cs="arial"/>
          <w:color w:val="000000"/>
          <w:sz w:val="20"/>
          <w:lang w:val="en-US" w:eastAsia="en-US" w:bidi="ar-SA"/>
        </w:rPr>
        <w:t xml:space="preserve">, </w:t>
      </w:r>
      <w:hyperlink r:id="rId886" w:history="1">
        <w:r>
          <w:rPr>
            <w:rFonts w:ascii="arial" w:eastAsia="arial" w:hAnsi="arial" w:cs="arial"/>
            <w:i/>
            <w:color w:val="0077CC"/>
            <w:sz w:val="20"/>
            <w:u w:val="single"/>
            <w:shd w:val="clear" w:color="auto" w:fill="FFFFFF"/>
            <w:lang w:val="en-US" w:eastAsia="en-US" w:bidi="ar-SA"/>
          </w:rPr>
          <w:t>2016 ONCA 633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Fantl</w:t>
      </w:r>
      <w:r>
        <w:rPr>
          <w:rFonts w:ascii="arial" w:eastAsia="arial" w:hAnsi="arial" w:cs="arial"/>
          <w:color w:val="000000"/>
          <w:sz w:val="20"/>
          <w:lang w:val="en-US" w:eastAsia="en-US" w:bidi="ar-SA"/>
        </w:rPr>
        <w:t xml:space="preserve">], and the manner in which that court distinguished its previous decision in </w:t>
      </w:r>
      <w:r>
        <w:rPr>
          <w:rFonts w:ascii="arial" w:eastAsia="arial" w:hAnsi="arial" w:cs="arial"/>
          <w:i/>
          <w:color w:val="000000"/>
          <w:sz w:val="20"/>
          <w:lang w:val="en-US" w:eastAsia="en-US" w:bidi="ar-SA"/>
        </w:rPr>
        <w:t>Musicians' Pension Fund of Canada (Trustees of) v. Kinross Gold Corporation</w:t>
      </w:r>
      <w:r>
        <w:rPr>
          <w:rFonts w:ascii="arial" w:eastAsia="arial" w:hAnsi="arial" w:cs="arial"/>
          <w:color w:val="000000"/>
          <w:sz w:val="20"/>
          <w:lang w:val="en-US" w:eastAsia="en-US" w:bidi="ar-SA"/>
        </w:rPr>
        <w:t xml:space="preserve">, </w:t>
      </w:r>
      <w:hyperlink r:id="rId887" w:history="1">
        <w:r>
          <w:rPr>
            <w:rFonts w:ascii="arial" w:eastAsia="arial" w:hAnsi="arial" w:cs="arial"/>
            <w:i/>
            <w:color w:val="0077CC"/>
            <w:sz w:val="20"/>
            <w:u w:val="single"/>
            <w:shd w:val="clear" w:color="auto" w:fill="FFFFFF"/>
            <w:lang w:val="en-US" w:eastAsia="en-US" w:bidi="ar-SA"/>
          </w:rPr>
          <w:t>2014 ONCA 901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Kinross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Kinross</w:t>
      </w:r>
      <w:r>
        <w:rPr>
          <w:rFonts w:ascii="arial" w:eastAsia="arial" w:hAnsi="arial" w:cs="arial"/>
          <w:color w:val="000000"/>
          <w:sz w:val="20"/>
          <w:lang w:val="en-US" w:eastAsia="en-US" w:bidi="ar-SA"/>
        </w:rPr>
        <w:t xml:space="preserve"> arguably stands for the proposition that negligent misrepresentation claims in investor class actions are inherently unsuitable for certification because the need for numerous individual inquiries undercuts the goal of judicial economy and overwhelms the resolution of the common issues, producing an inefficient and unmanageable class proceeding. The court noted in that case that proof of reliance, causation and damages would pose particular difficulties as it required answers to numerous investor-specific questions related to multiple representations, investors' sophistication and investment advice, reasonableness of the reliance, </w:t>
      </w:r>
      <w:r>
        <w:rPr>
          <w:rFonts w:ascii="arial" w:eastAsia="arial" w:hAnsi="arial" w:cs="arial"/>
          <w:i/>
          <w:color w:val="000000"/>
          <w:sz w:val="20"/>
          <w:lang w:val="en-US" w:eastAsia="en-US" w:bidi="ar-SA"/>
        </w:rPr>
        <w:t>et cetera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Fantl</w:t>
      </w:r>
      <w:r>
        <w:rPr>
          <w:rFonts w:ascii="arial" w:eastAsia="arial" w:hAnsi="arial" w:cs="arial"/>
          <w:color w:val="000000"/>
          <w:sz w:val="20"/>
          <w:lang w:val="en-US" w:eastAsia="en-US" w:bidi="ar-SA"/>
        </w:rPr>
        <w:t xml:space="preserve"> distinguished </w:t>
      </w:r>
      <w:r>
        <w:rPr>
          <w:rFonts w:ascii="arial" w:eastAsia="arial" w:hAnsi="arial" w:cs="arial"/>
          <w:i/>
          <w:color w:val="000000"/>
          <w:sz w:val="20"/>
          <w:lang w:val="en-US" w:eastAsia="en-US" w:bidi="ar-SA"/>
        </w:rPr>
        <w:t>Kinross</w:t>
      </w:r>
      <w:r>
        <w:rPr>
          <w:rFonts w:ascii="arial" w:eastAsia="arial" w:hAnsi="arial" w:cs="arial"/>
          <w:color w:val="000000"/>
          <w:sz w:val="20"/>
          <w:lang w:val="en-US" w:eastAsia="en-US" w:bidi="ar-SA"/>
        </w:rPr>
        <w:t xml:space="preserve"> on the basis that the </w:t>
      </w:r>
      <w:r>
        <w:rPr>
          <w:rFonts w:ascii="arial" w:eastAsia="arial" w:hAnsi="arial" w:cs="arial"/>
          <w:i/>
          <w:color w:val="000000"/>
          <w:sz w:val="20"/>
          <w:lang w:val="en-US" w:eastAsia="en-US" w:bidi="ar-SA"/>
        </w:rPr>
        <w:t>Fantl</w:t>
      </w:r>
      <w:r>
        <w:rPr>
          <w:rFonts w:ascii="arial" w:eastAsia="arial" w:hAnsi="arial" w:cs="arial"/>
          <w:color w:val="000000"/>
          <w:sz w:val="20"/>
          <w:lang w:val="en-US" w:eastAsia="en-US" w:bidi="ar-SA"/>
        </w:rPr>
        <w:t xml:space="preserve"> claim involved only a single uniform representation, contained in a statutorily-mandated disclosure document given to each class member and which each acknowledged receiving. The resolution of the truth or falsity of the representation "would go a long way towards the determination of the appellant's liability and would significantly advance the claim of every class member": </w:t>
      </w:r>
      <w:r>
        <w:rPr>
          <w:rFonts w:ascii="arial" w:eastAsia="arial" w:hAnsi="arial" w:cs="arial"/>
          <w:i/>
          <w:color w:val="000000"/>
          <w:sz w:val="20"/>
          <w:lang w:val="en-US" w:eastAsia="en-US" w:bidi="ar-SA"/>
        </w:rPr>
        <w:t>Fantl</w:t>
      </w:r>
      <w:r>
        <w:rPr>
          <w:rFonts w:ascii="arial" w:eastAsia="arial" w:hAnsi="arial" w:cs="arial"/>
          <w:color w:val="000000"/>
          <w:sz w:val="20"/>
          <w:lang w:val="en-US" w:eastAsia="en-US" w:bidi="ar-SA"/>
        </w:rPr>
        <w:t xml:space="preserve"> at para. 40. In these circumstances, the </w:t>
      </w:r>
      <w:r>
        <w:rPr>
          <w:rFonts w:ascii="arial" w:eastAsia="arial" w:hAnsi="arial" w:cs="arial"/>
          <w:i/>
          <w:color w:val="000000"/>
          <w:sz w:val="20"/>
          <w:lang w:val="en-US" w:eastAsia="en-US" w:bidi="ar-SA"/>
        </w:rPr>
        <w:t>Fantl</w:t>
      </w:r>
      <w:r>
        <w:rPr>
          <w:rFonts w:ascii="arial" w:eastAsia="arial" w:hAnsi="arial" w:cs="arial"/>
          <w:color w:val="000000"/>
          <w:sz w:val="20"/>
          <w:lang w:val="en-US" w:eastAsia="en-US" w:bidi="ar-SA"/>
        </w:rPr>
        <w:t xml:space="preserve"> case was considered to be "an ideal case in which to test some of the assumptions made about the 'manageability' of the individual issues stage of a class action": para.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If properly pleaded, like </w:t>
      </w:r>
      <w:r>
        <w:rPr>
          <w:rFonts w:ascii="arial" w:eastAsia="arial" w:hAnsi="arial" w:cs="arial"/>
          <w:i/>
          <w:color w:val="000000"/>
          <w:sz w:val="20"/>
          <w:lang w:val="en-US" w:eastAsia="en-US" w:bidi="ar-SA"/>
        </w:rPr>
        <w:t>Kinross</w:t>
      </w:r>
      <w:r>
        <w:rPr>
          <w:rFonts w:ascii="arial" w:eastAsia="arial" w:hAnsi="arial" w:cs="arial"/>
          <w:color w:val="000000"/>
          <w:sz w:val="20"/>
          <w:lang w:val="en-US" w:eastAsia="en-US" w:bidi="ar-SA"/>
        </w:rPr>
        <w:t xml:space="preserve">, the present case involves so many inquiries individual to each class member that the goal of judicial economy is severely undercut and the resolution of the common issues would be overwhelmed. This conclusion is only reinforced by the fact that every single member of the class will also have to individually address postponement to overcome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deficiencies otherwise applicable to each member's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It must be noted that the plaintiffs themselves have recognized this potentially overwhelming nature of individual issues and have attempted a pleading tactic to sidestep the concern. They have not succeeded in that regard. This concern therefore remains and militates very strongly against a class action procedure in the present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Suitability as Representative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also have grave concerns about the suitability of all three plaintiffs as representative plaintiffs in the proposed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 am inclined to agree with the observations of Perell J. in </w:t>
      </w:r>
      <w:r>
        <w:rPr>
          <w:rFonts w:ascii="arial" w:eastAsia="arial" w:hAnsi="arial" w:cs="arial"/>
          <w:i/>
          <w:color w:val="000000"/>
          <w:sz w:val="20"/>
          <w:lang w:val="en-US" w:eastAsia="en-US" w:bidi="ar-SA"/>
        </w:rPr>
        <w:t>Coulson v. Citigroup Global Markets Canada Inc.</w:t>
      </w:r>
      <w:r>
        <w:rPr>
          <w:rFonts w:ascii="arial" w:eastAsia="arial" w:hAnsi="arial" w:cs="arial"/>
          <w:color w:val="000000"/>
          <w:sz w:val="20"/>
          <w:lang w:val="en-US" w:eastAsia="en-US" w:bidi="ar-SA"/>
        </w:rPr>
        <w:t xml:space="preserve">, </w:t>
      </w:r>
      <w:hyperlink r:id="rId888" w:history="1">
        <w:r>
          <w:rPr>
            <w:rFonts w:ascii="arial" w:eastAsia="arial" w:hAnsi="arial" w:cs="arial"/>
            <w:i/>
            <w:color w:val="0077CC"/>
            <w:sz w:val="20"/>
            <w:u w:val="single"/>
            <w:shd w:val="clear" w:color="auto" w:fill="FFFFFF"/>
            <w:lang w:val="en-US" w:eastAsia="en-US" w:bidi="ar-SA"/>
          </w:rPr>
          <w:t>2010 ONSC 1596</w:t>
        </w:r>
      </w:hyperlink>
      <w:r>
        <w:rPr>
          <w:rFonts w:ascii="arial" w:eastAsia="arial" w:hAnsi="arial" w:cs="arial"/>
          <w:color w:val="000000"/>
          <w:sz w:val="20"/>
          <w:lang w:val="en-US" w:eastAsia="en-US" w:bidi="ar-SA"/>
        </w:rPr>
        <w:t>, respecting the selection of a representative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I confess that from reading many certification decisions, from presiding at several myself, and from considering the argument in the case at bar, that there is often a surreal quality to the debate about whether the proposed representative plaintiff satisfies the fifth criteria for certification because the debate on both sides focuses on the personality and character traits of the representative plaintiff while ignoring or not mentioning what everybody knows, which is that the real brain and the real muscle of the class action is class counsel.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As is well known, in many class actions, it is class counsel who initiates the lawyer/client relationship and who selects the representative plaintiff. This is not to say that the representative plaintiff is not a genuine plaintiff, he or she must be. Nor is it to say that the representative plaintiff must not be competent, diligent, vigilant, and committed to giving proper instructions to advance the class action on behalf of the class. The representative plaintiff must have these attributes. It is simply to say that if the access to justice concerns of the </w:t>
      </w:r>
      <w:r>
        <w:rPr>
          <w:rFonts w:ascii="arial" w:eastAsia="arial" w:hAnsi="arial" w:cs="arial"/>
          <w:i/>
          <w:color w:val="000000"/>
          <w:sz w:val="20"/>
          <w:lang w:val="en-US" w:eastAsia="en-US" w:bidi="ar-SA"/>
        </w:rPr>
        <w:t>Class Proceedings Act, 1992</w:t>
      </w:r>
      <w:r>
        <w:rPr>
          <w:rFonts w:ascii="arial" w:eastAsia="arial" w:hAnsi="arial" w:cs="arial"/>
          <w:color w:val="000000"/>
          <w:sz w:val="20"/>
          <w:lang w:val="en-US" w:eastAsia="en-US" w:bidi="ar-SA"/>
        </w:rPr>
        <w:t xml:space="preserve"> are to be accomplished, the court should not subject the proposed representative plaintiff to the LSAT or some sort of Class Action Aptitude Test and should be skeptical of the defendant's arguments based on the personality of the candidate.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Nevertheless, representative plaintiffs must be genuine (in the sense they are not simply straw persons for entrepreneurial lawyers), competent, diligent, vigilant, and committed to giving proper instructions to advance the class action on behalf of the class. As well, they must not have an interest that conflicts with the interests of other class members with respect to the proposed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I do not doubt that the three plaintiffs are genuine; at a minimum, they appear to have suffered substantial losses through investments recommended by Mr. Jang,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Pham and Pender International Inc. Ms. Lee and Mrs. Chow may also have been sold a sophisticated UL insurance product designed for only a specific type of client which may not have been suitable to their needs. Such matters might rightly found a cause of action against Mr. Jang and, depending on the facts, one involving some form of joint liability on the part of Transamerica and Allen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However, Mr. Chow is not a member of any class which has met approval by the court, whether as originally framed in the pleadings or as later framed in the certification application (if not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Mrs. Chow has serious conflict problems; she became a licensed life insurance agent and hence presumably a person with an understanding of UL products and the requirements for a needs assessment. As such, she also became a member of the "club" (insurance advisors associated with Jang/Trillion) who perpetrated the fraud of which she complains.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And none of the plaintiffs have been diligent, vigilant or committed to advancing causes of action. All three confront limitation defences based on effluxion of time and expiry of their causes of action. Only a tiny sliver of Ms. Lee's causes of action survived summary judgment challenge and that remaining claim has since foundered on pleading deficiencies. While the claims of Mr. and Mrs. Chow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have long since expired, properly pleaded claims for joint liability for civil fraud may possibly be "saved" by postponement considerations but there may yet turn out to be no proper evidentiary basis for such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plaintiffs' delay in hiring lawyers and, in Ms. Lee's case, fatal delay in initiating litigation after doing so, remains unexplained. There is simply no basis for any confidence that these individuals would be diligent and vigilant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As noted earlier, all three plaintiffs have signed affidavits containing identical paragraphs respecting their understanding of the role and responsibilities of a representative plaintiff. While this amply demonstrates that the plaintiffs are prepared to do whatever the lawyers instruct them to do, it fosters little confidence in their actual understanding of class actions and ability to instruct counsel. This is graphically confirmed by the cross-examination of Ms. Lee on her affidavit where she demonstrated complete ignorance of the litigation plan which s. 4(1)(e)(ii)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obliges her to produce.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Transamerica and Allen Wong raise additional challenges to the credibility of the three plaintiffs but I need not address the subject any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Summary Judgment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For sake of completeness, I will briefly address the summary judgment application that was renewed by Transamerica and Allen Wong as part of the certification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I have, of course, found merit in the challenge to the sufficiency of the plaintiffs' pleading and I have dismissed the plaintiffs' claim on that account. I had earlier determined that a properly pleaded joint tortfeasor-joint liability claim, claimed by Ms. Lee, against Transamerica and Allen Wong could "survive" summary judgment as a triable issue insofar as postponement under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is concerned. The same would have held true for such a claim by Mr. and Mrs. Chow and for the same reasons. In addition, because the Chows did not retain counsel until much later than Ms. Lee, and because the test for summary judgment in B.C. (as opposed to summary trial) does not permit any significant weighing of competing evidence, the claims for Transamerica/Allen Wong joint liability generally would likely have constituted a triable issue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application for certification of this action as a class proceeding is dismissed. Despite multiple amendments, the plaintiffs' Notice of Civil Claim fails to plead a proper cause of action against any of the defendants. In the circumstances, the claims are therefore struck out and 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Costs will follow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N.P. KENT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6" style="position:absolute;z-index:251894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89"/>
          <w:headerReference w:type="default" r:id="rId890"/>
          <w:footerReference w:type="even" r:id="rId891"/>
          <w:footerReference w:type="default" r:id="rId892"/>
          <w:headerReference w:type="first" r:id="rId893"/>
          <w:footerReference w:type="first" r:id="rId89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95" w:history="1">
        <w:r>
          <w:rPr>
            <w:rFonts w:ascii="arial" w:eastAsia="arial" w:hAnsi="arial" w:cs="arial"/>
            <w:b/>
            <w:bCs/>
            <w:i/>
            <w:color w:val="0077CC"/>
            <w:kern w:val="32"/>
            <w:sz w:val="28"/>
            <w:szCs w:val="32"/>
            <w:u w:val="single"/>
            <w:shd w:val="clear" w:color="auto" w:fill="FFFFFF"/>
            <w:lang w:val="en-US" w:eastAsia="en-US" w:bidi="ar-SA"/>
          </w:rPr>
          <w:t>Maxwell's Plumbing and Heating Ltd. v. British Columbia, [2016] B.C.J. No. 1243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 Skolrood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4,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15,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S030386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Chilliwack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1243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1098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5 C.T.C. 218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267 A.C.W.S. (3d) 486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CarswellBC 1638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Maxwell's Plumbing and Heating Ltd., Petitioner, and Her Majesty the Queen in Right of the Province of British Columbia,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7"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84" w:name="Keywords_47"/>
      <w:bookmarkEnd w:id="384"/>
      <w:r>
        <w:rPr>
          <w:rFonts w:ascii="arial" w:eastAsia="arial" w:hAnsi="arial" w:cs="arial"/>
          <w:b/>
          <w:color w:val="000000"/>
          <w:sz w:val="20"/>
          <w:lang w:val="en-US" w:eastAsia="en-US" w:bidi="ar-SA"/>
        </w:rPr>
        <w:t>Taxation — Provincial and territorial taxation — British Columbia — Sales tax — Persons liable for tax — Activities subject to tax — Exemptions — Administration and enforcement — Tax appeals — Appeal by Maxwell's Plumbing from an assessment issued against it of $14,299 dismissed — Assessment followed audit of petitioner's business, which determined during audit period petitioner failed to pay provincial sales tax — Petitioner charged its customers PST calculated on price it charged for goods used in fulfilling its contracts — It then remitted those amounts to Province as PST — Petitioner had purchased goods for its own use — Obligated to pay PST on those purchases — Petitioner had not established it had agreements with its customers to transfer liability for PST from it to them — Provincial Sales Tax Act, ss. 1, 37(1), 79(1), 80.5(6), 212.</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85" w:name="Case Summary_46"/>
            <w:bookmarkEnd w:id="38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Maxwell's Plumbing from an assessment issued against it of $14,299. The assessment followed an audit of the petitioner's business, which determined that during the audit period the petitioner failed to pay provincial sales tax on certain goods used in its business. The Associate Deputy Minister of Finance dismissed the petitioner's appeal. The petitioner was a small plumbing and heating contractor owned and operated by Bagnall and his wife. As part of its business, the petitioner supplied and installed plumbing and heating improvements to properties owned by its customers. In 2013, the Ministry had sent a letter to the petitioner regarding the return of the PST. The petitioner did not pay PST on the goods it purchased for use in its business but instead charged its customers PST calculated on the price it charged for the goods used in fulfilling its contracts. The petitioner then remitted those amounts to the Province as PST.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86" w:name="Holdings of Court_43"/>
            <w:bookmarkEnd w:id="386"/>
            <w:r>
              <w:rPr>
                <w:rFonts w:ascii="arial" w:eastAsia="arial" w:hAnsi="arial" w:cs="arial"/>
                <w:color w:val="000000"/>
                <w:sz w:val="20"/>
                <w:lang w:val="en-US" w:eastAsia="en-US" w:bidi="ar-SA"/>
              </w:rPr>
              <w:t>HELD: Appeal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petitioner had purchased the goods for its own use. It was obligated to pay PST on those purchases. The petitioner's supply of those goods to its customers was not a sale within the meaning of s. 37(1) of the Provincial Sales Tax Act. The petitioner had not established it had agreements with its customers to transfer liability for the PST from it to its customers. The intent of the Ministry's letter in 2013 was to notify businesses of the return of the PST and did not constitute specific advice to the petitioner. The responsibility for determining whether PST was payable rested with the petitioner. The defence of officially induced error was not available to the petitioner on its appeal of the tax assessment.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87" w:name="Legislation Cited_32"/>
      <w:bookmarkEnd w:id="38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8"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Budget Transparency and Accountability Act, </w:t>
      </w:r>
      <w:hyperlink r:id="rId896" w:history="1">
        <w:r>
          <w:rPr>
            <w:rFonts w:ascii="arial" w:eastAsia="arial" w:hAnsi="arial" w:cs="arial"/>
            <w:i/>
            <w:color w:val="0077CC"/>
            <w:sz w:val="20"/>
            <w:u w:val="single"/>
            <w:shd w:val="clear" w:color="auto" w:fill="FFFFFF"/>
            <w:lang w:val="en-US" w:eastAsia="en-US" w:bidi="ar-SA"/>
          </w:rPr>
          <w:t>S.B.C. 2000, c. 23, s. 19</w:t>
        </w:r>
      </w:hyperlink>
      <w:r>
        <w:rPr>
          <w:rFonts w:ascii="arial" w:eastAsia="arial" w:hAnsi="arial" w:cs="arial"/>
          <w:color w:val="000000"/>
          <w:sz w:val="20"/>
          <w:lang w:val="en-US" w:eastAsia="en-US" w:bidi="ar-SA"/>
        </w:rPr>
        <w:t>(2)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Business Corporations Act, </w:t>
      </w:r>
      <w:hyperlink r:id="rId897" w:history="1">
        <w:r>
          <w:rPr>
            <w:rFonts w:ascii="arial" w:eastAsia="arial" w:hAnsi="arial" w:cs="arial"/>
            <w:i/>
            <w:color w:val="0077CC"/>
            <w:sz w:val="20"/>
            <w:u w:val="single"/>
            <w:shd w:val="clear" w:color="auto" w:fill="FFFFFF"/>
            <w:lang w:val="en-US" w:eastAsia="en-US" w:bidi="ar-SA"/>
          </w:rPr>
          <w:t>S.B.C. 2002, c. 57, s. 142</w:t>
        </w:r>
      </w:hyperlink>
      <w:r>
        <w:rPr>
          <w:rFonts w:ascii="arial" w:eastAsia="arial" w:hAnsi="arial" w:cs="arial"/>
          <w:color w:val="000000"/>
          <w:sz w:val="20"/>
          <w:lang w:val="en-US" w:eastAsia="en-US" w:bidi="ar-SA"/>
        </w:rPr>
        <w:t>(1), s. 157(1), s. 234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Charter of Rights and Freedoms, 1982,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Constitutional Question Act, </w:t>
      </w:r>
      <w:r>
        <w:rPr>
          <w:rFonts w:ascii="arial" w:eastAsia="arial" w:hAnsi="arial" w:cs="arial"/>
          <w:i/>
          <w:color w:val="000000"/>
          <w:sz w:val="20"/>
          <w:lang w:val="en-US" w:eastAsia="en-US" w:bidi="ar-SA"/>
        </w:rPr>
        <w:t>R.S.B.C. 1996, c. 68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Provincial Sales Tax Act, </w:t>
      </w:r>
      <w:hyperlink r:id="rId898" w:history="1">
        <w:r>
          <w:rPr>
            <w:rFonts w:ascii="arial" w:eastAsia="arial" w:hAnsi="arial" w:cs="arial"/>
            <w:i/>
            <w:color w:val="0077CC"/>
            <w:sz w:val="20"/>
            <w:u w:val="single"/>
            <w:shd w:val="clear" w:color="auto" w:fill="FFFFFF"/>
            <w:lang w:val="en-US" w:eastAsia="en-US" w:bidi="ar-SA"/>
          </w:rPr>
          <w:t>S.B.C. 2012, c. 35, s. 1</w:t>
        </w:r>
      </w:hyperlink>
      <w:r>
        <w:rPr>
          <w:rFonts w:ascii="arial" w:eastAsia="arial" w:hAnsi="arial" w:cs="arial"/>
          <w:color w:val="000000"/>
          <w:sz w:val="20"/>
          <w:lang w:val="en-US" w:eastAsia="en-US" w:bidi="ar-SA"/>
        </w:rPr>
        <w:t>, s. 37, s. 37(1), s. 79(1), s. 80, s. 80.5, s. 80.5(2), s. 80.5(6), s. 80.6, s. 166(1)(a), s. 168(3), s. 197(4), s. 211, s. 212, s. 214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Social Service Tax Act, </w:t>
      </w:r>
      <w:r>
        <w:rPr>
          <w:rFonts w:ascii="arial" w:eastAsia="arial" w:hAnsi="arial" w:cs="arial"/>
          <w:i/>
          <w:color w:val="000000"/>
          <w:sz w:val="20"/>
          <w:lang w:val="en-US" w:eastAsia="en-US" w:bidi="ar-SA"/>
        </w:rPr>
        <w:t>R.S.B.C. 1996, c. 431</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88" w:name="Counsel_48"/>
      <w:bookmarkEnd w:id="38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9" style="position:absolute;z-index:251810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Krista Bagnall Acting as Agent for the Petitioner, Maxwell's Plumbing and Heating Ltd.: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V.L. Jackson, S. Davis.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89" w:name="Judgment_48"/>
      <w:bookmarkEnd w:id="389"/>
      <w:r>
        <w:pict>
          <v:line id="_x0000_s1260" style="position:absolute;z-index:2518609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90" w:name="R.A. SKOLROOD J."/>
            <w:bookmarkEnd w:id="390"/>
            <w:r>
              <w:rPr>
                <w:rFonts w:ascii="arial" w:eastAsia="arial" w:hAnsi="arial" w:cs="arial"/>
                <w:b/>
                <w:color w:val="000000"/>
                <w:sz w:val="30"/>
                <w:lang w:val="en-US" w:eastAsia="en-US" w:bidi="ar-SA"/>
              </w:rPr>
              <w:t>R.A. SKOLROOD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appeal pursuant to s. 212 of the </w:t>
      </w:r>
      <w:r>
        <w:rPr>
          <w:rFonts w:ascii="arial" w:eastAsia="arial" w:hAnsi="arial" w:cs="arial"/>
          <w:i/>
          <w:color w:val="000000"/>
          <w:sz w:val="20"/>
          <w:lang w:val="en-US" w:eastAsia="en-US" w:bidi="ar-SA"/>
        </w:rPr>
        <w:t>Provincial Sales Tax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35</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PSTA</w:t>
      </w:r>
      <w:r>
        <w:rPr>
          <w:rFonts w:ascii="arial" w:eastAsia="arial" w:hAnsi="arial" w:cs="arial"/>
          <w:color w:val="000000"/>
          <w:sz w:val="20"/>
          <w:lang w:val="en-US" w:eastAsia="en-US" w:bidi="ar-SA"/>
        </w:rPr>
        <w:t>], in respect of an assessment issued against the petitioner on March 26, 2015 in the amount of $14,298.88 (the "Assessment"). The Assessment followed an audit of the petitioner's business covering the period of April 1, 2013 to September 30, 2014 (the "audit period") which determined that, during the audit period, the petitioner failed to pay provincial sales tax ("PST") on certain goods used in its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petitioner appealed the Assessment to the Minister of Finance under s. 211 of the </w:t>
      </w:r>
      <w:r>
        <w:rPr>
          <w:rFonts w:ascii="arial" w:eastAsia="arial" w:hAnsi="arial" w:cs="arial"/>
          <w:i/>
          <w:color w:val="000000"/>
          <w:sz w:val="20"/>
          <w:lang w:val="en-US" w:eastAsia="en-US" w:bidi="ar-SA"/>
        </w:rPr>
        <w:t>PSTA</w:t>
      </w:r>
      <w:r>
        <w:rPr>
          <w:rFonts w:ascii="arial" w:eastAsia="arial" w:hAnsi="arial" w:cs="arial"/>
          <w:color w:val="000000"/>
          <w:sz w:val="20"/>
          <w:lang w:val="en-US" w:eastAsia="en-US" w:bidi="ar-SA"/>
        </w:rPr>
        <w:t>. That appeal was dismissed by the Associate Deputy Minister of Finance ("ADM") on October 9,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petitioner then brought this appeal under s. 212 of the </w:t>
      </w:r>
      <w:r>
        <w:rPr>
          <w:rFonts w:ascii="arial" w:eastAsia="arial" w:hAnsi="arial" w:cs="arial"/>
          <w:i/>
          <w:color w:val="000000"/>
          <w:sz w:val="20"/>
          <w:lang w:val="en-US" w:eastAsia="en-US" w:bidi="ar-SA"/>
        </w:rPr>
        <w:t>PSTA</w:t>
      </w:r>
      <w:r>
        <w:rPr>
          <w:rFonts w:ascii="arial" w:eastAsia="arial" w:hAnsi="arial" w:cs="arial"/>
          <w:color w:val="000000"/>
          <w:sz w:val="20"/>
          <w:lang w:val="en-US" w:eastAsia="en-US" w:bidi="ar-SA"/>
        </w:rPr>
        <w:t xml:space="preserve"> by way of petition filed on January 6, 2016. The petitioner subsequently amended its petition twice, first on January 18, 2016 then again on March 22,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appeal was heard on April 4, 2016. At the outset of the hearing, I ordered that Ms. Krista Bagnall, one of the owners of the petitioner, be permitted to appear and make submissions on behalf of the petitioner.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Preliminary Objection to the Petitioner's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respondent, Her Majesty the Queen in Right of the Province of British Columbia (the "Province"), raised a preliminary objection to the admissibility of much of the petitioner's evidence. It submits that the affidavits filed by the petitioner are replete with hearsay, opinion and argument under the guise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agree that significant portions of the affidavit evidence submitted by the petitioner are inadmissible for the reasons identified by the Province. However, rather than striking all of the offending paragraphs, I will consider the petition based solely on the evidence that is properly admissible (</w:t>
      </w:r>
      <w:r>
        <w:rPr>
          <w:rFonts w:ascii="arial" w:eastAsia="arial" w:hAnsi="arial" w:cs="arial"/>
          <w:i/>
          <w:color w:val="000000"/>
          <w:sz w:val="20"/>
          <w:lang w:val="en-US" w:eastAsia="en-US" w:bidi="ar-SA"/>
        </w:rPr>
        <w:t>Khan v. Khan</w:t>
      </w:r>
      <w:r>
        <w:rPr>
          <w:rFonts w:ascii="arial" w:eastAsia="arial" w:hAnsi="arial" w:cs="arial"/>
          <w:color w:val="000000"/>
          <w:sz w:val="20"/>
          <w:lang w:val="en-US" w:eastAsia="en-US" w:bidi="ar-SA"/>
        </w:rPr>
        <w:t xml:space="preserve">, </w:t>
      </w:r>
      <w:hyperlink r:id="rId899" w:history="1">
        <w:r>
          <w:rPr>
            <w:rFonts w:ascii="arial" w:eastAsia="arial" w:hAnsi="arial" w:cs="arial"/>
            <w:i/>
            <w:color w:val="0077CC"/>
            <w:sz w:val="20"/>
            <w:u w:val="single"/>
            <w:shd w:val="clear" w:color="auto" w:fill="FFFFFF"/>
            <w:lang w:val="en-US" w:eastAsia="en-US" w:bidi="ar-SA"/>
          </w:rPr>
          <w:t>2014 BCSC 289</w:t>
        </w:r>
      </w:hyperlink>
      <w:r>
        <w:rPr>
          <w:rFonts w:ascii="arial" w:eastAsia="arial" w:hAnsi="arial" w:cs="arial"/>
          <w:color w:val="000000"/>
          <w:sz w:val="20"/>
          <w:lang w:val="en-US" w:eastAsia="en-US" w:bidi="ar-SA"/>
        </w:rPr>
        <w:t xml:space="preserve"> at paras. 43-47; </w:t>
      </w:r>
      <w:r>
        <w:rPr>
          <w:rFonts w:ascii="arial" w:eastAsia="arial" w:hAnsi="arial" w:cs="arial"/>
          <w:i/>
          <w:color w:val="000000"/>
          <w:sz w:val="20"/>
          <w:lang w:val="en-US" w:eastAsia="en-US" w:bidi="ar-SA"/>
        </w:rPr>
        <w:t>Kennedy v. Kennedy</w:t>
      </w:r>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2006 BCSC 190</w:t>
        </w:r>
      </w:hyperlink>
      <w:r>
        <w:rPr>
          <w:rFonts w:ascii="arial" w:eastAsia="arial" w:hAnsi="arial" w:cs="arial"/>
          <w:color w:val="000000"/>
          <w:sz w:val="20"/>
          <w:lang w:val="en-US" w:eastAsia="en-US" w:bidi="ar-SA"/>
        </w:rPr>
        <w:t xml:space="preserve"> at paras. 2-10).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petitioner is a small plumbing and heating contractor owned and operated by Maxwell Bagnall and his wife, Krista Bagnall.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part of its business, the petitioner supplies and installs plumbing and heating improvements to properties owned by its customers. During the audit period, the petitioner did not pay PST on the goods it purchased for use in its business but instead, charged its customers PST calculated on the price it charged for the goods used in fulfilling its contracts. The petitioner then remitted those amounts to the Province as PST.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Province's position, which formed the basis for the Assessment, is that the petitioner's practice was inconsistent with the requirements of the </w:t>
      </w:r>
      <w:r>
        <w:rPr>
          <w:rFonts w:ascii="arial" w:eastAsia="arial" w:hAnsi="arial" w:cs="arial"/>
          <w:i/>
          <w:color w:val="000000"/>
          <w:sz w:val="20"/>
          <w:lang w:val="en-US" w:eastAsia="en-US" w:bidi="ar-SA"/>
        </w:rPr>
        <w:t>PSTA</w:t>
      </w:r>
      <w:r>
        <w:rPr>
          <w:rFonts w:ascii="arial" w:eastAsia="arial" w:hAnsi="arial" w:cs="arial"/>
          <w:color w:val="000000"/>
          <w:sz w:val="20"/>
          <w:lang w:val="en-US" w:eastAsia="en-US" w:bidi="ar-SA"/>
        </w:rPr>
        <w:t xml:space="preserve">. The Province says that the petitioner was required to pay PST on the goods it purchased for use in fulfilling its contracts, rather than charging its customers PST on those goods. According to the Province, customers of the petitioner who improperly paid PST would be entitled to apply for a refund under Part 7 of the </w:t>
      </w:r>
      <w:r>
        <w:rPr>
          <w:rFonts w:ascii="arial" w:eastAsia="arial" w:hAnsi="arial" w:cs="arial"/>
          <w:i/>
          <w:color w:val="000000"/>
          <w:sz w:val="20"/>
          <w:lang w:val="en-US" w:eastAsia="en-US" w:bidi="ar-SA"/>
        </w:rPr>
        <w:t>PSTA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response to the Province's position, the petitioner says that it carried out its practice in accordance with instructions provided by the Province. It relies in particular on a letter dated December 28, 2012 (the "December 28, 2012 letter") from the Ministry of Finance (the "Ministry"), Consumer Taxation Programs Branch, addressed to the petitioner, which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provincial sales tax (PST) is returning on April 1, 2013. If you sell or lease taxable goods, or sell software or taxable services in the ordinary course of your business in BC, you need to register to collect the tax.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letter then provided instructions for how to register and information about how to make remittances.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reference to the PST returning reflects the fact that the tax was being re-introduced following the elimination of the Harmonized Sales Tax ("HST") effective April 1,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response to the December 28, 2012 letter, the petitioner registered with the Ministry. That registration was acknowledged by the Ministry in a letter dated March 6, 2013, which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t>
      </w:r>
      <w:r>
        <w:rPr>
          <w:rFonts w:ascii="arial" w:eastAsia="arial" w:hAnsi="arial" w:cs="arial"/>
          <w:i/>
          <w:color w:val="000000"/>
          <w:sz w:val="20"/>
          <w:lang w:val="en-US" w:eastAsia="en-US" w:bidi="ar-SA"/>
        </w:rPr>
        <w:t>Letter of Registration</w:t>
      </w:r>
      <w:r>
        <w:rPr>
          <w:rFonts w:ascii="arial" w:eastAsia="arial" w:hAnsi="arial" w:cs="arial"/>
          <w:color w:val="000000"/>
          <w:sz w:val="20"/>
          <w:lang w:val="en-US" w:eastAsia="en-US" w:bidi="ar-SA"/>
        </w:rPr>
        <w:t xml:space="preserve"> confirms your registration under the </w:t>
      </w:r>
      <w:r>
        <w:rPr>
          <w:rFonts w:ascii="arial" w:eastAsia="arial" w:hAnsi="arial" w:cs="arial"/>
          <w:i/>
          <w:color w:val="000000"/>
          <w:sz w:val="20"/>
          <w:lang w:val="en-US" w:eastAsia="en-US" w:bidi="ar-SA"/>
        </w:rPr>
        <w:t>Provincial Sales Tax Act</w:t>
      </w:r>
      <w:r>
        <w:rPr>
          <w:rFonts w:ascii="arial" w:eastAsia="arial" w:hAnsi="arial" w:cs="arial"/>
          <w:color w:val="000000"/>
          <w:sz w:val="20"/>
          <w:lang w:val="en-US" w:eastAsia="en-US" w:bidi="ar-SA"/>
        </w:rPr>
        <w:t xml:space="preserve"> and includes your unique provincial sales tax (PST) registration number. This number may be used to receive an exemption from PST in certain circumstances (e.g. purchases of goods for resale or lease). Misuse of your PST registration number can result in the suspension or cancellation of your registration and is an offence under the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You have been placed on a </w:t>
      </w:r>
      <w:r>
        <w:rPr>
          <w:rFonts w:ascii="arial" w:eastAsia="arial" w:hAnsi="arial" w:cs="arial"/>
          <w:b/>
          <w:color w:val="000000"/>
          <w:sz w:val="20"/>
          <w:lang w:val="en-US" w:eastAsia="en-US" w:bidi="ar-SA"/>
        </w:rPr>
        <w:t>monthly</w:t>
      </w:r>
      <w:r>
        <w:rPr>
          <w:rFonts w:ascii="arial" w:eastAsia="arial" w:hAnsi="arial" w:cs="arial"/>
          <w:color w:val="000000"/>
          <w:sz w:val="20"/>
          <w:lang w:val="en-US" w:eastAsia="en-US" w:bidi="ar-SA"/>
        </w:rPr>
        <w:t xml:space="preserve"> filing schedule. Your tax returns and remittances are due no later than the last day of the month following the end of each </w:t>
      </w:r>
      <w:r>
        <w:rPr>
          <w:rFonts w:ascii="arial" w:eastAsia="arial" w:hAnsi="arial" w:cs="arial"/>
          <w:b/>
          <w:color w:val="000000"/>
          <w:sz w:val="20"/>
          <w:lang w:val="en-US" w:eastAsia="en-US" w:bidi="ar-SA"/>
        </w:rPr>
        <w:t>monthly</w:t>
      </w:r>
      <w:r>
        <w:rPr>
          <w:rFonts w:ascii="arial" w:eastAsia="arial" w:hAnsi="arial" w:cs="arial"/>
          <w:color w:val="000000"/>
          <w:sz w:val="20"/>
          <w:lang w:val="en-US" w:eastAsia="en-US" w:bidi="ar-SA"/>
        </w:rPr>
        <w:t xml:space="preserve"> reporting period. To avoid penalty and interest, your payment must be received on or before the due date. Tax returns must be filed for each reporting period even if you have not collected any tax.</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your total annual Canadian sales are estimated, or currently are less that $1.5 million, you are not required to file your returns and remit tax electronically. However, you may still choose to file and remit tax electronically by signing up for eServices through eTaxBC if you have not done so already.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petitioner alleges that this letter amounts to a specific exemption from paying PST on goods purchased for resale to customers. According to the petitioner, this confirmed its belief that it was not required to pay PST on those goods at the time of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Beginning April 1, 2013, the Ministry regularly sent the petitioner remittance forms that were completed and returned by the petitioner, along with what the petitioner understood to be the required remittances.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February 9, 2014, the petitioner registered with the Ministry's eTaxBC online service and received information concerning how to access that service by way of a letter dated February 9, 2014 from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February 11, 2014, the petitioner received another letter from the Ministry acknowledging its filing of a Pre-Authorized Debit Agreement, enabling the petitioner to make regular PST remittances by way of direct debit.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April 2014, the petitioner applied for and received a PST refund of $225.29. The petitioner sought the refund because certain of its suppliers would not sell goods to it free of PST. It is apparent that the petitioner interpreted the refund as further validation of the legitimacy of its practices vis-à-vis the PST.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August 22, 2014, the petitioner applied for a further PST refund on the same basis. That refund application was denied and the petitioner's bookkeeper was advised that the petitioner should not be collecting PST and should de-register.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September 8 and 10, 2014, the petitioner's bookkeeper sought clarification by way of email inquiries submitted to the Ministry's tax information online service, known as CTB Tax Questions. She received an email back advising that the petitioner must pay PST on all goods installed to real property and that the petitioner's customers could apply for a PST refund.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Based on that advice, the bookkeeper de-registered the petitioner from PST remittances. On October 8, 2014, the petitioner received a letter from the Ministry confirming closure of its PST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According to Ms. Bagnall, in November 2014, the petitioner received a number of phone messages from an individual concerning a PST audit. On November 25, 2014, the petitioner received an email request from a Ministry auditor with a formal request to conduct an audit. The petitioner authorized its bookkeeper to communicate directly with the auditor for the purpose of the audit.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December 15, 2014, the petitioner received a letter from the Ministry, addressed to its bookkeeper, providing information as to the audit process. The audit subsequently took place on January 28, 2015 at the office of the petitioner's accountant. On February 10, 2015, the petitioner filed an authorization with the Ministry appointing the petitioner's accountant as a representative for the purpose of the audit.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March 5, 2015, the auditor provided the petitioner with an Assessment Summary indicting an amount owing of $14,579.63. In response, the petitioner, through its bookkeeper, pointed out a number or errors with the result that the Assessment Summary was twice amended. The final Summary was sent to the petitioner on March 23, 2015 showing a balance owing of $14,291.85. Formal notice of the audit results and the Assessment was provided in a letter from the Ministry dated March 26, 2015 with the final Assessment of $14,298.88.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May 1, 2015, the petitioner's accountant submitted an appeal letter to the Ministry that, amongst other things, took issue with the fairness of the audit process and the result, given that the petitioner had been acting in good faith and had remitted PST collected from customers. That letter was accompanied by a letter dated April 30, 2015 in which Mr. and Mrs. Bagnall, on behalf of the petitioner, submitted a detailed appeal letter to the Ministry. It set out information about how the petitioner had dealt with the PST, including how it had charged PST to customers and remitted those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October 9, 2015, the ADM wrote to the petitioner's accountant denying the appeal. The substance of the denial can be found in the following passages: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audit found that Maxwell incorrectly collected tax from its customers on materials used to fulfill real property improvement contracts for the audit period. Under sections 179 and 184 of the Act, Maxwell is required to remit any tax collected whether correctly or incorrectly from its customers to the government at the prescribed times and in the prescribed manner. Maxwell was informed that it had collected tax in error from its customers, and therefore its customers could apply for refunds for tax paid on materials that were used in real property improvement contracts.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tax was not paid or self-assessed on purchases of plumbing and heating materials Maxwell used during the audit period to fulfill contracts for improvements to real property. Also, Maxwell did not pay or self-assess tax on materials, used in real property improvement contracts, which had been purchased prior to April 1, 2013 but were consumed during the audit period. Maxwell is liable to pay tax under the Act on purchases it makes of plumbing and heating materials used to fulfill real property contracts; Maxwell was correctly assessed tax due on all materials used to fulfill real property improvement contracts.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Maxwell suggests the assessment was unfair and contrary to the intent of the Act. In summary, Maxwell believes the assessment results in double taxation since it has already collected and remitted the tax from its customers. However, double taxation has not occurred in this case. Double taxation occurs when tax has been paid twice by a single taxpayer on the same transaction. In this case, Maxwell collected tax from its customers on real property improvement contracts. Maxwell correctly remitted the amounts collected on tax from its customers, which must be remitted even if collected in error. The audit revealed that Maxwell was liable to pay the tax on materials used in real property improvement contracts, and not its customers. The fact that Maxwell collected tax in error does not relieve it from liability under section 37(1) of the Act. In circumstances where tax has been collected in error, the Act provides for a refund to the person who has paid the tax in error (in this case, Maxwell's customers). As a result, the assessment does not result in double taxation. The assessment was issued in accordance with the legislation and there is no basis upon which to cancel or reduce the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is from this decision that the present appeal is brought.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would add that in conjunction with the appeal process, the petitioner, primarily through Ms. Bagnall, contacted various politicians about the perceived unfairness of the Assessment. I do not propose to review these communications as they have no bearing on the substance of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Evidence was also included in the record, some of it in dispute, about efforts of the Ministry to collect the amount owing under the Assessment. Again, since it is not directly relevant to the merits of this appeal, I do not propose to review that evidence in any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principal charging provision of the </w:t>
      </w:r>
      <w:r>
        <w:rPr>
          <w:rFonts w:ascii="arial" w:eastAsia="arial" w:hAnsi="arial" w:cs="arial"/>
          <w:i/>
          <w:color w:val="000000"/>
          <w:sz w:val="20"/>
          <w:lang w:val="en-US" w:eastAsia="en-US" w:bidi="ar-SA"/>
        </w:rPr>
        <w:t>PSTA</w:t>
      </w:r>
      <w:r>
        <w:rPr>
          <w:rFonts w:ascii="arial" w:eastAsia="arial" w:hAnsi="arial" w:cs="arial"/>
          <w:color w:val="000000"/>
          <w:sz w:val="20"/>
          <w:lang w:val="en-US" w:eastAsia="en-US" w:bidi="ar-SA"/>
        </w:rPr>
        <w:t xml:space="preserve"> is s. 37(1)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(1) A purchaser who purchases tangible personal property at a sale in British Columbia must pay to the government tax at the applicable rate under section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"Purchaser" is defined in s. 1 of the </w:t>
      </w:r>
      <w:r>
        <w:rPr>
          <w:rFonts w:ascii="arial" w:eastAsia="arial" w:hAnsi="arial" w:cs="arial"/>
          <w:i/>
          <w:color w:val="000000"/>
          <w:sz w:val="20"/>
          <w:lang w:val="en-US" w:eastAsia="en-US" w:bidi="ar-SA"/>
        </w:rPr>
        <w:t>PSTA</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"purchaser"</w:t>
      </w:r>
      <w:r>
        <w:rPr>
          <w:rFonts w:ascii="arial" w:eastAsia="arial" w:hAnsi="arial" w:cs="arial"/>
          <w:color w:val="000000"/>
          <w:sz w:val="20"/>
          <w:lang w:val="en-US" w:eastAsia="en-US" w:bidi="ar-SA"/>
        </w:rPr>
        <w:t xml:space="preserve"> means the following:</w:t>
      </w:r>
    </w:p>
    <w:p>
      <w:pPr>
        <w:numPr>
          <w:numId w:val="2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relation to tangible personal property, a person who acquires tangible personal property at a sale</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person's own use or consumption,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"Use," as it appears in the definition of "purchaser" is also defined in s. 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"use"</w:t>
      </w:r>
      <w:r>
        <w:rPr>
          <w:rFonts w:ascii="arial" w:eastAsia="arial" w:hAnsi="arial" w:cs="arial"/>
          <w:color w:val="000000"/>
          <w:sz w:val="20"/>
          <w:lang w:val="en-US" w:eastAsia="en-US" w:bidi="ar-SA"/>
        </w:rPr>
        <w:t>,</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relation to tangible personal property, includes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consumption, employment or utilization of tangible personal property for the purposes of fulfilling a contract for the supply and installation of affixed machinery or improvements to real property;</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but does not include the following:</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storing, keeping or retaining of tangible personal property for the sole purpose of resale,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definition of the term" sale" as used in s. 37 is also relevant: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"sale"</w:t>
      </w:r>
      <w:r>
        <w:rPr>
          <w:rFonts w:ascii="arial" w:eastAsia="arial" w:hAnsi="arial" w:cs="arial"/>
          <w:color w:val="000000"/>
          <w:sz w:val="20"/>
          <w:lang w:val="en-US" w:eastAsia="en-US" w:bidi="ar-SA"/>
        </w:rPr>
        <w:t xml:space="preserve"> includes the following: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transfer, conditional or otherwise, of title to or possession of tangible personal property under a contract;</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delivery of tangible personal property at a price or other consideration;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but does not include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provision of tangible personal property by a contractor for the purposes of fulfilling a contract under which the contractor is required to supply and affix, or install, affixed machinery or improvements to real property;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Certain of the PST assessed against the petitioner relates to goods purchase prior to the re-implementation of the PST. Section 80.5 of the </w:t>
      </w:r>
      <w:r>
        <w:rPr>
          <w:rFonts w:ascii="arial" w:eastAsia="arial" w:hAnsi="arial" w:cs="arial"/>
          <w:i/>
          <w:color w:val="000000"/>
          <w:sz w:val="20"/>
          <w:lang w:val="en-US" w:eastAsia="en-US" w:bidi="ar-SA"/>
        </w:rPr>
        <w:t>PSTA</w:t>
      </w:r>
      <w:r>
        <w:rPr>
          <w:rFonts w:ascii="arial" w:eastAsia="arial" w:hAnsi="arial" w:cs="arial"/>
          <w:color w:val="000000"/>
          <w:sz w:val="20"/>
          <w:lang w:val="en-US" w:eastAsia="en-US" w:bidi="ar-SA"/>
        </w:rPr>
        <w:t xml:space="preserve"> is therefore relevant: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80.5</w:t>
      </w:r>
      <w:r>
        <w:rPr>
          <w:rFonts w:ascii="arial" w:eastAsia="arial" w:hAnsi="arial" w:cs="arial"/>
          <w:color w:val="000000"/>
          <w:sz w:val="20"/>
          <w:lang w:val="en-US" w:eastAsia="en-US" w:bidi="ar-SA"/>
        </w:rPr>
        <w:t xml:space="preserve"> (1) This section applies to a contractor in relation to tangible personal property if</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contractor</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purchased tangible personal property at a sale in British Columbia, or</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brought or sent into British Columbia, or received delivery of in British Columbia, the tangible personal property, and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contractor, for the purposes of fulfilling a contract under which the contractor is required to supply and affix, or install, affixed machinery or improvements to real property, uses the tangible personal property so that it ceases to be personal property at common law.</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contractor to whom this section applies must pay to the government tax on the purchase price of the tangible personal property at the applicable rate under section 34.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PSTA</w:t>
      </w:r>
      <w:r>
        <w:rPr>
          <w:rFonts w:ascii="arial" w:eastAsia="arial" w:hAnsi="arial" w:cs="arial"/>
          <w:color w:val="000000"/>
          <w:sz w:val="20"/>
          <w:lang w:val="en-US" w:eastAsia="en-US" w:bidi="ar-SA"/>
        </w:rPr>
        <w:t xml:space="preserve"> also includes certain exemptions from the requirement to pay PST. Section 79(1) sets out the exemption with respect to PST payable under s. 37, and s. 80.5(6) sets out the exemption with respect to PST payable under s. 80.5(2):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(1) A contractor is exempt from tax imposed under section 37 </w:t>
      </w:r>
      <w:r>
        <w:rPr>
          <w:rFonts w:ascii="arial" w:eastAsia="arial" w:hAnsi="arial" w:cs="arial"/>
          <w:i/>
          <w:color w:val="000000"/>
          <w:sz w:val="20"/>
          <w:lang w:val="en-US" w:eastAsia="en-US" w:bidi="ar-SA"/>
        </w:rPr>
        <w:t>[tax on purchase]</w:t>
      </w:r>
      <w:r>
        <w:rPr>
          <w:rFonts w:ascii="arial" w:eastAsia="arial" w:hAnsi="arial" w:cs="arial"/>
          <w:color w:val="000000"/>
          <w:sz w:val="20"/>
          <w:lang w:val="en-US" w:eastAsia="en-US" w:bidi="ar-SA"/>
        </w:rPr>
        <w:t xml:space="preserve"> in relation to tangible personal property if</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contractor, for the purposes of fulfilling a contract under which the contractor is required to supply and affix, or install, affixed machinery or improvements to real property situated in British Columbia purchases the tangible personal property at a sale in British Columbia,</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the terms of the contract, the tangible personal property will be used so that it ceases to be personal property at common law,</w:t>
      </w:r>
    </w:p>
    <w:p>
      <w:pPr>
        <w:numPr>
          <w:numId w:val="1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agreement between the contractor and the person with whom the contractor has entered into the contract that</w:t>
      </w:r>
    </w:p>
    <w:p>
      <w:pPr>
        <w:numPr>
          <w:numId w:val="1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specifically states that the person is liable for tax imposed under section 80, and</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sets out the purchase price of the tangible personal property referred to in paragraph (a) that is subject to tax imposed under section 80, and</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written evidence of the agreement referred to in paragraph (c).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80.5 ...</w:t>
      </w:r>
    </w:p>
    <w:p>
      <w:pPr>
        <w:numPr>
          <w:numId w:val="2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contractor is exempt from tax imposed under subsection (2) in relation to tangible personal property if</w:t>
      </w:r>
    </w:p>
    <w:p>
      <w:pPr>
        <w:numPr>
          <w:numId w:val="2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agreement between the contractor and the person with whom the contractor has entered into the contract referred to in subsection (1) (b) that</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specifically states that the person is liable for tax imposed under section 80.6, and</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sets out the purchase price of the tangible personal property referred to in subsection (1) (a) that is subject to tax imposed under section 80.6,</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written evidence of the agreement referred to in paragraph (a), and</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fulfilling the contract referred to in subsection (1) (b), the contractor is required to supply and affix, or install, affixed machinery or improvements to real property situated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Also of note is s. 197(4) which deals with the burden of proof on an appeal:</w:t>
      </w:r>
      <w:r>
        <w:rPr>
          <w:rFonts w:ascii="arial" w:eastAsia="arial" w:hAnsi="arial" w:cs="arial"/>
          <w:sz w:val="20"/>
          <w:lang w:val="en-US" w:eastAsia="en-US" w:bidi="ar-SA"/>
        </w:rPr>
        <w:cr/>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that a notice of assessment under subsection (1) or (2) has been issued is proof, in the absence of evidence to the contrary, that the amount assessed or imposed under this Act is due and owing, and the onus of proving otherwise is on the person liable to pay the amount assessed or imposed.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This is consistent with the common law burden of proof as discussed by the Court of Appeal in </w:t>
      </w:r>
      <w:r>
        <w:rPr>
          <w:rFonts w:ascii="arial" w:eastAsia="arial" w:hAnsi="arial" w:cs="arial"/>
          <w:i/>
          <w:color w:val="000000"/>
          <w:sz w:val="20"/>
          <w:lang w:val="en-US" w:eastAsia="en-US" w:bidi="ar-SA"/>
        </w:rPr>
        <w:t>Northland Properties Corporation v. British Columbia</w:t>
      </w:r>
      <w:r>
        <w:rPr>
          <w:rFonts w:ascii="arial" w:eastAsia="arial" w:hAnsi="arial" w:cs="arial"/>
          <w:color w:val="000000"/>
          <w:sz w:val="20"/>
          <w:lang w:val="en-US" w:eastAsia="en-US" w:bidi="ar-SA"/>
        </w:rPr>
        <w:t xml:space="preserve">, </w:t>
      </w:r>
      <w:hyperlink r:id="rId901" w:history="1">
        <w:r>
          <w:rPr>
            <w:rFonts w:ascii="arial" w:eastAsia="arial" w:hAnsi="arial" w:cs="arial"/>
            <w:i/>
            <w:color w:val="0077CC"/>
            <w:sz w:val="20"/>
            <w:u w:val="single"/>
            <w:shd w:val="clear" w:color="auto" w:fill="FFFFFF"/>
            <w:lang w:val="en-US" w:eastAsia="en-US" w:bidi="ar-SA"/>
          </w:rPr>
          <w:t>2010 BCCA 177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Northland</w:t>
      </w:r>
      <w:r>
        <w:rPr>
          <w:rFonts w:ascii="arial" w:eastAsia="arial" w:hAnsi="arial" w:cs="arial"/>
          <w:color w:val="000000"/>
          <w:sz w:val="20"/>
          <w:lang w:val="en-US" w:eastAsia="en-US" w:bidi="ar-SA"/>
        </w:rPr>
        <w:t>], where the court said at paras. 21, 24 and 34:</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Returning to the proper approach in an assessment appeal, it is important to recall that, at the outset, the responsible Minister assesses the tax, then communicates that assessment, and the assumptions on which it is based, to the taxpayer. The need for the Minister to make assumptions emerged because, in a self-assessment system, the taxpayer generally has much greater knowledge of his or her affairs than the taxing authority. The courts responded to this imbalance by permitting the taxing authority to make assumptions of fact, on the basis of which it may assess the taxpayer accordingly: </w:t>
      </w:r>
      <w:r>
        <w:rPr>
          <w:rFonts w:ascii="arial" w:eastAsia="arial" w:hAnsi="arial" w:cs="arial"/>
          <w:i/>
          <w:color w:val="000000"/>
          <w:sz w:val="20"/>
          <w:lang w:val="en-US" w:eastAsia="en-US" w:bidi="ar-SA"/>
        </w:rPr>
        <w:t>Bayridge Estates Ltd. v. M.N.R.</w:t>
      </w:r>
      <w:r>
        <w:rPr>
          <w:rFonts w:ascii="arial" w:eastAsia="arial" w:hAnsi="arial" w:cs="arial"/>
          <w:color w:val="000000"/>
          <w:sz w:val="20"/>
          <w:lang w:val="en-US" w:eastAsia="en-US" w:bidi="ar-SA"/>
        </w:rPr>
        <w:t xml:space="preserve"> </w:t>
      </w:r>
      <w:hyperlink r:id="rId902" w:history="1">
        <w:r>
          <w:rPr>
            <w:rFonts w:ascii="arial" w:eastAsia="arial" w:hAnsi="arial" w:cs="arial"/>
            <w:i/>
            <w:color w:val="0077CC"/>
            <w:sz w:val="20"/>
            <w:u w:val="single"/>
            <w:shd w:val="clear" w:color="auto" w:fill="FFFFFF"/>
            <w:lang w:val="en-US" w:eastAsia="en-US" w:bidi="ar-SA"/>
          </w:rPr>
          <w:t>(1959), 59 D.T.C. 1098</w:t>
        </w:r>
      </w:hyperlink>
      <w:r>
        <w:rPr>
          <w:rFonts w:ascii="arial" w:eastAsia="arial" w:hAnsi="arial" w:cs="arial"/>
          <w:color w:val="000000"/>
          <w:sz w:val="20"/>
          <w:lang w:val="en-US" w:eastAsia="en-US" w:bidi="ar-SA"/>
        </w:rPr>
        <w:t xml:space="preserve"> (Ex. Ct.) at 1101, aff'd in </w:t>
      </w:r>
      <w:r>
        <w:rPr>
          <w:rFonts w:ascii="arial" w:eastAsia="arial" w:hAnsi="arial" w:cs="arial"/>
          <w:i/>
          <w:color w:val="000000"/>
          <w:sz w:val="20"/>
          <w:lang w:val="en-US" w:eastAsia="en-US" w:bidi="ar-SA"/>
        </w:rPr>
        <w:t>Hickman</w:t>
      </w:r>
      <w:r>
        <w:rPr>
          <w:rFonts w:ascii="arial" w:eastAsia="arial" w:hAnsi="arial" w:cs="arial"/>
          <w:color w:val="000000"/>
          <w:sz w:val="20"/>
          <w:lang w:val="en-US" w:eastAsia="en-US" w:bidi="ar-SA"/>
        </w:rPr>
        <w:t xml:space="preserve">. The corollary to this power is the principle that, on judicial review, the taxpayer has the initial burden to rebut the Minister's assumptions: </w:t>
      </w:r>
      <w:r>
        <w:rPr>
          <w:rFonts w:ascii="arial" w:eastAsia="arial" w:hAnsi="arial" w:cs="arial"/>
          <w:i/>
          <w:color w:val="000000"/>
          <w:sz w:val="20"/>
          <w:lang w:val="en-US" w:eastAsia="en-US" w:bidi="ar-SA"/>
        </w:rPr>
        <w:t>Johnston</w:t>
      </w:r>
      <w:r>
        <w:rPr>
          <w:rFonts w:ascii="arial" w:eastAsia="arial" w:hAnsi="arial" w:cs="arial"/>
          <w:color w:val="000000"/>
          <w:sz w:val="20"/>
          <w:lang w:val="en-US" w:eastAsia="en-US" w:bidi="ar-SA"/>
        </w:rPr>
        <w:t xml:space="preserve">; </w:t>
      </w:r>
      <w:hyperlink r:id="rId903" w:history="1">
        <w:r>
          <w:rPr>
            <w:rFonts w:ascii="arial" w:eastAsia="arial" w:hAnsi="arial" w:cs="arial"/>
            <w:i/>
            <w:color w:val="0077CC"/>
            <w:sz w:val="20"/>
            <w:u w:val="single"/>
            <w:shd w:val="clear" w:color="auto" w:fill="FFFFFF"/>
            <w:lang w:val="en-US" w:eastAsia="en-US" w:bidi="ar-SA"/>
          </w:rPr>
          <w:t>[1948] S.C.R. 486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Kennedy v. M.N.R.</w:t>
      </w:r>
      <w:r>
        <w:rPr>
          <w:rFonts w:ascii="arial" w:eastAsia="arial" w:hAnsi="arial" w:cs="arial"/>
          <w:color w:val="000000"/>
          <w:sz w:val="20"/>
          <w:lang w:val="en-US" w:eastAsia="en-US" w:bidi="ar-SA"/>
        </w:rPr>
        <w:t xml:space="preserve"> </w:t>
      </w:r>
      <w:hyperlink r:id="rId904" w:history="1">
        <w:r>
          <w:rPr>
            <w:rFonts w:ascii="arial" w:eastAsia="arial" w:hAnsi="arial" w:cs="arial"/>
            <w:i/>
            <w:color w:val="0077CC"/>
            <w:sz w:val="20"/>
            <w:u w:val="single"/>
            <w:shd w:val="clear" w:color="auto" w:fill="FFFFFF"/>
            <w:lang w:val="en-US" w:eastAsia="en-US" w:bidi="ar-SA"/>
          </w:rPr>
          <w:t>(1973), 73 D.T.C. 5359</w:t>
        </w:r>
      </w:hyperlink>
      <w:r>
        <w:rPr>
          <w:rFonts w:ascii="arial" w:eastAsia="arial" w:hAnsi="arial" w:cs="arial"/>
          <w:color w:val="000000"/>
          <w:sz w:val="20"/>
          <w:lang w:val="en-US" w:eastAsia="en-US" w:bidi="ar-SA"/>
        </w:rPr>
        <w:t xml:space="preserve"> (F.C.A.) at 5361, aff'd in </w:t>
      </w:r>
      <w:r>
        <w:rPr>
          <w:rFonts w:ascii="arial" w:eastAsia="arial" w:hAnsi="arial" w:cs="arial"/>
          <w:i/>
          <w:color w:val="000000"/>
          <w:sz w:val="20"/>
          <w:lang w:val="en-US" w:eastAsia="en-US" w:bidi="ar-SA"/>
        </w:rPr>
        <w:t>Hickman</w:t>
      </w:r>
      <w:r>
        <w:rPr>
          <w:rFonts w:ascii="arial" w:eastAsia="arial" w:hAnsi="arial" w:cs="arial"/>
          <w:color w:val="000000"/>
          <w:sz w:val="20"/>
          <w:lang w:val="en-US" w:eastAsia="en-US" w:bidi="ar-SA"/>
        </w:rPr>
        <w:t xml:space="preserve"> </w:t>
      </w:r>
      <w:hyperlink r:id="rId905" w:history="1">
        <w:r>
          <w:rPr>
            <w:rFonts w:ascii="arial" w:eastAsia="arial" w:hAnsi="arial" w:cs="arial"/>
            <w:i/>
            <w:color w:val="0077CC"/>
            <w:sz w:val="20"/>
            <w:u w:val="single"/>
            <w:shd w:val="clear" w:color="auto" w:fill="FFFFFF"/>
            <w:lang w:val="en-US" w:eastAsia="en-US" w:bidi="ar-SA"/>
          </w:rPr>
          <w:t>[1997] 2 S.C.R. 336</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At the hearing of the appeal, the taxpayer has the </w:t>
      </w:r>
      <w:r>
        <w:rPr>
          <w:rFonts w:ascii="arial" w:eastAsia="arial" w:hAnsi="arial" w:cs="arial"/>
          <w:color w:val="000000"/>
          <w:sz w:val="20"/>
          <w:u w:val="single"/>
          <w:lang w:val="en-US" w:eastAsia="en-US" w:bidi="ar-SA"/>
        </w:rPr>
        <w:t>initial</w:t>
      </w:r>
      <w:r>
        <w:rPr>
          <w:rFonts w:ascii="arial" w:eastAsia="arial" w:hAnsi="arial" w:cs="arial"/>
          <w:color w:val="000000"/>
          <w:sz w:val="20"/>
          <w:lang w:val="en-US" w:eastAsia="en-US" w:bidi="ar-SA"/>
        </w:rPr>
        <w:t xml:space="preserve"> legal burden of proving, on a balance of probabilities, that the stated and communicated </w:t>
      </w:r>
      <w:r>
        <w:rPr>
          <w:rFonts w:ascii="arial" w:eastAsia="arial" w:hAnsi="arial" w:cs="arial"/>
          <w:color w:val="000000"/>
          <w:sz w:val="20"/>
          <w:u w:val="single"/>
          <w:lang w:val="en-US" w:eastAsia="en-US" w:bidi="ar-SA"/>
        </w:rPr>
        <w:t>assumptions</w:t>
      </w:r>
      <w:r>
        <w:rPr>
          <w:rFonts w:ascii="arial" w:eastAsia="arial" w:hAnsi="arial" w:cs="arial"/>
          <w:color w:val="000000"/>
          <w:sz w:val="20"/>
          <w:lang w:val="en-US" w:eastAsia="en-US" w:bidi="ar-SA"/>
        </w:rPr>
        <w:t xml:space="preserve">, on which the assessment is based, are wrong: </w:t>
      </w:r>
      <w:r>
        <w:rPr>
          <w:rFonts w:ascii="arial" w:eastAsia="arial" w:hAnsi="arial" w:cs="arial"/>
          <w:i/>
          <w:color w:val="000000"/>
          <w:sz w:val="20"/>
          <w:lang w:val="en-US" w:eastAsia="en-US" w:bidi="ar-SA"/>
        </w:rPr>
        <w:t>Anderson</w:t>
      </w:r>
      <w:r>
        <w:rPr>
          <w:rFonts w:ascii="arial" w:eastAsia="arial" w:hAnsi="arial" w:cs="arial"/>
          <w:color w:val="000000"/>
          <w:sz w:val="20"/>
          <w:lang w:val="en-US" w:eastAsia="en-US" w:bidi="ar-SA"/>
        </w:rPr>
        <w:t xml:space="preserve"> </w:t>
      </w:r>
      <w:hyperlink r:id="rId906" w:history="1">
        <w:r>
          <w:rPr>
            <w:rFonts w:ascii="arial" w:eastAsia="arial" w:hAnsi="arial" w:cs="arial"/>
            <w:i/>
            <w:color w:val="0077CC"/>
            <w:sz w:val="20"/>
            <w:u w:val="single"/>
            <w:shd w:val="clear" w:color="auto" w:fill="FFFFFF"/>
            <w:lang w:val="en-US" w:eastAsia="en-US" w:bidi="ar-SA"/>
          </w:rPr>
          <w:t>[1925] S.C.R. 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Johnston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Pillsbury</w:t>
      </w:r>
      <w:r>
        <w:rPr>
          <w:rFonts w:ascii="arial" w:eastAsia="arial" w:hAnsi="arial" w:cs="arial"/>
          <w:color w:val="000000"/>
          <w:sz w:val="20"/>
          <w:lang w:val="en-US" w:eastAsia="en-US" w:bidi="ar-SA"/>
        </w:rPr>
        <w:t xml:space="preserve"> </w:t>
      </w:r>
      <w:hyperlink r:id="rId907" w:history="1">
        <w:r>
          <w:rPr>
            <w:rFonts w:ascii="arial" w:eastAsia="arial" w:hAnsi="arial" w:cs="arial"/>
            <w:i/>
            <w:color w:val="0077CC"/>
            <w:sz w:val="20"/>
            <w:u w:val="single"/>
            <w:shd w:val="clear" w:color="auto" w:fill="FFFFFF"/>
            <w:lang w:val="en-US" w:eastAsia="en-US" w:bidi="ar-SA"/>
          </w:rPr>
          <w:t>[1965] 1 Ex.C.R. 676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Hickman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Placer Dome</w:t>
      </w:r>
      <w:r>
        <w:rPr>
          <w:rFonts w:ascii="arial" w:eastAsia="arial" w:hAnsi="arial" w:cs="arial"/>
          <w:color w:val="000000"/>
          <w:sz w:val="20"/>
          <w:lang w:val="en-US" w:eastAsia="en-US" w:bidi="ar-SA"/>
        </w:rPr>
        <w:t xml:space="preserve"> </w:t>
      </w:r>
      <w:hyperlink r:id="rId908" w:history="1">
        <w:r>
          <w:rPr>
            <w:rFonts w:ascii="arial" w:eastAsia="arial" w:hAnsi="arial" w:cs="arial"/>
            <w:i/>
            <w:color w:val="0077CC"/>
            <w:sz w:val="20"/>
            <w:u w:val="single"/>
            <w:shd w:val="clear" w:color="auto" w:fill="FFFFFF"/>
            <w:lang w:val="en-US" w:eastAsia="en-US" w:bidi="ar-SA"/>
          </w:rPr>
          <w:t>[2006] 1 S.C.R. 715</w:t>
        </w:r>
      </w:hyperlink>
      <w:r>
        <w:rPr>
          <w:rFonts w:ascii="arial" w:eastAsia="arial" w:hAnsi="arial" w:cs="arial"/>
          <w:color w:val="000000"/>
          <w:sz w:val="20"/>
          <w:lang w:val="en-US" w:eastAsia="en-US" w:bidi="ar-SA"/>
        </w:rPr>
        <w:t xml:space="preserve">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[34] If the taxpayer has successfully discharged its legal burden with regard to an assumption, the Crown may not rely on that assumption in attempting to prove the validity of the assessment. If unproven assumptions are necessary to the assessment, the taxpayer will succeed. Assumptions not disproven are deemed facts which, if sufficient to establish the Minister's case, will cause the appeal to fail.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its second amended petition, the petitioner advances numerous and far-reaching allegations against the Ministry in support of its position that the Assessment is invalid. Essentially, these allegations can be distilled into the following key points:</w:t>
      </w:r>
      <w:r>
        <w:rPr>
          <w:rFonts w:ascii="arial" w:eastAsia="arial" w:hAnsi="arial" w:cs="arial"/>
          <w:sz w:val="20"/>
          <w:lang w:val="en-US" w:eastAsia="en-US" w:bidi="ar-SA"/>
        </w:rPr>
        <w:cr/>
      </w:r>
    </w:p>
    <w:p>
      <w:pPr>
        <w:numPr>
          <w:numId w:val="29"/>
        </w:numPr>
        <w:tabs>
          <w:tab w:val="clear" w:pos="76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petitioner acted in accordance with the terms of the </w:t>
      </w:r>
      <w:r>
        <w:rPr>
          <w:rFonts w:ascii="arial" w:eastAsia="arial" w:hAnsi="arial" w:cs="arial"/>
          <w:i/>
          <w:color w:val="000000"/>
          <w:sz w:val="20"/>
          <w:lang w:val="en-US" w:eastAsia="en-US" w:bidi="ar-SA"/>
        </w:rPr>
        <w:t>PSTA</w:t>
      </w:r>
      <w:r>
        <w:rPr>
          <w:rFonts w:ascii="arial" w:eastAsia="arial" w:hAnsi="arial" w:cs="arial"/>
          <w:color w:val="000000"/>
          <w:sz w:val="20"/>
          <w:lang w:val="en-US" w:eastAsia="en-US" w:bidi="ar-SA"/>
        </w:rPr>
        <w:t xml:space="preserve"> in collecting PST from its customers and remitting those amounts to the Ministry. In particular, the petitioner submits that there were agreements in place between it and its customers whereby the customers agreed to pay the PST;</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Ministry instructed the petitioner to register for the PST and to collect and remit PST amounts and the petitioner acted in accordance with those instructions. Alternatively, the Ministry negligently misrepresented the petitioner's obligations and the petitioner relied on those misrepresentations in conducting its affairs as it did; and</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audit process, the resulting Assessment and the Ministry's subsequent conduct has been unreasonable and unfair to the petitioner.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Province submits that on the clear wording of the </w:t>
      </w:r>
      <w:r>
        <w:rPr>
          <w:rFonts w:ascii="arial" w:eastAsia="arial" w:hAnsi="arial" w:cs="arial"/>
          <w:i/>
          <w:color w:val="000000"/>
          <w:sz w:val="20"/>
          <w:lang w:val="en-US" w:eastAsia="en-US" w:bidi="ar-SA"/>
        </w:rPr>
        <w:t>PSTA</w:t>
      </w:r>
      <w:r>
        <w:rPr>
          <w:rFonts w:ascii="arial" w:eastAsia="arial" w:hAnsi="arial" w:cs="arial"/>
          <w:color w:val="000000"/>
          <w:sz w:val="20"/>
          <w:lang w:val="en-US" w:eastAsia="en-US" w:bidi="ar-SA"/>
        </w:rPr>
        <w:t>, the petitioner was liable to pay PST on goods it purchased in order to fulfill its contracts with its customers. The petitioner does not fit within any of the exemptions. In particular, the Province submits that there were no agreements in place between the petitioner and its customers whereby the customers agreed to pay the PST.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Was the Petitioner Liable to Pay PST Under the </w:t>
      </w:r>
      <w:r>
        <w:rPr>
          <w:rFonts w:ascii="arial" w:eastAsia="arial" w:hAnsi="arial" w:cs="arial"/>
          <w:b/>
          <w:i/>
          <w:color w:val="000000"/>
          <w:sz w:val="20"/>
          <w:u w:val="single"/>
          <w:lang w:val="en-US" w:eastAsia="en-US" w:bidi="ar-SA"/>
        </w:rPr>
        <w:t>PSTA</w:t>
      </w:r>
      <w:r>
        <w:rPr>
          <w:rFonts w:ascii="arial" w:eastAsia="arial" w:hAnsi="arial" w:cs="arial"/>
          <w:b/>
          <w:color w:val="000000"/>
          <w:sz w:val="20"/>
          <w:u w:val="single"/>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my view, determination of this first question turns on the definitions of "use" and "sale" set out above. Specifically, the purchase of goods by the petitioner for installation at its customers' premises falls within the definition of "use" in that it constitutes the "utilization of tangible personal property for the purposes of fulfilling a contract for the supply and installation of affixed machinery or improvements to real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Thus, the petitioner is purchasing the goods for its own use, within the meaning of the term "purchaser" as defined in s. 1 and as that term appears in s. 37(1). The petitioner is therefore obligated to pay PST on those purchases in accordance with s. 37(1).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Conversely, the petitioner's supply of those goods to its customers is not a "sale" within the meaning of s. 37(1) because the definition of "sale" expressly excludes "the provision of tangible personal property by a contractor for the purposes of fulfilling a contract under which the contractor is required to supply and affix, or install, affixed machinery or improvements to real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When these provisions are considered together and in the context of the type of work undertaken by the petitioner, it is clear that the petitioner is liable to pay PST on its initial purchase of the goods. Accordingly, I agree with the Province that the ADM was correct in her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this analysis, the petitioner is also liable to pay PST on its pre-existing inventory in accordance with s. 80.5.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Did the Petitioner's Customers Agree to be Liable for PST?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This leads to the next question which is whether the exemptions set out in ss. 79(1) and 80.5(6) apply. Under these provisions, liability to pay the tax may be shifted to the customer, and away from the contractor, where there is an agreement between the contractor and the customer that "specifically states" that the customer is liable for the tax and where there is "written evidence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petitioner submits that it had agreements with its customers pursuant to which the customers agreed to pay the PST. Mr. Bagnall describes those agreements as follows in his affidavit:</w:t>
      </w:r>
      <w:r>
        <w:rPr>
          <w:rFonts w:ascii="arial" w:eastAsia="arial" w:hAnsi="arial" w:cs="arial"/>
          <w:sz w:val="20"/>
          <w:lang w:val="en-US" w:eastAsia="en-US" w:bidi="ar-SA"/>
        </w:rPr>
        <w:cr/>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 customers agreed both verbally to myself and to my employees to pay the PST (prior to commencing the job) and contractually by actually paying the PST and accepting the invoice (on completion of the job). This constituted an agreement between the customer and the Petitioner, that the customer is liable for the PST. I believe this to be true as I have not heard otherwise from my employees or from customers.</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agreements made by customers and the Petitioner (with the customer agreeing to be liable for the PST) are provided by written evidence, as required under s. 79(1) of the </w:t>
      </w:r>
      <w:r>
        <w:rPr>
          <w:rFonts w:ascii="arial" w:eastAsia="arial" w:hAnsi="arial" w:cs="arial"/>
          <w:i/>
          <w:color w:val="000000"/>
          <w:sz w:val="20"/>
          <w:lang w:val="en-US" w:eastAsia="en-US" w:bidi="ar-SA"/>
        </w:rPr>
        <w:t>Provincial Sales Tax Act</w:t>
      </w:r>
      <w:r>
        <w:rPr>
          <w:rFonts w:ascii="arial" w:eastAsia="arial" w:hAnsi="arial" w:cs="arial"/>
          <w:color w:val="000000"/>
          <w:sz w:val="20"/>
          <w:lang w:val="en-US" w:eastAsia="en-US" w:bidi="ar-SA"/>
        </w:rPr>
        <w:t xml:space="preserve">. I believe this to be true as I have not heard otherwise from my employees or from customers. There needs to be only written </w:t>
      </w:r>
      <w:r>
        <w:rPr>
          <w:rFonts w:ascii="arial" w:eastAsia="arial" w:hAnsi="arial" w:cs="arial"/>
          <w:i/>
          <w:color w:val="000000"/>
          <w:sz w:val="20"/>
          <w:lang w:val="en-US" w:eastAsia="en-US" w:bidi="ar-SA"/>
        </w:rPr>
        <w:t>evidence</w:t>
      </w:r>
      <w:r>
        <w:rPr>
          <w:rFonts w:ascii="arial" w:eastAsia="arial" w:hAnsi="arial" w:cs="arial"/>
          <w:color w:val="000000"/>
          <w:sz w:val="20"/>
          <w:lang w:val="en-US" w:eastAsia="en-US" w:bidi="ar-SA"/>
        </w:rPr>
        <w:t xml:space="preserve"> of such an agreement; the agreement need not be written itself, pursuant to section 79(1)(d) of the PST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Bagnall then attaches to his affidavit numerous copies of invoices issued to customers that set out the work done and the materials supplied, and that include an amount for PST. As I understand the petitioner's position, these invoices provide the written evidence of the customers' agreement to pay the PST.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Province submits that no such agreements existed. It says that in order for there to be such agreements, they must be based on informed consent. In other words, customers must understand that they are assuming a liability for the PST which they would not otherwise have under the </w:t>
      </w:r>
      <w:r>
        <w:rPr>
          <w:rFonts w:ascii="arial" w:eastAsia="arial" w:hAnsi="arial" w:cs="arial"/>
          <w:i/>
          <w:color w:val="000000"/>
          <w:sz w:val="20"/>
          <w:lang w:val="en-US" w:eastAsia="en-US" w:bidi="ar-SA"/>
        </w:rPr>
        <w:t>PSTA</w:t>
      </w:r>
      <w:r>
        <w:rPr>
          <w:rFonts w:ascii="arial" w:eastAsia="arial" w:hAnsi="arial" w:cs="arial"/>
          <w:color w:val="000000"/>
          <w:sz w:val="20"/>
          <w:lang w:val="en-US" w:eastAsia="en-US" w:bidi="ar-SA"/>
        </w:rPr>
        <w:t>. The Province submits that there is no evidence of such informed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Further, the Province draws a distinction between an agreement to pay PST and an agreement to be liable for PST. It submits that mere payment of PST in response to an invoice presented by the petitioner does not constitute an agreement to be liable for the tax. In its written submission, the Province makes the following point: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would not be unusual for a customer who has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agreed to be liable for PST to pay an invoice presented by their contractor, including an amount shown as being for PST, simply because it has been presented to them as amounts that are due and payable.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most likely explanation for the petitioner's customers' payment of amounts charged as PST is that they mistakenly believed PST applied to the transactions automatically, by operation of law. It is entirely plausible that the petitioner's customers thought that the law left no room for negotiation with respect to liability for PST vis-à-vis the government.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Province also notes that in the letter from the petitioner's accountant initiating the appeal to the Minister, the petitioner's handling of the PST was described as an "honest mistake". The letter did not suggest that the petitioner had agreements in place to bring it within the exemption provisions of the </w:t>
      </w:r>
      <w:r>
        <w:rPr>
          <w:rFonts w:ascii="arial" w:eastAsia="arial" w:hAnsi="arial" w:cs="arial"/>
          <w:i/>
          <w:color w:val="000000"/>
          <w:sz w:val="20"/>
          <w:lang w:val="en-US" w:eastAsia="en-US" w:bidi="ar-SA"/>
        </w:rPr>
        <w:t>PSTA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my view, "honest mistake" best describes the unfortunate circumstances in which the petitioner found itself. Clearly, it had an understanding or a belief about its obligations under the </w:t>
      </w:r>
      <w:r>
        <w:rPr>
          <w:rFonts w:ascii="arial" w:eastAsia="arial" w:hAnsi="arial" w:cs="arial"/>
          <w:i/>
          <w:color w:val="000000"/>
          <w:sz w:val="20"/>
          <w:lang w:val="en-US" w:eastAsia="en-US" w:bidi="ar-SA"/>
        </w:rPr>
        <w:t>PSTA</w:t>
      </w:r>
      <w:r>
        <w:rPr>
          <w:rFonts w:ascii="arial" w:eastAsia="arial" w:hAnsi="arial" w:cs="arial"/>
          <w:color w:val="000000"/>
          <w:sz w:val="20"/>
          <w:lang w:val="en-US" w:eastAsia="en-US" w:bidi="ar-SA"/>
        </w:rPr>
        <w:t xml:space="preserve"> that turned out to be incorrect. That misunderstanding may well have been shared by the petitioner's customers who paid the PST.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 do not accept, however, that the petitioner had in place agreements with its customers to transfer liability for the PST from it to those customers. In my view, the mere presentation and payment of an invoice that includes an amount for PST does not meet the strict requirements of ss. 79(1) and 80.5(6) that there be an agreement, evidenced in writing, that "specifically states" the customer is liable for the PST under ss. 80 and 80.6 of the </w:t>
      </w:r>
      <w:r>
        <w:rPr>
          <w:rFonts w:ascii="arial" w:eastAsia="arial" w:hAnsi="arial" w:cs="arial"/>
          <w:i/>
          <w:color w:val="000000"/>
          <w:sz w:val="20"/>
          <w:lang w:val="en-US" w:eastAsia="en-US" w:bidi="ar-SA"/>
        </w:rPr>
        <w:t>PSTA</w:t>
      </w:r>
      <w:r>
        <w:rPr>
          <w:rFonts w:ascii="arial" w:eastAsia="arial" w:hAnsi="arial" w:cs="arial"/>
          <w:color w:val="000000"/>
          <w:sz w:val="20"/>
          <w:lang w:val="en-US" w:eastAsia="en-US" w:bidi="ar-SA"/>
        </w:rPr>
        <w:t>. I would add that, as pointed out by the Province, the invoices attached to Mr. Bagnall's affidavit are not signed by the customers and do not indicate the customers' agreement to any particular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apparent absence of any complaints from customers about the payment of PST is similarly not sufficient to establish an agreement to be liable for the tax.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For these reasons, I find that the petitioner has failed to meet the burden set out in </w:t>
      </w:r>
      <w:r>
        <w:rPr>
          <w:rFonts w:ascii="arial" w:eastAsia="arial" w:hAnsi="arial" w:cs="arial"/>
          <w:i/>
          <w:color w:val="000000"/>
          <w:sz w:val="20"/>
          <w:lang w:val="en-US" w:eastAsia="en-US" w:bidi="ar-SA"/>
        </w:rPr>
        <w:t>Northland</w:t>
      </w:r>
      <w:r>
        <w:rPr>
          <w:rFonts w:ascii="arial" w:eastAsia="arial" w:hAnsi="arial" w:cs="arial"/>
          <w:color w:val="000000"/>
          <w:sz w:val="20"/>
          <w:lang w:val="en-US" w:eastAsia="en-US" w:bidi="ar-SA"/>
        </w:rPr>
        <w:t xml:space="preserve"> and that the ADM was correct in finding that the petitioner was liable for the PST set out in the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Did the Province Instruct the Petitioner to Collect and Remit PST in the Manner That it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petitioner submits that the Province instructed it to register for PST, to collect PST from its customers and to remit those amounts to the Province. The petitioner points to the December 28, 2012 letter as the source of those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With respect, that letter cannot reasonably be interpreted as a specific letter of instruction intended to direct the petitioner on how to deal with the PST. On its face, it is generic and informational in nature. This is clear from the opening paragraph: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provincial sales tax (PST) is returning on April 1, 2013. If you sell or lease taxable goods, or sell software or taxable services in the ordinary course of your business in BC, you need to register to collect the tax.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my view, the intent of the letter was to notify businesses of the return of the PST so that they could determine their obligations under the </w:t>
      </w:r>
      <w:r>
        <w:rPr>
          <w:rFonts w:ascii="arial" w:eastAsia="arial" w:hAnsi="arial" w:cs="arial"/>
          <w:i/>
          <w:color w:val="000000"/>
          <w:sz w:val="20"/>
          <w:lang w:val="en-US" w:eastAsia="en-US" w:bidi="ar-SA"/>
        </w:rPr>
        <w:t>PSTA</w:t>
      </w:r>
      <w:r>
        <w:rPr>
          <w:rFonts w:ascii="arial" w:eastAsia="arial" w:hAnsi="arial" w:cs="arial"/>
          <w:color w:val="000000"/>
          <w:sz w:val="20"/>
          <w:lang w:val="en-US" w:eastAsia="en-US" w:bidi="ar-SA"/>
        </w:rPr>
        <w:t>. It was not intended to, nor did it purport to, provide specific instructions to the petitioner.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It is well established that responsibility for determining whether sales tax like the PST is payable rests, at first instance, with the taxpayer. In </w:t>
      </w:r>
      <w:r>
        <w:rPr>
          <w:rFonts w:ascii="arial" w:eastAsia="arial" w:hAnsi="arial" w:cs="arial"/>
          <w:i/>
          <w:color w:val="000000"/>
          <w:sz w:val="20"/>
          <w:lang w:val="en-US" w:eastAsia="en-US" w:bidi="ar-SA"/>
        </w:rPr>
        <w:t>La Bottega del Vino Ltd. v. British Columbia,</w:t>
      </w:r>
      <w:r>
        <w:rPr>
          <w:rFonts w:ascii="arial" w:eastAsia="arial" w:hAnsi="arial" w:cs="arial"/>
          <w:color w:val="000000"/>
          <w:sz w:val="20"/>
          <w:lang w:val="en-US" w:eastAsia="en-US" w:bidi="ar-SA"/>
        </w:rPr>
        <w:t xml:space="preserve"> </w:t>
      </w:r>
      <w:hyperlink r:id="rId909" w:history="1">
        <w:r>
          <w:rPr>
            <w:rFonts w:ascii="arial" w:eastAsia="arial" w:hAnsi="arial" w:cs="arial"/>
            <w:i/>
            <w:color w:val="0077CC"/>
            <w:sz w:val="20"/>
            <w:u w:val="single"/>
            <w:shd w:val="clear" w:color="auto" w:fill="FFFFFF"/>
            <w:lang w:val="en-US" w:eastAsia="en-US" w:bidi="ar-SA"/>
          </w:rPr>
          <w:t>2014 BCSC 1553</w:t>
        </w:r>
      </w:hyperlink>
      <w:r>
        <w:rPr>
          <w:rFonts w:ascii="arial" w:eastAsia="arial" w:hAnsi="arial" w:cs="arial"/>
          <w:color w:val="000000"/>
          <w:sz w:val="20"/>
          <w:lang w:val="en-US" w:eastAsia="en-US" w:bidi="ar-SA"/>
        </w:rPr>
        <w:t xml:space="preserve">, Madam Justice Sharma said the following in a decision on an appeal brought under the former </w:t>
      </w:r>
      <w:r>
        <w:rPr>
          <w:rFonts w:ascii="arial" w:eastAsia="arial" w:hAnsi="arial" w:cs="arial"/>
          <w:i/>
          <w:color w:val="000000"/>
          <w:sz w:val="20"/>
          <w:lang w:val="en-US" w:eastAsia="en-US" w:bidi="ar-SA"/>
        </w:rPr>
        <w:t>Social Service Tax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431</w:t>
      </w:r>
      <w:r>
        <w:rPr>
          <w:rFonts w:ascii="arial" w:eastAsia="arial" w:hAnsi="arial" w:cs="arial"/>
          <w:color w:val="000000"/>
          <w:sz w:val="20"/>
          <w:lang w:val="en-US" w:eastAsia="en-US" w:bidi="ar-SA"/>
        </w:rPr>
        <w:t>, at para. 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facts upon which tax is imposed and collected are known exclusively by the taxpayer because it is a self-reporting system. The taxing authority has no option but to rely on taxpayers to honestly report and pay (or collect) taxes. Where there is insufficient information from the taxpayer, or any other reason to doubt the taxpayer's veracity, the Minister is entitled to make assumptions that differ from the taxpayer's information. It is the taxpayer's burden to present evidence to disprove those assumptions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Madam Justice Sharma cites </w:t>
      </w:r>
      <w:r>
        <w:rPr>
          <w:rFonts w:ascii="arial" w:eastAsia="arial" w:hAnsi="arial" w:cs="arial"/>
          <w:i/>
          <w:color w:val="000000"/>
          <w:sz w:val="20"/>
          <w:lang w:val="en-US" w:eastAsia="en-US" w:bidi="ar-SA"/>
        </w:rPr>
        <w:t>Northland</w:t>
      </w:r>
      <w:r>
        <w:rPr>
          <w:rFonts w:ascii="arial" w:eastAsia="arial" w:hAnsi="arial" w:cs="arial"/>
          <w:color w:val="000000"/>
          <w:sz w:val="20"/>
          <w:lang w:val="en-US" w:eastAsia="en-US" w:bidi="ar-SA"/>
        </w:rPr>
        <w:t xml:space="preserve"> as authority for this approach. See also </w:t>
      </w:r>
      <w:r>
        <w:rPr>
          <w:rFonts w:ascii="arial" w:eastAsia="arial" w:hAnsi="arial" w:cs="arial"/>
          <w:i/>
          <w:color w:val="000000"/>
          <w:sz w:val="20"/>
          <w:lang w:val="en-US" w:eastAsia="en-US" w:bidi="ar-SA"/>
        </w:rPr>
        <w:t>Hallmark Ford Sales Limited v. British Columbia (Revenue)</w:t>
      </w:r>
      <w:r>
        <w:rPr>
          <w:rFonts w:ascii="arial" w:eastAsia="arial" w:hAnsi="arial" w:cs="arial"/>
          <w:color w:val="000000"/>
          <w:sz w:val="20"/>
          <w:lang w:val="en-US" w:eastAsia="en-US" w:bidi="ar-SA"/>
        </w:rPr>
        <w:t xml:space="preserve">, </w:t>
      </w:r>
      <w:hyperlink r:id="rId910" w:history="1">
        <w:r>
          <w:rPr>
            <w:rFonts w:ascii="arial" w:eastAsia="arial" w:hAnsi="arial" w:cs="arial"/>
            <w:i/>
            <w:color w:val="0077CC"/>
            <w:sz w:val="20"/>
            <w:u w:val="single"/>
            <w:shd w:val="clear" w:color="auto" w:fill="FFFFFF"/>
            <w:lang w:val="en-US" w:eastAsia="en-US" w:bidi="ar-SA"/>
          </w:rPr>
          <w:t>2009 BCSC 1134</w:t>
        </w:r>
      </w:hyperlink>
      <w:r>
        <w:rPr>
          <w:rFonts w:ascii="arial" w:eastAsia="arial" w:hAnsi="arial" w:cs="arial"/>
          <w:color w:val="000000"/>
          <w:sz w:val="20"/>
          <w:lang w:val="en-US" w:eastAsia="en-US" w:bidi="ar-SA"/>
        </w:rPr>
        <w:t xml:space="preserve"> at para. 57, aff'd </w:t>
      </w:r>
      <w:hyperlink r:id="rId911" w:history="1">
        <w:r>
          <w:rPr>
            <w:rFonts w:ascii="arial" w:eastAsia="arial" w:hAnsi="arial" w:cs="arial"/>
            <w:i/>
            <w:color w:val="0077CC"/>
            <w:sz w:val="20"/>
            <w:u w:val="single"/>
            <w:shd w:val="clear" w:color="auto" w:fill="FFFFFF"/>
            <w:lang w:val="en-US" w:eastAsia="en-US" w:bidi="ar-SA"/>
          </w:rPr>
          <w:t>2010 BCCA 555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Further, when an entity applies to be registered for PST, the Director appointed under the </w:t>
      </w:r>
      <w:r>
        <w:rPr>
          <w:rFonts w:ascii="arial" w:eastAsia="arial" w:hAnsi="arial" w:cs="arial"/>
          <w:i/>
          <w:color w:val="000000"/>
          <w:sz w:val="20"/>
          <w:lang w:val="en-US" w:eastAsia="en-US" w:bidi="ar-SA"/>
        </w:rPr>
        <w:t>PSTA</w:t>
      </w:r>
      <w:r>
        <w:rPr>
          <w:rFonts w:ascii="arial" w:eastAsia="arial" w:hAnsi="arial" w:cs="arial"/>
          <w:color w:val="000000"/>
          <w:sz w:val="20"/>
          <w:lang w:val="en-US" w:eastAsia="en-US" w:bidi="ar-SA"/>
        </w:rPr>
        <w:t xml:space="preserve"> is required pursuant to s. 168(3) to register the applicant except in certain circumstances, none of which apply here. Thus, the fact that the petitioner was registered to collect PST cannot be taken as a direction by the Province, or an acknowledgment, that it was permitted or required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Viewed in a generous light, the petitioner's claim is essentially that it was induced into error in its treatment of PST by the communications and advice it says it received from the Ministry. While not specifically pleaded in the petition, the petitioner's claim is akin to an allegation of officially induced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elements required to establish officially induced error were set out by the Supreme Court of Canada in </w:t>
      </w:r>
      <w:r>
        <w:rPr>
          <w:rFonts w:ascii="arial" w:eastAsia="arial" w:hAnsi="arial" w:cs="arial"/>
          <w:i/>
          <w:color w:val="000000"/>
          <w:sz w:val="20"/>
          <w:lang w:val="en-US" w:eastAsia="en-US" w:bidi="ar-SA"/>
        </w:rPr>
        <w:t>Lévis (City) v. Tétreault; Lévis (City) v. 2692-4470 Quebec inc.,</w:t>
      </w:r>
      <w:r>
        <w:rPr>
          <w:rFonts w:ascii="arial" w:eastAsia="arial" w:hAnsi="arial" w:cs="arial"/>
          <w:color w:val="000000"/>
          <w:sz w:val="20"/>
          <w:lang w:val="en-US" w:eastAsia="en-US" w:bidi="ar-SA"/>
        </w:rPr>
        <w:t xml:space="preserve"> </w:t>
      </w:r>
      <w:hyperlink r:id="rId912" w:history="1">
        <w:r>
          <w:rPr>
            <w:rFonts w:ascii="arial" w:eastAsia="arial" w:hAnsi="arial" w:cs="arial"/>
            <w:i/>
            <w:color w:val="0077CC"/>
            <w:sz w:val="20"/>
            <w:u w:val="single"/>
            <w:shd w:val="clear" w:color="auto" w:fill="FFFFFF"/>
            <w:lang w:val="en-US" w:eastAsia="en-US" w:bidi="ar-SA"/>
          </w:rPr>
          <w:t>2006 SCC 12</w:t>
        </w:r>
      </w:hyperlink>
      <w:r>
        <w:rPr>
          <w:rFonts w:ascii="arial" w:eastAsia="arial" w:hAnsi="arial" w:cs="arial"/>
          <w:color w:val="000000"/>
          <w:sz w:val="20"/>
          <w:lang w:val="en-US" w:eastAsia="en-US" w:bidi="ar-SA"/>
        </w:rPr>
        <w:t xml:space="preserve"> at paras. 24 and 26, referring to its earlier decision in </w:t>
      </w:r>
      <w:r>
        <w:rPr>
          <w:rFonts w:ascii="arial" w:eastAsia="arial" w:hAnsi="arial" w:cs="arial"/>
          <w:i/>
          <w:color w:val="000000"/>
          <w:sz w:val="20"/>
          <w:lang w:val="en-US" w:eastAsia="en-US" w:bidi="ar-SA"/>
        </w:rPr>
        <w:t>R. v. Jorgensen</w:t>
      </w:r>
      <w:r>
        <w:rPr>
          <w:rFonts w:ascii="arial" w:eastAsia="arial" w:hAnsi="arial" w:cs="arial"/>
          <w:color w:val="000000"/>
          <w:sz w:val="20"/>
          <w:lang w:val="en-US" w:eastAsia="en-US" w:bidi="ar-SA"/>
        </w:rPr>
        <w:t xml:space="preserve">, </w:t>
      </w:r>
      <w:hyperlink r:id="rId913" w:history="1">
        <w:r>
          <w:rPr>
            <w:rFonts w:ascii="arial" w:eastAsia="arial" w:hAnsi="arial" w:cs="arial"/>
            <w:i/>
            <w:color w:val="0077CC"/>
            <w:sz w:val="20"/>
            <w:u w:val="single"/>
            <w:shd w:val="clear" w:color="auto" w:fill="FFFFFF"/>
            <w:lang w:val="en-US" w:eastAsia="en-US" w:bidi="ar-SA"/>
          </w:rPr>
          <w:t>[1995] 4 S.C.R. 55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In Lamer C.J.'s view, this defence constituted a limited but necessary exception to the rule that ignorance of the law cannot excuse the commission of a criminal offence: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Officially induced error of law exists as an exception to the rule that ignorance of the law does not excuse. As several of the cases where this rule has been discussed note, the complexity of contemporary regulation makes the assumption that a responsible citizen will have a comprehensive knowledge of the law unreasonable. This complexity, however, does not justify rejecting a rule which encourages a responsible citizenry, encourages government to publicize enactments, and is an essential foundation to the rule of law. Rather, extensive regulation is one motive for creating a limited exception to the rule that </w:t>
      </w:r>
      <w:r>
        <w:rPr>
          <w:rFonts w:ascii="arial" w:eastAsia="arial" w:hAnsi="arial" w:cs="arial"/>
          <w:i/>
          <w:color w:val="000000"/>
          <w:sz w:val="20"/>
          <w:lang w:val="en-US" w:eastAsia="en-US" w:bidi="ar-SA"/>
        </w:rPr>
        <w:t>ignorantia juris neminem excusat</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Jorgensen</w:t>
      </w:r>
      <w:r>
        <w:rPr>
          <w:rFonts w:ascii="arial" w:eastAsia="arial" w:hAnsi="arial" w:cs="arial"/>
          <w:color w:val="000000"/>
          <w:sz w:val="20"/>
          <w:lang w:val="en-US" w:eastAsia="en-US" w:bidi="ar-SA"/>
        </w:rPr>
        <w:t>, at para. 25)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After his analysis of the case law, Lamer C.J. defined the constituent elements of the defence and the conditions under which it will be available. In his view, the accused must prove six elements:</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an error of law or of mixed law and fact was made;</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person who committed the act considered the legal consequences of his or her actions;</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advice obtained came from an appropriate official;</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advice was reasonable;</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advice was erroneous; and</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person relied on the advice in committing the act.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Jorgensen</w:t>
      </w:r>
      <w:r>
        <w:rPr>
          <w:rFonts w:ascii="arial" w:eastAsia="arial" w:hAnsi="arial" w:cs="arial"/>
          <w:color w:val="000000"/>
          <w:sz w:val="20"/>
          <w:lang w:val="en-US" w:eastAsia="en-US" w:bidi="ar-SA"/>
        </w:rPr>
        <w:t>, at paras. 28-35)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It is apparent from the Supreme Court's discussion of the doctrine of officially induced error, that its application is limited to serving as a defence to an offence where the requisite elements are established. It is not available to a taxpayer on an appeal of a tax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This point was made by Justice Masse of the Tax Court of Canada, as he then was, in </w:t>
      </w:r>
      <w:r>
        <w:rPr>
          <w:rFonts w:ascii="arial" w:eastAsia="arial" w:hAnsi="arial" w:cs="arial"/>
          <w:i/>
          <w:color w:val="000000"/>
          <w:sz w:val="20"/>
          <w:lang w:val="en-US" w:eastAsia="en-US" w:bidi="ar-SA"/>
        </w:rPr>
        <w:t>Academy of Applied Pharmaceutical Sciences v. The Queen</w:t>
      </w:r>
      <w:r>
        <w:rPr>
          <w:rFonts w:ascii="arial" w:eastAsia="arial" w:hAnsi="arial" w:cs="arial"/>
          <w:color w:val="000000"/>
          <w:sz w:val="20"/>
          <w:lang w:val="en-US" w:eastAsia="en-US" w:bidi="ar-SA"/>
        </w:rPr>
        <w:t xml:space="preserve">, </w:t>
      </w:r>
      <w:hyperlink r:id="rId914" w:history="1">
        <w:r>
          <w:rPr>
            <w:rFonts w:ascii="arial" w:eastAsia="arial" w:hAnsi="arial" w:cs="arial"/>
            <w:i/>
            <w:color w:val="0077CC"/>
            <w:sz w:val="20"/>
            <w:u w:val="single"/>
            <w:shd w:val="clear" w:color="auto" w:fill="FFFFFF"/>
            <w:lang w:val="en-US" w:eastAsia="en-US" w:bidi="ar-SA"/>
          </w:rPr>
          <w:t>2014 TCC 171</w:t>
        </w:r>
      </w:hyperlink>
      <w:r>
        <w:rPr>
          <w:rFonts w:ascii="arial" w:eastAsia="arial" w:hAnsi="arial" w:cs="arial"/>
          <w:color w:val="000000"/>
          <w:sz w:val="20"/>
          <w:lang w:val="en-US" w:eastAsia="en-US" w:bidi="ar-SA"/>
        </w:rPr>
        <w:t>, which involved an appeal from a Harmonized Sales Tax/Goods and Services Tax assessment. Justice Masse said at paras. 24-26: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I also must consider a doctrine that is very much related to the principle of estoppel, that of officially induced error. This principle ties in with the argument that the Appellant was induced into a course of conduct that was to its detriment as a result of erroneous advice given by Ms. Yu, an official with the CRA. I am of the view that the doctrine of officially induced error is simply not applicable to cases of appeals of tax assessments. In the case of </w:t>
      </w:r>
      <w:r>
        <w:rPr>
          <w:rFonts w:ascii="arial" w:eastAsia="arial" w:hAnsi="arial" w:cs="arial"/>
          <w:i/>
          <w:color w:val="000000"/>
          <w:sz w:val="20"/>
          <w:lang w:val="en-US" w:eastAsia="en-US" w:bidi="ar-SA"/>
        </w:rPr>
        <w:t>Brenda G. Klassen v. The Queen</w:t>
      </w:r>
      <w:r>
        <w:rPr>
          <w:rFonts w:ascii="arial" w:eastAsia="arial" w:hAnsi="arial" w:cs="arial"/>
          <w:color w:val="000000"/>
          <w:sz w:val="20"/>
          <w:lang w:val="en-US" w:eastAsia="en-US" w:bidi="ar-SA"/>
        </w:rPr>
        <w:t xml:space="preserve">, </w:t>
      </w:r>
      <w:hyperlink r:id="rId915" w:history="1">
        <w:r>
          <w:rPr>
            <w:rFonts w:ascii="arial" w:eastAsia="arial" w:hAnsi="arial" w:cs="arial"/>
            <w:i/>
            <w:color w:val="0077CC"/>
            <w:sz w:val="20"/>
            <w:u w:val="single"/>
            <w:shd w:val="clear" w:color="auto" w:fill="FFFFFF"/>
            <w:lang w:val="en-US" w:eastAsia="en-US" w:bidi="ar-SA"/>
          </w:rPr>
          <w:t>2007 FCA 339</w:t>
        </w:r>
      </w:hyperlink>
      <w:r>
        <w:rPr>
          <w:rFonts w:ascii="arial" w:eastAsia="arial" w:hAnsi="arial" w:cs="arial"/>
          <w:color w:val="000000"/>
          <w:sz w:val="20"/>
          <w:lang w:val="en-US" w:eastAsia="en-US" w:bidi="ar-SA"/>
        </w:rPr>
        <w:t>, Justice Noël of the Federal Court of Appeal definitively stated that such is in fact the case. Justice Noël stated at paragraph 27:</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Finally, I see no basis in the appellant's contention that the assessment should be varied based on an officially induced error. It is trite law that the relief granted by the courts in an appeal against a reassessment under ITA must be based on the law. If in fact the appellant was misled through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some other remedy may be available. However, no relief can be granted on this basis in the context of a tax appeal.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In addition, the learned author David Sherman in his work </w:t>
      </w:r>
      <w:r>
        <w:rPr>
          <w:rFonts w:ascii="arial" w:eastAsia="arial" w:hAnsi="arial" w:cs="arial"/>
          <w:i/>
          <w:color w:val="000000"/>
          <w:sz w:val="20"/>
          <w:lang w:val="en-US" w:eastAsia="en-US" w:bidi="ar-SA"/>
        </w:rPr>
        <w:t>Canada GST Service -- Sherman, Carswell, Toronto</w:t>
      </w:r>
      <w:r>
        <w:rPr>
          <w:rFonts w:ascii="arial" w:eastAsia="arial" w:hAnsi="arial" w:cs="arial"/>
          <w:color w:val="000000"/>
          <w:sz w:val="20"/>
          <w:lang w:val="en-US" w:eastAsia="en-US" w:bidi="ar-SA"/>
        </w:rPr>
        <w:t>, arrives at the same conclusion. The author states: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 criminal law context (such as a trial on charges for evasion of GST), one could likely rely on "officially induced error of law" as a defence. See </w:t>
      </w:r>
      <w:r>
        <w:rPr>
          <w:rFonts w:ascii="arial" w:eastAsia="arial" w:hAnsi="arial" w:cs="arial"/>
          <w:i/>
          <w:color w:val="000000"/>
          <w:sz w:val="20"/>
          <w:lang w:val="en-US" w:eastAsia="en-US" w:bidi="ar-SA"/>
        </w:rPr>
        <w:t>R. v. Jorgensen</w:t>
      </w:r>
      <w:r>
        <w:rPr>
          <w:rFonts w:ascii="arial" w:eastAsia="arial" w:hAnsi="arial" w:cs="arial"/>
          <w:color w:val="000000"/>
          <w:sz w:val="20"/>
          <w:lang w:val="en-US" w:eastAsia="en-US" w:bidi="ar-SA"/>
        </w:rPr>
        <w:t xml:space="preserve">, </w:t>
      </w:r>
      <w:hyperlink r:id="rId913" w:history="1">
        <w:r>
          <w:rPr>
            <w:rFonts w:ascii="arial" w:eastAsia="arial" w:hAnsi="arial" w:cs="arial"/>
            <w:i/>
            <w:color w:val="0077CC"/>
            <w:sz w:val="20"/>
            <w:u w:val="single"/>
            <w:shd w:val="clear" w:color="auto" w:fill="FFFFFF"/>
            <w:lang w:val="en-US" w:eastAsia="en-US" w:bidi="ar-SA"/>
          </w:rPr>
          <w:t>[1995] 4 S.C.R. 55</w:t>
        </w:r>
      </w:hyperlink>
      <w:r>
        <w:rPr>
          <w:rFonts w:ascii="arial" w:eastAsia="arial" w:hAnsi="arial" w:cs="arial"/>
          <w:color w:val="000000"/>
          <w:sz w:val="20"/>
          <w:lang w:val="en-US" w:eastAsia="en-US" w:bidi="ar-SA"/>
        </w:rPr>
        <w:t xml:space="preserve"> (S.C.C.). This does not apply to appeals of tax assessments, however.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Therefore, just like the equitable doctrine of estoppel, the doctrine of officially induced error also is not available as a remedy in tax appeals.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Thus even if the communications from the Ministry to the petitioner could be construed as "advice" concerning the petitioner's PST obligations, which I reject, the petitioner cannot rely on that advice to avoid its liability for the PST.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 a further alternative, the petitioner alleges that its actions were the result of negligent misrepresentations made by the Ministry in the December 28, 2012 letter and subsequent correspondence.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necessary elements for establishing a claim in negligent misrepresentation are well known and are set out by the Supreme Court of Canada in </w:t>
      </w:r>
      <w:r>
        <w:rPr>
          <w:rFonts w:ascii="arial" w:eastAsia="arial" w:hAnsi="arial" w:cs="arial"/>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at 110, </w:t>
      </w:r>
      <w:hyperlink r:id="rId707" w:history="1">
        <w:r>
          <w:rPr>
            <w:rFonts w:ascii="arial" w:eastAsia="arial" w:hAnsi="arial" w:cs="arial"/>
            <w:i/>
            <w:color w:val="0077CC"/>
            <w:sz w:val="20"/>
            <w:u w:val="single"/>
            <w:shd w:val="clear" w:color="auto" w:fill="FFFFFF"/>
            <w:lang w:val="en-US" w:eastAsia="en-US" w:bidi="ar-SA"/>
          </w:rPr>
          <w:t>99 D.L.R. (4th) 626</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of care based on a "special relationship" between the representor and the representee; (2) the representation in question must be untrue, inaccurate, or misleading; (3) the representor must have acted negligently in making said misrepresentation; (4) the representee must have relied, in a reasonable manner, on the negligent misrepresentation; and (5) the reliance must have been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petitioner's claim fails under the first element. In administering the PST under the </w:t>
      </w:r>
      <w:r>
        <w:rPr>
          <w:rFonts w:ascii="arial" w:eastAsia="arial" w:hAnsi="arial" w:cs="arial"/>
          <w:i/>
          <w:color w:val="000000"/>
          <w:sz w:val="20"/>
          <w:lang w:val="en-US" w:eastAsia="en-US" w:bidi="ar-SA"/>
        </w:rPr>
        <w:t>PSTA</w:t>
      </w:r>
      <w:r>
        <w:rPr>
          <w:rFonts w:ascii="arial" w:eastAsia="arial" w:hAnsi="arial" w:cs="arial"/>
          <w:color w:val="000000"/>
          <w:sz w:val="20"/>
          <w:lang w:val="en-US" w:eastAsia="en-US" w:bidi="ar-SA"/>
        </w:rPr>
        <w:t>, the Ministry owes public law duties to do so in accordance with the provisions of the Act and in the best interests of the provincial treasury. No "special relationship" or relationship of proximity exists vis-à-vis individual taxpayers.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Leighton v. Canada (Attorney General)</w:t>
      </w:r>
      <w:r>
        <w:rPr>
          <w:rFonts w:ascii="arial" w:eastAsia="arial" w:hAnsi="arial" w:cs="arial"/>
          <w:color w:val="000000"/>
          <w:sz w:val="20"/>
          <w:lang w:val="en-US" w:eastAsia="en-US" w:bidi="ar-SA"/>
        </w:rPr>
        <w:t xml:space="preserve">, </w:t>
      </w:r>
      <w:hyperlink r:id="rId916" w:history="1">
        <w:r>
          <w:rPr>
            <w:rFonts w:ascii="arial" w:eastAsia="arial" w:hAnsi="arial" w:cs="arial"/>
            <w:i/>
            <w:color w:val="0077CC"/>
            <w:sz w:val="20"/>
            <w:u w:val="single"/>
            <w:shd w:val="clear" w:color="auto" w:fill="FFFFFF"/>
            <w:lang w:val="en-US" w:eastAsia="en-US" w:bidi="ar-SA"/>
          </w:rPr>
          <w:t>2012 BCSC 961</w:t>
        </w:r>
      </w:hyperlink>
      <w:r>
        <w:rPr>
          <w:rFonts w:ascii="arial" w:eastAsia="arial" w:hAnsi="arial" w:cs="arial"/>
          <w:color w:val="000000"/>
          <w:sz w:val="20"/>
          <w:lang w:val="en-US" w:eastAsia="en-US" w:bidi="ar-SA"/>
        </w:rPr>
        <w:t xml:space="preserve">, Madam Justice Fisher considered a proposed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Canada Revenue Agency and certain of its employees in respect of their handling of an audit and resulting assessment. After reviewing a number of authorities, Madam Justice Fisher said at paras. 54, 57-58: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These cases demonstrate that proximity is not established where statutory duties are owed to the public. The income tax system relies on self reporting by taxpayers and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gives the Minister and his delegates broad powers in supervising the scheme of assessing and auditing taxpayers. CRA and taxpayers have opposing interests. The relationship is not one where CRA auditors should be responsible for protecting taxpayers from losses arising from their assessments. In these circumstances, policy considerations would militate against a finding of proximity between CRA and individual taxpayers: see </w:t>
      </w:r>
      <w:r>
        <w:rPr>
          <w:rFonts w:ascii="arial" w:eastAsia="arial" w:hAnsi="arial" w:cs="arial"/>
          <w:i/>
          <w:color w:val="000000"/>
          <w:sz w:val="20"/>
          <w:lang w:val="en-US" w:eastAsia="en-US" w:bidi="ar-SA"/>
        </w:rPr>
        <w:t>783783 Alberta Ltd.</w:t>
      </w:r>
      <w:r>
        <w:rPr>
          <w:rFonts w:ascii="arial" w:eastAsia="arial" w:hAnsi="arial" w:cs="arial"/>
          <w:color w:val="000000"/>
          <w:sz w:val="20"/>
          <w:lang w:val="en-US" w:eastAsia="en-US" w:bidi="ar-SA"/>
        </w:rPr>
        <w:t xml:space="preserve"> </w:t>
      </w:r>
      <w:hyperlink r:id="rId917" w:history="1">
        <w:r>
          <w:rPr>
            <w:rFonts w:ascii="arial" w:eastAsia="arial" w:hAnsi="arial" w:cs="arial"/>
            <w:i/>
            <w:color w:val="0077CC"/>
            <w:sz w:val="20"/>
            <w:u w:val="single"/>
            <w:shd w:val="clear" w:color="auto" w:fill="FFFFFF"/>
            <w:lang w:val="en-US" w:eastAsia="en-US" w:bidi="ar-SA"/>
          </w:rPr>
          <w:t>[2010] A.J. No. 783</w:t>
        </w:r>
      </w:hyperlink>
      <w:r>
        <w:rPr>
          <w:rFonts w:ascii="arial" w:eastAsia="arial" w:hAnsi="arial" w:cs="arial"/>
          <w:color w:val="000000"/>
          <w:sz w:val="20"/>
          <w:lang w:val="en-US" w:eastAsia="en-US" w:bidi="ar-SA"/>
        </w:rPr>
        <w:t xml:space="preserve"> at paras. 45-46; </w:t>
      </w:r>
      <w:r>
        <w:rPr>
          <w:rFonts w:ascii="arial" w:eastAsia="arial" w:hAnsi="arial" w:cs="arial"/>
          <w:i/>
          <w:color w:val="000000"/>
          <w:sz w:val="20"/>
          <w:lang w:val="en-US" w:eastAsia="en-US" w:bidi="ar-SA"/>
        </w:rPr>
        <w:t>Syl Apps Secure Treatment Centre v B.D.</w:t>
      </w:r>
      <w:r>
        <w:rPr>
          <w:rFonts w:ascii="arial" w:eastAsia="arial" w:hAnsi="arial" w:cs="arial"/>
          <w:color w:val="000000"/>
          <w:sz w:val="20"/>
          <w:lang w:val="en-US" w:eastAsia="en-US" w:bidi="ar-SA"/>
        </w:rPr>
        <w:t xml:space="preserve">, </w:t>
      </w:r>
      <w:hyperlink r:id="rId918" w:history="1">
        <w:r>
          <w:rPr>
            <w:rFonts w:ascii="arial" w:eastAsia="arial" w:hAnsi="arial" w:cs="arial"/>
            <w:i/>
            <w:color w:val="0077CC"/>
            <w:sz w:val="20"/>
            <w:u w:val="single"/>
            <w:shd w:val="clear" w:color="auto" w:fill="FFFFFF"/>
            <w:lang w:val="en-US" w:eastAsia="en-US" w:bidi="ar-SA"/>
          </w:rPr>
          <w:t>2007 SCC 38</w:t>
        </w:r>
      </w:hyperlink>
      <w:r>
        <w:rPr>
          <w:rFonts w:ascii="arial" w:eastAsia="arial" w:hAnsi="arial" w:cs="arial"/>
          <w:color w:val="000000"/>
          <w:sz w:val="20"/>
          <w:lang w:val="en-US" w:eastAsia="en-US" w:bidi="ar-SA"/>
        </w:rPr>
        <w:t xml:space="preserve"> at para. 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In my view, there is simply no basis to establish any proximity of relationship in these circumstances. I agree with the submissions of the defendants that it is plain and obvious that no proximity exists between the CRA and its employees and Mr. Leighton, and therefore there can be no private law duty of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[58] It is not necessary to consider the second stage of the Anns-Cooper test. However, it is my view that there are residual policy considerations that would militate against recognizing a duty of care in this case, one example being that the effect of recognizing a duty of care would conflict with the CRA's broad duties under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to ensure that all taxes lawfully owing are correctly assessed and collected.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my view, Madam Justice Fisher's comments apply with equal force to the role of the Ministry here and its relationship to the petitioner.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For all of these reasons, this ground of the petitioner's appeal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Audit and Assessment are Unreasonable and Unfair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Many of the petitioner's complaints about the fairness of the process overlap with its allegations considered above concerning the correspondence received from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However, the petitioner also alleges that the Ministry acted unfairly and unreasonably by failing to provide it with clear and timely information about changes to the PST. In this regard, the petitioner cites s. 19(2) of the </w:t>
      </w:r>
      <w:r>
        <w:rPr>
          <w:rFonts w:ascii="arial" w:eastAsia="arial" w:hAnsi="arial" w:cs="arial"/>
          <w:i/>
          <w:color w:val="000000"/>
          <w:sz w:val="20"/>
          <w:lang w:val="en-US" w:eastAsia="en-US" w:bidi="ar-SA"/>
        </w:rPr>
        <w:t>Budget Transparency and Accountability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2000, c. 23</w:t>
      </w:r>
      <w:r>
        <w:rPr>
          <w:rFonts w:ascii="arial" w:eastAsia="arial" w:hAnsi="arial" w:cs="arial"/>
          <w:color w:val="000000"/>
          <w:sz w:val="20"/>
          <w:lang w:val="en-US" w:eastAsia="en-US" w:bidi="ar-SA"/>
        </w:rPr>
        <w:t>,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(1) ...</w:t>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preparing documents to be made public under this Act, all reasonable efforts must be made to present the information in a form and language that is as precise and as readily understandable as practicable.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my view, while this provision sets out an objective to be met in the preparation of documents intended for the public, it does not impose a duty on Ministry officials nor does it create an actionable right on the part of a taxpayer.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As submitted by the Province, tax legislation frequently changes and the Ministry does not, and indeed could not, contact every potentially affected business to inform them of the changes. Again, the responsibility lies with the taxpayer to understand its tax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Petitioner Exercised Due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petitioner relies on the defence of due diligence and cites a number of provisions of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57</w:t>
      </w:r>
      <w:r>
        <w:rPr>
          <w:rFonts w:ascii="arial" w:eastAsia="arial" w:hAnsi="arial" w:cs="arial"/>
          <w:color w:val="000000"/>
          <w:sz w:val="20"/>
          <w:lang w:val="en-US" w:eastAsia="en-US" w:bidi="ar-SA"/>
        </w:rPr>
        <w:t>, that deal with the obligations and liabilities of directors (for example, ss. 142(1), 157(1) and 234).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Due diligence is a recognized defence to offences and administrative penalties: </w:t>
      </w:r>
      <w:r>
        <w:rPr>
          <w:rFonts w:ascii="arial" w:eastAsia="arial" w:hAnsi="arial" w:cs="arial"/>
          <w:i/>
          <w:color w:val="000000"/>
          <w:sz w:val="20"/>
          <w:lang w:val="en-US" w:eastAsia="en-US" w:bidi="ar-SA"/>
        </w:rPr>
        <w:t>Pillar Oilfield Projects Ltd. v. Canada</w:t>
      </w:r>
      <w:r>
        <w:rPr>
          <w:rFonts w:ascii="arial" w:eastAsia="arial" w:hAnsi="arial" w:cs="arial"/>
          <w:color w:val="000000"/>
          <w:sz w:val="20"/>
          <w:lang w:val="en-US" w:eastAsia="en-US" w:bidi="ar-SA"/>
        </w:rPr>
        <w:t xml:space="preserve">, </w:t>
      </w:r>
      <w:hyperlink r:id="rId919" w:history="1">
        <w:r>
          <w:rPr>
            <w:rFonts w:ascii="arial" w:eastAsia="arial" w:hAnsi="arial" w:cs="arial"/>
            <w:i/>
            <w:color w:val="0077CC"/>
            <w:sz w:val="20"/>
            <w:u w:val="single"/>
            <w:shd w:val="clear" w:color="auto" w:fill="FFFFFF"/>
            <w:lang w:val="en-US" w:eastAsia="en-US" w:bidi="ar-SA"/>
          </w:rPr>
          <w:t>[1993] T.C.J. No 764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Corporation de l'École Polytechnique v. Canada</w:t>
      </w:r>
      <w:r>
        <w:rPr>
          <w:rFonts w:ascii="arial" w:eastAsia="arial" w:hAnsi="arial" w:cs="arial"/>
          <w:color w:val="000000"/>
          <w:sz w:val="20"/>
          <w:lang w:val="en-US" w:eastAsia="en-US" w:bidi="ar-SA"/>
        </w:rPr>
        <w:t xml:space="preserve">, </w:t>
      </w:r>
      <w:hyperlink r:id="rId920" w:history="1">
        <w:r>
          <w:rPr>
            <w:rFonts w:ascii="arial" w:eastAsia="arial" w:hAnsi="arial" w:cs="arial"/>
            <w:i/>
            <w:color w:val="0077CC"/>
            <w:sz w:val="20"/>
            <w:u w:val="single"/>
            <w:shd w:val="clear" w:color="auto" w:fill="FFFFFF"/>
            <w:lang w:val="en-US" w:eastAsia="en-US" w:bidi="ar-SA"/>
          </w:rPr>
          <w:t>2004 FCA 127</w:t>
        </w:r>
      </w:hyperlink>
      <w:r>
        <w:rPr>
          <w:rFonts w:ascii="arial" w:eastAsia="arial" w:hAnsi="arial" w:cs="arial"/>
          <w:color w:val="000000"/>
          <w:sz w:val="20"/>
          <w:lang w:val="en-US" w:eastAsia="en-US" w:bidi="ar-SA"/>
        </w:rPr>
        <w:t>. However, I am not aware of any case in which due diligence has been successfully argued on an appeal from a tax assessment. Indeed, to permit such an argument to succeed would be inconsistent with the principle, referred to above, that responsibility for determining tax liability rests at first instance with the taxpayer.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would therefore not accede to this ground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Potential Refund Claims by the Petitioner's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One of the points advanced by the petitioner in its appeal to the Minister was that the Assessment constituted double taxation because the petitioner had already collected PST from its customers and remitted those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As set out above in para. 26, the ADM rejected that argument on the basis that double taxation only occurs when a single taxpayer is taxed more than once in respect of the same transaction. The ADM also indicated that the petitioner's customers could apply for a refund of the PST wrongly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petitioner, however, points to s. 166(1)(a) of the </w:t>
      </w:r>
      <w:r>
        <w:rPr>
          <w:rFonts w:ascii="arial" w:eastAsia="arial" w:hAnsi="arial" w:cs="arial"/>
          <w:i/>
          <w:color w:val="000000"/>
          <w:sz w:val="20"/>
          <w:lang w:val="en-US" w:eastAsia="en-US" w:bidi="ar-SA"/>
        </w:rPr>
        <w:t>PSTA</w:t>
      </w:r>
      <w:r>
        <w:rPr>
          <w:rFonts w:ascii="arial" w:eastAsia="arial" w:hAnsi="arial" w:cs="arial"/>
          <w:color w:val="000000"/>
          <w:sz w:val="20"/>
          <w:lang w:val="en-US" w:eastAsia="en-US" w:bidi="ar-SA"/>
        </w:rPr>
        <w:t xml:space="preserve"> which provides that no refunds will be paid for amounts of less than $10.00. According to the petitioner, this means that the majority of its customers will not in fact be able to get a refund, thus the Province will keep much of the PST wrongly remitted.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petitioner's position does not account for the fact, as reflected in the invoices attached to Mr. Bagnall's affidavit, that many of its customers were issued multiple invoices in which the cumulative amount of the PST charges exceeds the $10.00 limit thus entitling those customers to apply for a refund.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Moreover, whether or not a customer applies for and receives a refund has no bearing on the petitioner's liability to pay PST under the </w:t>
      </w:r>
      <w:r>
        <w:rPr>
          <w:rFonts w:ascii="arial" w:eastAsia="arial" w:hAnsi="arial" w:cs="arial"/>
          <w:i/>
          <w:color w:val="000000"/>
          <w:sz w:val="20"/>
          <w:lang w:val="en-US" w:eastAsia="en-US" w:bidi="ar-SA"/>
        </w:rPr>
        <w:t>PSTA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Miscellaneous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At para. 2 of its second amended petition, the petitioner claims damages for "loss of income and financial and emotional hardship". While such claims might form part of an action for negligent misrepresentation, they are not properly included in a statutory appeal under the </w:t>
      </w:r>
      <w:r>
        <w:rPr>
          <w:rFonts w:ascii="arial" w:eastAsia="arial" w:hAnsi="arial" w:cs="arial"/>
          <w:i/>
          <w:color w:val="000000"/>
          <w:sz w:val="20"/>
          <w:lang w:val="en-US" w:eastAsia="en-US" w:bidi="ar-SA"/>
        </w:rPr>
        <w:t>PSTA</w:t>
      </w:r>
      <w:r>
        <w:rPr>
          <w:rFonts w:ascii="arial" w:eastAsia="arial" w:hAnsi="arial" w:cs="arial"/>
          <w:color w:val="000000"/>
          <w:sz w:val="20"/>
          <w:lang w:val="en-US" w:eastAsia="en-US" w:bidi="ar-SA"/>
        </w:rPr>
        <w:t>. Moreover, as set out above, the petitioner's allegation of negligent misrepresentation has not been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petitioner also challenges the constitutionality of the </w:t>
      </w:r>
      <w:r>
        <w:rPr>
          <w:rFonts w:ascii="arial" w:eastAsia="arial" w:hAnsi="arial" w:cs="arial"/>
          <w:i/>
          <w:color w:val="000000"/>
          <w:sz w:val="20"/>
          <w:lang w:val="en-US" w:eastAsia="en-US" w:bidi="ar-SA"/>
        </w:rPr>
        <w:t>PSTA</w:t>
      </w:r>
      <w:r>
        <w:rPr>
          <w:rFonts w:ascii="arial" w:eastAsia="arial" w:hAnsi="arial" w:cs="arial"/>
          <w:color w:val="000000"/>
          <w:sz w:val="20"/>
          <w:lang w:val="en-US" w:eastAsia="en-US" w:bidi="ar-SA"/>
        </w:rPr>
        <w:t xml:space="preserve"> and alleges breaches of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Part I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xml:space="preserve">, being Schedule B to the </w:t>
      </w:r>
      <w:r>
        <w:rPr>
          <w:rFonts w:ascii="arial" w:eastAsia="arial" w:hAnsi="arial" w:cs="arial"/>
          <w:i/>
          <w:color w:val="000000"/>
          <w:sz w:val="20"/>
          <w:lang w:val="en-US" w:eastAsia="en-US" w:bidi="ar-SA"/>
        </w:rPr>
        <w:t>Canada Act 1982</w:t>
      </w:r>
      <w:r>
        <w:rPr>
          <w:rFonts w:ascii="arial" w:eastAsia="arial" w:hAnsi="arial" w:cs="arial"/>
          <w:color w:val="000000"/>
          <w:sz w:val="20"/>
          <w:lang w:val="en-US" w:eastAsia="en-US" w:bidi="ar-SA"/>
        </w:rPr>
        <w:t xml:space="preserve"> (U.K.) 1982, c. 11, however these arguments were not developed either in the petition or in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 do not propose to say anything further about these points other than that they lack merit. In any event, no notice was given by the petitioner under the </w:t>
      </w:r>
      <w:r>
        <w:rPr>
          <w:rFonts w:ascii="arial" w:eastAsia="arial" w:hAnsi="arial" w:cs="arial"/>
          <w:i/>
          <w:color w:val="000000"/>
          <w:sz w:val="20"/>
          <w:lang w:val="en-US" w:eastAsia="en-US" w:bidi="ar-SA"/>
        </w:rPr>
        <w:t>Constitutional Question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68</w:t>
      </w:r>
      <w:r>
        <w:rPr>
          <w:rFonts w:ascii="arial" w:eastAsia="arial" w:hAnsi="arial" w:cs="arial"/>
          <w:color w:val="000000"/>
          <w:sz w:val="20"/>
          <w:lang w:val="en-US" w:eastAsia="en-US" w:bidi="ar-SA"/>
        </w:rPr>
        <w:t>, and, as such, the petitioner may not seek a constitutional remedy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evidence also reveals that there appears to have been some miscommunication between the parties concerning the Province's attempts to collect under the Assessment. Guy Popham, a collection officer employed by the Ministry, deposed that he sent a number of letters to the petitioner requesting payment of the amount owing. For his part, Mr. Bagnall deposed that the petitioner did not receive such letters and he suggests that Mr. Popham's statements "are untrue, completely false and appear fabricated".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It is evident that the Province pursued collection of the amount owing notwithstanding the petitioner's ongoing appeal, first to the Minister and then to this Court. This no doubt further exacerbated the frustration felt by Mr. and Mrs. Bagnall who believed they and the petitioner were being treated unfairly.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However, the Province was entitled to do as it did given that s. 214 of the </w:t>
      </w:r>
      <w:r>
        <w:rPr>
          <w:rFonts w:ascii="arial" w:eastAsia="arial" w:hAnsi="arial" w:cs="arial"/>
          <w:i/>
          <w:color w:val="000000"/>
          <w:sz w:val="20"/>
          <w:lang w:val="en-US" w:eastAsia="en-US" w:bidi="ar-SA"/>
        </w:rPr>
        <w:t>PSTA</w:t>
      </w:r>
      <w:r>
        <w:rPr>
          <w:rFonts w:ascii="arial" w:eastAsia="arial" w:hAnsi="arial" w:cs="arial"/>
          <w:color w:val="000000"/>
          <w:sz w:val="20"/>
          <w:lang w:val="en-US" w:eastAsia="en-US" w:bidi="ar-SA"/>
        </w:rPr>
        <w:t xml:space="preserve"> provides that the filing of an appeal does not operate to stay the collection of the amount 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 would add that subsequent to the hearing of the appeal before me, and notwithstanding s. 214 of the </w:t>
      </w:r>
      <w:r>
        <w:rPr>
          <w:rFonts w:ascii="arial" w:eastAsia="arial" w:hAnsi="arial" w:cs="arial"/>
          <w:i/>
          <w:color w:val="000000"/>
          <w:sz w:val="20"/>
          <w:lang w:val="en-US" w:eastAsia="en-US" w:bidi="ar-SA"/>
        </w:rPr>
        <w:t>PSTA</w:t>
      </w:r>
      <w:r>
        <w:rPr>
          <w:rFonts w:ascii="arial" w:eastAsia="arial" w:hAnsi="arial" w:cs="arial"/>
          <w:color w:val="000000"/>
          <w:sz w:val="20"/>
          <w:lang w:val="en-US" w:eastAsia="en-US" w:bidi="ar-SA"/>
        </w:rPr>
        <w:t>, I ordered that any ongoing enforcement of the Assessment be stayed pending the release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For all of the above reasons, the petition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normal costs order in a case of this nature is that the Province, as the successful party, is entitled to its costs. That is the order that I am inclined to make, with costs fixed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However, the Province asked that it be given an opportunity to speak to costs after the determination of the petition. If the parties cannot agree on costs then arrangements to speak to the issue may be made through Supreme Court Scheduling.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 SKOLROOD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61" style="position:absolute;z-index:251895808"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Canadian Maritime Engineering Ltd. v. British Columbia Ferry Services Inc., [2013] B.C.J. No. 1375</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Chartrand v. Grace Lutheran Church Society, [2003] B.C.J. No. 2105</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Cherniwchan v. Royal Columbian Hospital, [2005] B.C.J. No. 46</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Claiter v. Rose, [2004] B.C.J. No. 56</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Esser v. Brown, [2003] B.C.J. No. 354</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Falbo v. Coutts, [2000] B.C.J. No. 504</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Frost v. Whistler (Resort Municipality), [2003] B.C.J. No. 17</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Hama v. Capilano Suspension Bridge Holdings Ltd. (c.o.b. Capilano Suspension Bridge and Park), [2002] B.C.J. No. 2212</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Hart v. Texmo, [2003] B.C.J. No. 1673</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Hopkins (Committee of) v. Wellington, [2000] B.C.J. No. 1436</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Ibrahim v. Ansari, [2016] B.C.J. No. 1316</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Knowles v. Hett, [2002] B.C.J. No. 1465</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L.A.F. v. G.M.F.C. Ltd., [2019] B.C.J. No. 2522</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Lipinski v. Mein, [2004] B.C.J. No. 2270</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Neff v. Patry, [2005] B.C.J. No. 2390</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Pearse v. Canpar Transport Ltd., [2002] B.C.J. No. 1504</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Raina v. Shaw, [2006] B.C.J. No. 1219</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Robertson (Guardian ad litem of) v. Gottfriedson (Guardian ad litem of), [2003] B.C.J. No. 2045</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Robinson v. Lions Gate Hospital, [2003] B.C.J. No. 2094</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Schaffer v. Murphy, [2000] B.C.J. No. 618</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Segal v. Frimer, [2002] B.C.J. No. 2027</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VR 2402 v. R. 118 Developments Inc., [2004] B.C.J. No. 1393</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Thiessen v. Kover, [2008] B.C.J. No. 2032</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Tradelink Distribution Ltd. (Canada) v. Rand &amp; Fowler Insurance Ltd., [2001] B.C.J. No. 110</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Wilson v. Ham, [2004] B.C.J. No. 1266</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A.E. (Litigation guardian of) v. D.W.J., [2009] B.C.J. No. 748</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Auton (Guardian ad litem of) v. British Columbia (Minister of Health), [2001] B.C.J. No. 215</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Bank of Montreal v. Tseshaht Indian Band, [2003] B.C.J. No. 1649</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B.C. Marine Industry Standard Welfare Plan (Trustees of) v. Dizdarevich, [2004] B.C.J. No. 1049</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Blake v. Buy-Low Foods Ltd., [2002] B.C.J. No. 2672</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B.P.Y.A. 1693 Holdings Ltd. (c.o.b. Kootenay Honda) v. Innovators Insurance Agencies Ltd., [2001] B.C.J. No. 1423</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Breakaway Futures Ltd. v. Woody Life Village Resort Ltd., [2003] B.C.J. No. 826</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British Columbia v. British Columbia Rapid Transit Co., [2013] B.C.J. No. 1941</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Elwood v. Bridgestone Corp., [2004] B.C.J. No. 1476</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Endean v. Canadian Red Cross Society, [2000] B.C.J. No. 1254</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Ewing v. Sidhu, [2000] B.C.J. No. 1528</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Ferguson v. British Columbia Nurses' Union, [2005] B.C.J. No. 1468</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Freshway Specialty Foods Inc. v. Map Produce LLC, [2005] B.C.J. No. 2302</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Gibson v. Insurance Corp. of British Columbia, [2016] B.C.J. No. 943</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Henry v. British Columbia, [2014] B.C.J. No. 1132</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Honey v. Star-FM Radio Inc., [2000] B.C.J. No. 1117</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Hungerford Tomyn Lawrenson and Nichols v. Mide-Wilson, [2011] B.C.J. No. 2019</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Insurance Corp. of British Columbia v. General Accident Assurance Co. of Canada, [2002] B.C.J. No. 2596</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J.S. (Guardian ad litem of) v. D.S., [2001] B.C.J. No. 2383</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Kalmbach v. Diemert, [2000] B.C.J. No. 8</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Klym Estate v. Bank of Montreal, [2005] B.C.J. No. 631</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Kobelt Manufacturing Co. v. Pacific Rim Engineered Products (1987) Ltd., [2011] B.C.J. No. 286</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Lawrence v. Sandilands, [2003] B.C.J. No. 343</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Lee v. Transamerica Life Canada, [2017] B.C.J. No. 960</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Maxwell's Plumbing and Heating Ltd. v. British Columbia, [2016] B.C.J. No. 1243</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5"/>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C)"/>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2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2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2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2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2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3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3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3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1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1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2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8"/>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9"/>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1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1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1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1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5"/>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4"/>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B)"/>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C)"/>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D)"/>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E)"/>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upperLetter"/>
      <w:lvlText w:val="(%1)"/>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B)"/>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lowerRoman"/>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i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upperLetter"/>
      <w:lvlText w:val="(%1)"/>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B)"/>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C)"/>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6"/>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9"/>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decimal"/>
      <w:lvlText w:val="f)"/>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decimal"/>
      <w:lvlText w:val="c)"/>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decimal"/>
      <w:lvlText w:val="c)"/>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decimal"/>
      <w:lvlText w:val="b)"/>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decimal"/>
      <w:lvlText w:val="b)"/>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decimal"/>
      <w:lvlText w:val="c)"/>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
      <w:numFmt w:val="decimal"/>
      <w:lvlText w:val="d)"/>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1"/>
      <w:numFmt w:val="decimal"/>
      <w:lvlText w:val="c)"/>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1"/>
      <w:numFmt w:val="decimal"/>
      <w:lvlText w:val="d)"/>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1"/>
      <w:numFmt w:val="decimal"/>
      <w:lvlText w:val="b)"/>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1"/>
      <w:numFmt w:val="decimal"/>
      <w:lvlText w:val="c)"/>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1"/>
      <w:numFmt w:val="lowerLetter"/>
      <w:lvlText w:val=" %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1"/>
      <w:numFmt w:val="decimal"/>
      <w:lvlText w:val="9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1"/>
      <w:numFmt w:val="decimal"/>
      <w:lvlText w:val="9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1"/>
      <w:numFmt w:val="decimal"/>
      <w:lvlText w:val="9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1"/>
      <w:numFmt w:val="decimal"/>
      <w:lvlText w:val="9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
      <w:numFmt w:val="decimal"/>
      <w:lvlText w:val="9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1"/>
      <w:numFmt w:val="decimal"/>
      <w:lvlText w:val="c)"/>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1"/>
      <w:numFmt w:val="decimal"/>
      <w:lvlText w:val="c)"/>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1"/>
      <w:numFmt w:val="decimal"/>
      <w:lvlText w:val="d)"/>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1"/>
      <w:numFmt w:val="decimal"/>
      <w:lvlText w:val="e)"/>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1"/>
      <w:numFmt w:val="decimal"/>
      <w:lvlText w:val="f)"/>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1"/>
      <w:numFmt w:val="decimal"/>
      <w:lvlText w:val="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1"/>
      <w:numFmt w:val="decimal"/>
      <w:lvlText w:val="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1"/>
      <w:numFmt w:val="decimal"/>
      <w:lvlText w:val="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1"/>
      <w:numFmt w:val="decimal"/>
      <w:lvlText w:val="b)"/>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1"/>
      <w:numFmt w:val="decimal"/>
      <w:lvlText w:val="c)"/>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multilevel"/>
    <w:tmpl w:val="00000079"/>
    <w:lvl w:ilvl="0">
      <w:start w:val="1"/>
      <w:numFmt w:val="decimal"/>
      <w:lvlText w:val="d)"/>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000007A"/>
    <w:multiLevelType w:val="multilevel"/>
    <w:tmpl w:val="0000007A"/>
    <w:lvl w:ilvl="0">
      <w:start w:val="1"/>
      <w:numFmt w:val="decimal"/>
      <w:lvlText w:val="e)"/>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000007B"/>
    <w:multiLevelType w:val="multilevel"/>
    <w:tmpl w:val="0000007B"/>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000007C"/>
    <w:multiLevelType w:val="multilevel"/>
    <w:tmpl w:val="0000007C"/>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0000007D"/>
    <w:multiLevelType w:val="multilevel"/>
    <w:tmpl w:val="0000007D"/>
    <w:lvl w:ilvl="0">
      <w:start w:val="1"/>
      <w:numFmt w:val="decimal"/>
      <w:lvlText w:val="c)"/>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0000007E"/>
    <w:multiLevelType w:val="multilevel"/>
    <w:tmpl w:val="0000007E"/>
    <w:lvl w:ilvl="0">
      <w:start w:val="1"/>
      <w:numFmt w:val="decimal"/>
      <w:lvlText w:val="d)"/>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0000007F"/>
    <w:multiLevelType w:val="multilevel"/>
    <w:tmpl w:val="0000007F"/>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00000080"/>
    <w:multiLevelType w:val="multilevel"/>
    <w:tmpl w:val="00000080"/>
    <w:lvl w:ilvl="0">
      <w:start w:val="1"/>
      <w:numFmt w:val="decimal"/>
      <w:lvlText w:val="b)"/>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00000081"/>
    <w:multiLevelType w:val="multilevel"/>
    <w:tmpl w:val="00000081"/>
    <w:lvl w:ilvl="0">
      <w:start w:val="1"/>
      <w:numFmt w:val="decimal"/>
      <w:lvlText w:val="c)"/>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00000082"/>
    <w:multiLevelType w:val="multilevel"/>
    <w:tmpl w:val="00000082"/>
    <w:lvl w:ilvl="0">
      <w:start w:val="1"/>
      <w:numFmt w:val="decimal"/>
      <w:lvlText w:val="d)"/>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00000083"/>
    <w:multiLevelType w:val="multilevel"/>
    <w:tmpl w:val="00000083"/>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00000084"/>
    <w:multiLevelType w:val="multilevel"/>
    <w:tmpl w:val="00000084"/>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00000085"/>
    <w:multiLevelType w:val="multilevel"/>
    <w:tmpl w:val="00000085"/>
    <w:lvl w:ilvl="0">
      <w:start w:val="1"/>
      <w:numFmt w:val="decimal"/>
      <w:lvlText w:val="c)"/>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00000086"/>
    <w:multiLevelType w:val="multilevel"/>
    <w:tmpl w:val="00000086"/>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00000087"/>
    <w:multiLevelType w:val="multilevel"/>
    <w:tmpl w:val="00000087"/>
    <w:lvl w:ilvl="0">
      <w:start w:val="1"/>
      <w:numFmt w:val="lowerRoman"/>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00000088"/>
    <w:multiLevelType w:val="multilevel"/>
    <w:tmpl w:val="00000088"/>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00000089"/>
    <w:multiLevelType w:val="multilevel"/>
    <w:tmpl w:val="00000089"/>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0000008A"/>
    <w:multiLevelType w:val="multilevel"/>
    <w:tmpl w:val="0000008A"/>
    <w:lvl w:ilvl="0">
      <w:start w:val="1"/>
      <w:numFmt w:val="decimal"/>
      <w:lvlText w:val="iv."/>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0000008B"/>
    <w:multiLevelType w:val="multilevel"/>
    <w:tmpl w:val="0000008B"/>
    <w:lvl w:ilvl="0">
      <w:start w:val="1"/>
      <w:numFmt w:val="decimal"/>
      <w:lvlText w:val="v."/>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0000008C"/>
    <w:multiLevelType w:val="multilevel"/>
    <w:tmpl w:val="0000008C"/>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0000008D"/>
    <w:multiLevelType w:val="multilevel"/>
    <w:tmpl w:val="0000008D"/>
    <w:lvl w:ilvl="0">
      <w:start w:val="1"/>
      <w:numFmt w:val="lowerRoman"/>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0000008E"/>
    <w:multiLevelType w:val="multilevel"/>
    <w:tmpl w:val="0000008E"/>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0000008F"/>
    <w:multiLevelType w:val="multilevel"/>
    <w:tmpl w:val="0000008F"/>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00000090"/>
    <w:multiLevelType w:val="multilevel"/>
    <w:tmpl w:val="00000090"/>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00000091"/>
    <w:multiLevelType w:val="multilevel"/>
    <w:tmpl w:val="0000009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00000092"/>
    <w:multiLevelType w:val="multilevel"/>
    <w:tmpl w:val="00000092"/>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00000093"/>
    <w:multiLevelType w:val="multilevel"/>
    <w:tmpl w:val="00000093"/>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00000094"/>
    <w:multiLevelType w:val="multilevel"/>
    <w:tmpl w:val="00000094"/>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00000095"/>
    <w:multiLevelType w:val="multilevel"/>
    <w:tmpl w:val="00000095"/>
    <w:lvl w:ilvl="0">
      <w:start w:val="1"/>
      <w:numFmt w:val="decimal"/>
      <w:lvlText w:val="c)"/>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00000096"/>
    <w:multiLevelType w:val="multilevel"/>
    <w:tmpl w:val="00000096"/>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00000097"/>
    <w:multiLevelType w:val="multilevel"/>
    <w:tmpl w:val="00000097"/>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00000098"/>
    <w:multiLevelType w:val="multilevel"/>
    <w:tmpl w:val="00000098"/>
    <w:lvl w:ilvl="0">
      <w:start w:val="1"/>
      <w:numFmt w:val="decimal"/>
      <w:lvlText w:val="c)"/>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00000099"/>
    <w:multiLevelType w:val="multilevel"/>
    <w:tmpl w:val="00000099"/>
    <w:lvl w:ilvl="0">
      <w:start w:val="1"/>
      <w:numFmt w:val="decimal"/>
      <w:lvlText w:val="d)"/>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0000009A"/>
    <w:multiLevelType w:val="multilevel"/>
    <w:tmpl w:val="0000009A"/>
    <w:lvl w:ilvl="0">
      <w:start w:val="1"/>
      <w:numFmt w:val="decimal"/>
      <w:lvlText w:val="e)"/>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0000009B"/>
    <w:multiLevelType w:val="multilevel"/>
    <w:tmpl w:val="0000009B"/>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0000009C"/>
    <w:multiLevelType w:val="multilevel"/>
    <w:tmpl w:val="0000009C"/>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0000009D"/>
    <w:multiLevelType w:val="multilevel"/>
    <w:tmpl w:val="0000009D"/>
    <w:lvl w:ilvl="0">
      <w:start w:val="1"/>
      <w:numFmt w:val="decimal"/>
      <w:lvlText w:val="c)"/>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0000009E"/>
    <w:multiLevelType w:val="multilevel"/>
    <w:tmpl w:val="0000009E"/>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0000009F"/>
    <w:multiLevelType w:val="multilevel"/>
    <w:tmpl w:val="0000009F"/>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nsid w:val="000000A0"/>
    <w:multiLevelType w:val="multilevel"/>
    <w:tmpl w:val="000000A0"/>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000000A1"/>
    <w:multiLevelType w:val="multilevel"/>
    <w:tmpl w:val="000000A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000000A2"/>
    <w:multiLevelType w:val="multilevel"/>
    <w:tmpl w:val="000000A2"/>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000000A3"/>
    <w:multiLevelType w:val="multilevel"/>
    <w:tmpl w:val="000000A3"/>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nsid w:val="000000A4"/>
    <w:multiLevelType w:val="multilevel"/>
    <w:tmpl w:val="000000A4"/>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nsid w:val="000000A5"/>
    <w:multiLevelType w:val="multilevel"/>
    <w:tmpl w:val="000000A5"/>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5">
    <w:nsid w:val="000000A6"/>
    <w:multiLevelType w:val="multilevel"/>
    <w:tmpl w:val="000000A6"/>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nsid w:val="000000A7"/>
    <w:multiLevelType w:val="multilevel"/>
    <w:tmpl w:val="000000A7"/>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7">
    <w:nsid w:val="000000A8"/>
    <w:multiLevelType w:val="multilevel"/>
    <w:tmpl w:val="000000A8"/>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8">
    <w:nsid w:val="000000A9"/>
    <w:multiLevelType w:val="multilevel"/>
    <w:tmpl w:val="000000A9"/>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9">
    <w:nsid w:val="000000AA"/>
    <w:multiLevelType w:val="multilevel"/>
    <w:tmpl w:val="000000AA"/>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0">
    <w:nsid w:val="000000AB"/>
    <w:multiLevelType w:val="multilevel"/>
    <w:tmpl w:val="000000AB"/>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1">
    <w:nsid w:val="000000AC"/>
    <w:multiLevelType w:val="multilevel"/>
    <w:tmpl w:val="000000AC"/>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2">
    <w:nsid w:val="000000AD"/>
    <w:multiLevelType w:val="multilevel"/>
    <w:tmpl w:val="000000AD"/>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3">
    <w:nsid w:val="000000AE"/>
    <w:multiLevelType w:val="multilevel"/>
    <w:tmpl w:val="000000AE"/>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4">
    <w:nsid w:val="000000AF"/>
    <w:multiLevelType w:val="multilevel"/>
    <w:tmpl w:val="000000AF"/>
    <w:lvl w:ilvl="0">
      <w:start w:val="1"/>
      <w:numFmt w:val="decimal"/>
      <w:lvlText w:val="c)"/>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5">
    <w:nsid w:val="000000B0"/>
    <w:multiLevelType w:val="multilevel"/>
    <w:tmpl w:val="000000B0"/>
    <w:lvl w:ilvl="0">
      <w:start w:val="1"/>
      <w:numFmt w:val="decimal"/>
      <w:lvlText w:val="d)"/>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6">
    <w:nsid w:val="000000B1"/>
    <w:multiLevelType w:val="multilevel"/>
    <w:tmpl w:val="000000B1"/>
    <w:lvl w:ilvl="0">
      <w:start w:val="1"/>
      <w:numFmt w:val="decimal"/>
      <w:lvlText w:val="e)"/>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7">
    <w:nsid w:val="000000B2"/>
    <w:multiLevelType w:val="multilevel"/>
    <w:tmpl w:val="000000B2"/>
    <w:lvl w:ilvl="0">
      <w:start w:val="1"/>
      <w:numFmt w:val="decimal"/>
      <w:lvlText w:val="f)"/>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8">
    <w:nsid w:val="000000B3"/>
    <w:multiLevelType w:val="multilevel"/>
    <w:tmpl w:val="000000B3"/>
    <w:lvl w:ilvl="0">
      <w:start w:val="1"/>
      <w:numFmt w:val="decimal"/>
      <w:lvlText w:val="g)"/>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9">
    <w:nsid w:val="000000B4"/>
    <w:multiLevelType w:val="multilevel"/>
    <w:tmpl w:val="000000B4"/>
    <w:lvl w:ilvl="0">
      <w:start w:val="1"/>
      <w:numFmt w:val="decimal"/>
      <w:lvlText w:val="h)"/>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0">
    <w:nsid w:val="000000B5"/>
    <w:multiLevelType w:val="multilevel"/>
    <w:tmpl w:val="000000B5"/>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1">
    <w:nsid w:val="000000B6"/>
    <w:multiLevelType w:val="multilevel"/>
    <w:tmpl w:val="000000B6"/>
    <w:lvl w:ilvl="0">
      <w:start w:val="1"/>
      <w:numFmt w:val="decimal"/>
      <w:lvlText w:val="b)"/>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2">
    <w:nsid w:val="000000B7"/>
    <w:multiLevelType w:val="multilevel"/>
    <w:tmpl w:val="000000B7"/>
    <w:lvl w:ilvl="0">
      <w:start w:val="1"/>
      <w:numFmt w:val="decimal"/>
      <w:lvlText w:val="c)"/>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3">
    <w:nsid w:val="000000B8"/>
    <w:multiLevelType w:val="multilevel"/>
    <w:tmpl w:val="000000B8"/>
    <w:lvl w:ilvl="0">
      <w:start w:val="8"/>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4">
    <w:nsid w:val="000000B9"/>
    <w:multiLevelType w:val="multilevel"/>
    <w:tmpl w:val="000000B9"/>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5">
    <w:nsid w:val="000000BA"/>
    <w:multiLevelType w:val="multilevel"/>
    <w:tmpl w:val="000000BA"/>
    <w:lvl w:ilvl="0">
      <w:start w:val="1"/>
      <w:numFmt w:val="decimal"/>
      <w:lvlText w:val="b)"/>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6">
    <w:nsid w:val="000000BB"/>
    <w:multiLevelType w:val="multilevel"/>
    <w:tmpl w:val="000000BB"/>
    <w:lvl w:ilvl="0">
      <w:start w:val="1"/>
      <w:numFmt w:val="decimal"/>
      <w:lvlText w:val="c)"/>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7">
    <w:nsid w:val="000000BC"/>
    <w:multiLevelType w:val="multilevel"/>
    <w:tmpl w:val="000000BC"/>
    <w:lvl w:ilvl="0">
      <w:start w:val="1"/>
      <w:numFmt w:val="decimal"/>
      <w:lvlText w:val="*"/>
      <w:lvlJc w:val="left"/>
      <w:pPr>
        <w:tabs>
          <w:tab w:val="num" w:pos="1840"/>
        </w:tabs>
        <w:ind w:left="184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8">
    <w:nsid w:val="000000BD"/>
    <w:multiLevelType w:val="multilevel"/>
    <w:tmpl w:val="000000BD"/>
    <w:lvl w:ilvl="0">
      <w:start w:val="1"/>
      <w:numFmt w:val="decimal"/>
      <w:lvlText w:val="*"/>
      <w:lvlJc w:val="left"/>
      <w:pPr>
        <w:tabs>
          <w:tab w:val="num" w:pos="1840"/>
        </w:tabs>
        <w:ind w:left="184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9">
    <w:nsid w:val="05B5E509"/>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0">
    <w:nsid w:val="0F71FDF3"/>
    <w:multiLevelType w:val="multilevel"/>
    <w:tmpl w:val="00000001"/>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1">
    <w:nsid w:val="0FE73E0E"/>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2">
    <w:nsid w:val="146970C2"/>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3">
    <w:nsid w:val="16DAA12B"/>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4">
    <w:nsid w:val="1801B2C4"/>
    <w:multiLevelType w:val="multilevel"/>
    <w:tmpl w:val="00000001"/>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5">
    <w:nsid w:val="1C60764F"/>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6">
    <w:nsid w:val="1CFF4F9C"/>
    <w:multiLevelType w:val="multilevel"/>
    <w:tmpl w:val="00000001"/>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7">
    <w:nsid w:val="1DD2B48C"/>
    <w:multiLevelType w:val="multilevel"/>
    <w:tmpl w:val="00000001"/>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8">
    <w:nsid w:val="1E11CF0F"/>
    <w:multiLevelType w:val="multilevel"/>
    <w:tmpl w:val="00000001"/>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9">
    <w:nsid w:val="1F010201"/>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0">
    <w:nsid w:val="1FE26482"/>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1">
    <w:nsid w:val="25C9CF68"/>
    <w:multiLevelType w:val="multilevel"/>
    <w:tmpl w:val="00000001"/>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2">
    <w:nsid w:val="2F39B28A"/>
    <w:multiLevelType w:val="multilevel"/>
    <w:tmpl w:val="00000001"/>
    <w:lvl w:ilvl="0">
      <w:start w:val="1"/>
      <w:numFmt w:val="decimal"/>
      <w:lvlText w:val="II."/>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3">
    <w:nsid w:val="30CDD414"/>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4">
    <w:nsid w:val="3571A755"/>
    <w:multiLevelType w:val="multilevel"/>
    <w:tmpl w:val="00000001"/>
    <w:lvl w:ilvl="0">
      <w:start w:val="1"/>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5">
    <w:nsid w:val="35DB15D9"/>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6">
    <w:nsid w:val="36FF0176"/>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7">
    <w:nsid w:val="3A0F6F8C"/>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8">
    <w:nsid w:val="3B24EB92"/>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9">
    <w:nsid w:val="4262E58A"/>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0">
    <w:nsid w:val="4488EC0C"/>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1">
    <w:nsid w:val="488F9035"/>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2">
    <w:nsid w:val="4DDBE2F6"/>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3">
    <w:nsid w:val="51E8B8C8"/>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4">
    <w:nsid w:val="5430874A"/>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5">
    <w:nsid w:val="57DF559F"/>
    <w:multiLevelType w:val="multilevel"/>
    <w:tmpl w:val="00000001"/>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6">
    <w:nsid w:val="5B708EBD"/>
    <w:multiLevelType w:val="multilevel"/>
    <w:tmpl w:val="00000001"/>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7">
    <w:nsid w:val="5F42208D"/>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8">
    <w:nsid w:val="5FA228A5"/>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9">
    <w:nsid w:val="61905CF0"/>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0">
    <w:nsid w:val="642CBDB2"/>
    <w:multiLevelType w:val="multilevel"/>
    <w:tmpl w:val="00000001"/>
    <w:lvl w:ilvl="0">
      <w:start w:val="1"/>
      <w:numFmt w:val="decimal"/>
      <w:lvlText w:val="(5)(a)"/>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1">
    <w:nsid w:val="69850A7F"/>
    <w:multiLevelType w:val="multilevel"/>
    <w:tmpl w:val="00000001"/>
    <w:lvl w:ilvl="0">
      <w:start w:val="1"/>
      <w:numFmt w:val="decimal"/>
      <w:lvlText w:val="1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2">
    <w:nsid w:val="69886BAD"/>
    <w:multiLevelType w:val="multilevel"/>
    <w:tmpl w:val="00000001"/>
    <w:lvl w:ilvl="0">
      <w:start w:val="9"/>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3">
    <w:nsid w:val="6C586279"/>
    <w:multiLevelType w:val="multilevel"/>
    <w:tmpl w:val="00000001"/>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4">
    <w:nsid w:val="6DD55C0C"/>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5">
    <w:nsid w:val="6E9AA1D1"/>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6">
    <w:nsid w:val="75E0AA8B"/>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7">
    <w:nsid w:val="77A100CD"/>
    <w:multiLevelType w:val="multilevel"/>
    <w:tmpl w:val="00000001"/>
    <w:lvl w:ilvl="0">
      <w:start w:val="1"/>
      <w:numFmt w:val="decimal"/>
      <w:lvlText w:val="17."/>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8">
    <w:nsid w:val="7810F8CF"/>
    <w:multiLevelType w:val="multilevel"/>
    <w:tmpl w:val="00000001"/>
    <w:lvl w:ilvl="0">
      <w:start w:val="1"/>
      <w:numFmt w:val="upperLetter"/>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9">
    <w:nsid w:val="7C86E2D8"/>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97"/>
  </w:num>
  <w:num w:numId="20">
    <w:abstractNumId w:val="228"/>
  </w:num>
  <w:num w:numId="21">
    <w:abstractNumId w:val="18"/>
  </w:num>
  <w:num w:numId="22">
    <w:abstractNumId w:val="19"/>
  </w:num>
  <w:num w:numId="23">
    <w:abstractNumId w:val="20"/>
  </w:num>
  <w:num w:numId="24">
    <w:abstractNumId w:val="21"/>
  </w:num>
  <w:num w:numId="25">
    <w:abstractNumId w:val="22"/>
  </w:num>
  <w:num w:numId="26">
    <w:abstractNumId w:val="23"/>
  </w:num>
  <w:num w:numId="27">
    <w:abstractNumId w:val="24"/>
  </w:num>
  <w:num w:numId="28">
    <w:abstractNumId w:val="25"/>
  </w:num>
  <w:num w:numId="29">
    <w:abstractNumId w:val="26"/>
  </w:num>
  <w:num w:numId="30">
    <w:abstractNumId w:val="207"/>
  </w:num>
  <w:num w:numId="31">
    <w:abstractNumId w:val="215"/>
  </w:num>
  <w:num w:numId="32">
    <w:abstractNumId w:val="209"/>
  </w:num>
  <w:num w:numId="33">
    <w:abstractNumId w:val="195"/>
  </w:num>
  <w:num w:numId="34">
    <w:abstractNumId w:val="219"/>
  </w:num>
  <w:num w:numId="35">
    <w:abstractNumId w:val="196"/>
  </w:num>
  <w:num w:numId="36">
    <w:abstractNumId w:val="190"/>
  </w:num>
  <w:num w:numId="37">
    <w:abstractNumId w:val="193"/>
  </w:num>
  <w:num w:numId="38">
    <w:abstractNumId w:val="27"/>
  </w:num>
  <w:num w:numId="39">
    <w:abstractNumId w:val="28"/>
  </w:num>
  <w:num w:numId="40">
    <w:abstractNumId w:val="29"/>
  </w:num>
  <w:num w:numId="41">
    <w:abstractNumId w:val="30"/>
  </w:num>
  <w:num w:numId="42">
    <w:abstractNumId w:val="31"/>
  </w:num>
  <w:num w:numId="43">
    <w:abstractNumId w:val="32"/>
  </w:num>
  <w:num w:numId="44">
    <w:abstractNumId w:val="33"/>
  </w:num>
  <w:num w:numId="45">
    <w:abstractNumId w:val="34"/>
  </w:num>
  <w:num w:numId="46">
    <w:abstractNumId w:val="35"/>
  </w:num>
  <w:num w:numId="47">
    <w:abstractNumId w:val="36"/>
  </w:num>
  <w:num w:numId="48">
    <w:abstractNumId w:val="37"/>
  </w:num>
  <w:num w:numId="49">
    <w:abstractNumId w:val="38"/>
  </w:num>
  <w:num w:numId="50">
    <w:abstractNumId w:val="39"/>
  </w:num>
  <w:num w:numId="51">
    <w:abstractNumId w:val="40"/>
  </w:num>
  <w:num w:numId="52">
    <w:abstractNumId w:val="41"/>
  </w:num>
  <w:num w:numId="53">
    <w:abstractNumId w:val="42"/>
  </w:num>
  <w:num w:numId="54">
    <w:abstractNumId w:val="43"/>
  </w:num>
  <w:num w:numId="55">
    <w:abstractNumId w:val="203"/>
  </w:num>
  <w:num w:numId="56">
    <w:abstractNumId w:val="227"/>
  </w:num>
  <w:num w:numId="57">
    <w:abstractNumId w:val="221"/>
  </w:num>
  <w:num w:numId="58">
    <w:abstractNumId w:val="214"/>
  </w:num>
  <w:num w:numId="59">
    <w:abstractNumId w:val="206"/>
  </w:num>
  <w:num w:numId="60">
    <w:abstractNumId w:val="210"/>
  </w:num>
  <w:num w:numId="61">
    <w:abstractNumId w:val="220"/>
  </w:num>
  <w:num w:numId="62">
    <w:abstractNumId w:val="189"/>
  </w:num>
  <w:num w:numId="63">
    <w:abstractNumId w:val="204"/>
  </w:num>
  <w:num w:numId="64">
    <w:abstractNumId w:val="216"/>
  </w:num>
  <w:num w:numId="65">
    <w:abstractNumId w:val="226"/>
  </w:num>
  <w:num w:numId="66">
    <w:abstractNumId w:val="223"/>
  </w:num>
  <w:num w:numId="67">
    <w:abstractNumId w:val="191"/>
  </w:num>
  <w:num w:numId="68">
    <w:abstractNumId w:val="199"/>
  </w:num>
  <w:num w:numId="69">
    <w:abstractNumId w:val="192"/>
  </w:num>
  <w:num w:numId="70">
    <w:abstractNumId w:val="198"/>
  </w:num>
  <w:num w:numId="71">
    <w:abstractNumId w:val="194"/>
  </w:num>
  <w:num w:numId="72">
    <w:abstractNumId w:val="44"/>
  </w:num>
  <w:num w:numId="73">
    <w:abstractNumId w:val="45"/>
  </w:num>
  <w:num w:numId="74">
    <w:abstractNumId w:val="46"/>
  </w:num>
  <w:num w:numId="75">
    <w:abstractNumId w:val="47"/>
  </w:num>
  <w:num w:numId="76">
    <w:abstractNumId w:val="48"/>
  </w:num>
  <w:num w:numId="77">
    <w:abstractNumId w:val="49"/>
  </w:num>
  <w:num w:numId="78">
    <w:abstractNumId w:val="50"/>
  </w:num>
  <w:num w:numId="79">
    <w:abstractNumId w:val="51"/>
  </w:num>
  <w:num w:numId="80">
    <w:abstractNumId w:val="52"/>
  </w:num>
  <w:num w:numId="81">
    <w:abstractNumId w:val="53"/>
  </w:num>
  <w:num w:numId="82">
    <w:abstractNumId w:val="54"/>
  </w:num>
  <w:num w:numId="83">
    <w:abstractNumId w:val="55"/>
  </w:num>
  <w:num w:numId="84">
    <w:abstractNumId w:val="56"/>
  </w:num>
  <w:num w:numId="85">
    <w:abstractNumId w:val="57"/>
  </w:num>
  <w:num w:numId="86">
    <w:abstractNumId w:val="58"/>
  </w:num>
  <w:num w:numId="87">
    <w:abstractNumId w:val="59"/>
  </w:num>
  <w:num w:numId="88">
    <w:abstractNumId w:val="60"/>
  </w:num>
  <w:num w:numId="89">
    <w:abstractNumId w:val="61"/>
  </w:num>
  <w:num w:numId="90">
    <w:abstractNumId w:val="62"/>
  </w:num>
  <w:num w:numId="91">
    <w:abstractNumId w:val="63"/>
  </w:num>
  <w:num w:numId="92">
    <w:abstractNumId w:val="64"/>
  </w:num>
  <w:num w:numId="93">
    <w:abstractNumId w:val="65"/>
  </w:num>
  <w:num w:numId="94">
    <w:abstractNumId w:val="66"/>
  </w:num>
  <w:num w:numId="95">
    <w:abstractNumId w:val="67"/>
  </w:num>
  <w:num w:numId="96">
    <w:abstractNumId w:val="68"/>
  </w:num>
  <w:num w:numId="97">
    <w:abstractNumId w:val="69"/>
  </w:num>
  <w:num w:numId="98">
    <w:abstractNumId w:val="202"/>
  </w:num>
  <w:num w:numId="99">
    <w:abstractNumId w:val="205"/>
  </w:num>
  <w:num w:numId="100">
    <w:abstractNumId w:val="217"/>
  </w:num>
  <w:num w:numId="101">
    <w:abstractNumId w:val="213"/>
  </w:num>
  <w:num w:numId="102">
    <w:abstractNumId w:val="208"/>
  </w:num>
  <w:num w:numId="103">
    <w:abstractNumId w:val="225"/>
  </w:num>
  <w:num w:numId="104">
    <w:abstractNumId w:val="211"/>
  </w:num>
  <w:num w:numId="105">
    <w:abstractNumId w:val="70"/>
  </w:num>
  <w:num w:numId="106">
    <w:abstractNumId w:val="71"/>
  </w:num>
  <w:num w:numId="107">
    <w:abstractNumId w:val="72"/>
  </w:num>
  <w:num w:numId="108">
    <w:abstractNumId w:val="73"/>
  </w:num>
  <w:num w:numId="109">
    <w:abstractNumId w:val="74"/>
  </w:num>
  <w:num w:numId="110">
    <w:abstractNumId w:val="75"/>
  </w:num>
  <w:num w:numId="111">
    <w:abstractNumId w:val="76"/>
  </w:num>
  <w:num w:numId="112">
    <w:abstractNumId w:val="77"/>
  </w:num>
  <w:num w:numId="113">
    <w:abstractNumId w:val="78"/>
  </w:num>
  <w:num w:numId="114">
    <w:abstractNumId w:val="79"/>
  </w:num>
  <w:num w:numId="115">
    <w:abstractNumId w:val="80"/>
  </w:num>
  <w:num w:numId="116">
    <w:abstractNumId w:val="81"/>
  </w:num>
  <w:num w:numId="117">
    <w:abstractNumId w:val="82"/>
  </w:num>
  <w:num w:numId="118">
    <w:abstractNumId w:val="83"/>
  </w:num>
  <w:num w:numId="119">
    <w:abstractNumId w:val="84"/>
  </w:num>
  <w:num w:numId="120">
    <w:abstractNumId w:val="85"/>
  </w:num>
  <w:num w:numId="121">
    <w:abstractNumId w:val="86"/>
  </w:num>
  <w:num w:numId="122">
    <w:abstractNumId w:val="87"/>
  </w:num>
  <w:num w:numId="123">
    <w:abstractNumId w:val="88"/>
  </w:num>
  <w:num w:numId="124">
    <w:abstractNumId w:val="89"/>
  </w:num>
  <w:num w:numId="125">
    <w:abstractNumId w:val="90"/>
  </w:num>
  <w:num w:numId="126">
    <w:abstractNumId w:val="91"/>
  </w:num>
  <w:num w:numId="127">
    <w:abstractNumId w:val="92"/>
  </w:num>
  <w:num w:numId="128">
    <w:abstractNumId w:val="93"/>
  </w:num>
  <w:num w:numId="129">
    <w:abstractNumId w:val="94"/>
  </w:num>
  <w:num w:numId="130">
    <w:abstractNumId w:val="95"/>
  </w:num>
  <w:num w:numId="131">
    <w:abstractNumId w:val="96"/>
  </w:num>
  <w:num w:numId="132">
    <w:abstractNumId w:val="97"/>
  </w:num>
  <w:num w:numId="133">
    <w:abstractNumId w:val="98"/>
  </w:num>
  <w:num w:numId="134">
    <w:abstractNumId w:val="99"/>
  </w:num>
  <w:num w:numId="135">
    <w:abstractNumId w:val="100"/>
  </w:num>
  <w:num w:numId="136">
    <w:abstractNumId w:val="101"/>
  </w:num>
  <w:num w:numId="137">
    <w:abstractNumId w:val="102"/>
  </w:num>
  <w:num w:numId="138">
    <w:abstractNumId w:val="103"/>
  </w:num>
  <w:num w:numId="139">
    <w:abstractNumId w:val="104"/>
  </w:num>
  <w:num w:numId="140">
    <w:abstractNumId w:val="105"/>
  </w:num>
  <w:num w:numId="141">
    <w:abstractNumId w:val="106"/>
  </w:num>
  <w:num w:numId="142">
    <w:abstractNumId w:val="107"/>
  </w:num>
  <w:num w:numId="143">
    <w:abstractNumId w:val="108"/>
  </w:num>
  <w:num w:numId="144">
    <w:abstractNumId w:val="109"/>
  </w:num>
  <w:num w:numId="145">
    <w:abstractNumId w:val="110"/>
  </w:num>
  <w:num w:numId="146">
    <w:abstractNumId w:val="111"/>
  </w:num>
  <w:num w:numId="147">
    <w:abstractNumId w:val="112"/>
  </w:num>
  <w:num w:numId="148">
    <w:abstractNumId w:val="113"/>
  </w:num>
  <w:num w:numId="149">
    <w:abstractNumId w:val="114"/>
  </w:num>
  <w:num w:numId="150">
    <w:abstractNumId w:val="115"/>
  </w:num>
  <w:num w:numId="151">
    <w:abstractNumId w:val="116"/>
  </w:num>
  <w:num w:numId="152">
    <w:abstractNumId w:val="117"/>
  </w:num>
  <w:num w:numId="153">
    <w:abstractNumId w:val="118"/>
  </w:num>
  <w:num w:numId="154">
    <w:abstractNumId w:val="119"/>
  </w:num>
  <w:num w:numId="155">
    <w:abstractNumId w:val="120"/>
  </w:num>
  <w:num w:numId="156">
    <w:abstractNumId w:val="121"/>
  </w:num>
  <w:num w:numId="157">
    <w:abstractNumId w:val="122"/>
  </w:num>
  <w:num w:numId="158">
    <w:abstractNumId w:val="123"/>
  </w:num>
  <w:num w:numId="159">
    <w:abstractNumId w:val="124"/>
  </w:num>
  <w:num w:numId="160">
    <w:abstractNumId w:val="125"/>
  </w:num>
  <w:num w:numId="161">
    <w:abstractNumId w:val="126"/>
  </w:num>
  <w:num w:numId="162">
    <w:abstractNumId w:val="127"/>
  </w:num>
  <w:num w:numId="163">
    <w:abstractNumId w:val="128"/>
  </w:num>
  <w:num w:numId="164">
    <w:abstractNumId w:val="129"/>
  </w:num>
  <w:num w:numId="165">
    <w:abstractNumId w:val="130"/>
  </w:num>
  <w:num w:numId="166">
    <w:abstractNumId w:val="131"/>
  </w:num>
  <w:num w:numId="167">
    <w:abstractNumId w:val="132"/>
  </w:num>
  <w:num w:numId="168">
    <w:abstractNumId w:val="133"/>
  </w:num>
  <w:num w:numId="169">
    <w:abstractNumId w:val="134"/>
  </w:num>
  <w:num w:numId="170">
    <w:abstractNumId w:val="135"/>
  </w:num>
  <w:num w:numId="171">
    <w:abstractNumId w:val="136"/>
  </w:num>
  <w:num w:numId="172">
    <w:abstractNumId w:val="137"/>
  </w:num>
  <w:num w:numId="173">
    <w:abstractNumId w:val="138"/>
  </w:num>
  <w:num w:numId="174">
    <w:abstractNumId w:val="139"/>
  </w:num>
  <w:num w:numId="175">
    <w:abstractNumId w:val="140"/>
  </w:num>
  <w:num w:numId="176">
    <w:abstractNumId w:val="141"/>
  </w:num>
  <w:num w:numId="177">
    <w:abstractNumId w:val="142"/>
  </w:num>
  <w:num w:numId="178">
    <w:abstractNumId w:val="143"/>
  </w:num>
  <w:num w:numId="179">
    <w:abstractNumId w:val="144"/>
  </w:num>
  <w:num w:numId="180">
    <w:abstractNumId w:val="145"/>
  </w:num>
  <w:num w:numId="181">
    <w:abstractNumId w:val="146"/>
  </w:num>
  <w:num w:numId="182">
    <w:abstractNumId w:val="147"/>
  </w:num>
  <w:num w:numId="183">
    <w:abstractNumId w:val="148"/>
  </w:num>
  <w:num w:numId="184">
    <w:abstractNumId w:val="149"/>
  </w:num>
  <w:num w:numId="185">
    <w:abstractNumId w:val="150"/>
  </w:num>
  <w:num w:numId="186">
    <w:abstractNumId w:val="151"/>
  </w:num>
  <w:num w:numId="187">
    <w:abstractNumId w:val="152"/>
  </w:num>
  <w:num w:numId="188">
    <w:abstractNumId w:val="153"/>
  </w:num>
  <w:num w:numId="189">
    <w:abstractNumId w:val="154"/>
  </w:num>
  <w:num w:numId="190">
    <w:abstractNumId w:val="155"/>
  </w:num>
  <w:num w:numId="191">
    <w:abstractNumId w:val="156"/>
  </w:num>
  <w:num w:numId="192">
    <w:abstractNumId w:val="157"/>
  </w:num>
  <w:num w:numId="193">
    <w:abstractNumId w:val="158"/>
  </w:num>
  <w:num w:numId="194">
    <w:abstractNumId w:val="159"/>
  </w:num>
  <w:num w:numId="195">
    <w:abstractNumId w:val="160"/>
  </w:num>
  <w:num w:numId="196">
    <w:abstractNumId w:val="161"/>
  </w:num>
  <w:num w:numId="197">
    <w:abstractNumId w:val="162"/>
  </w:num>
  <w:num w:numId="198">
    <w:abstractNumId w:val="163"/>
  </w:num>
  <w:num w:numId="199">
    <w:abstractNumId w:val="164"/>
  </w:num>
  <w:num w:numId="200">
    <w:abstractNumId w:val="165"/>
  </w:num>
  <w:num w:numId="201">
    <w:abstractNumId w:val="166"/>
  </w:num>
  <w:num w:numId="202">
    <w:abstractNumId w:val="167"/>
  </w:num>
  <w:num w:numId="203">
    <w:abstractNumId w:val="168"/>
  </w:num>
  <w:num w:numId="204">
    <w:abstractNumId w:val="169"/>
  </w:num>
  <w:num w:numId="205">
    <w:abstractNumId w:val="170"/>
  </w:num>
  <w:num w:numId="206">
    <w:abstractNumId w:val="171"/>
  </w:num>
  <w:num w:numId="207">
    <w:abstractNumId w:val="172"/>
  </w:num>
  <w:num w:numId="208">
    <w:abstractNumId w:val="173"/>
  </w:num>
  <w:num w:numId="209">
    <w:abstractNumId w:val="174"/>
  </w:num>
  <w:num w:numId="210">
    <w:abstractNumId w:val="175"/>
  </w:num>
  <w:num w:numId="211">
    <w:abstractNumId w:val="176"/>
  </w:num>
  <w:num w:numId="212">
    <w:abstractNumId w:val="177"/>
  </w:num>
  <w:num w:numId="213">
    <w:abstractNumId w:val="178"/>
  </w:num>
  <w:num w:numId="214">
    <w:abstractNumId w:val="179"/>
  </w:num>
  <w:num w:numId="215">
    <w:abstractNumId w:val="180"/>
  </w:num>
  <w:num w:numId="216">
    <w:abstractNumId w:val="181"/>
  </w:num>
  <w:num w:numId="217">
    <w:abstractNumId w:val="182"/>
  </w:num>
  <w:num w:numId="218">
    <w:abstractNumId w:val="183"/>
  </w:num>
  <w:num w:numId="219">
    <w:abstractNumId w:val="184"/>
  </w:num>
  <w:num w:numId="220">
    <w:abstractNumId w:val="185"/>
  </w:num>
  <w:num w:numId="221">
    <w:abstractNumId w:val="186"/>
  </w:num>
  <w:num w:numId="222">
    <w:abstractNumId w:val="187"/>
  </w:num>
  <w:num w:numId="223">
    <w:abstractNumId w:val="188"/>
  </w:num>
  <w:num w:numId="224">
    <w:abstractNumId w:val="201"/>
  </w:num>
  <w:num w:numId="225">
    <w:abstractNumId w:val="200"/>
  </w:num>
  <w:num w:numId="226">
    <w:abstractNumId w:val="222"/>
  </w:num>
  <w:num w:numId="227">
    <w:abstractNumId w:val="218"/>
  </w:num>
  <w:num w:numId="228">
    <w:abstractNumId w:val="212"/>
  </w:num>
  <w:num w:numId="229">
    <w:abstractNumId w:val="224"/>
  </w:num>
  <w:num w:numId="230">
    <w:abstractNumId w:val="22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N1-JW09-M0XP-00000-00&amp;context=" TargetMode="External" /><Relationship Id="rId100" Type="http://schemas.openxmlformats.org/officeDocument/2006/relationships/hyperlink" Target="https://advance.lexis.com/api/document?collection=cases-ca&amp;id=urn:contentItem:5F7T-S771-F361-M1PY-00000-00&amp;context=" TargetMode="External" /><Relationship Id="rId101" Type="http://schemas.openxmlformats.org/officeDocument/2006/relationships/header" Target="header19.xml" /><Relationship Id="rId102" Type="http://schemas.openxmlformats.org/officeDocument/2006/relationships/header" Target="header20.xml" /><Relationship Id="rId103" Type="http://schemas.openxmlformats.org/officeDocument/2006/relationships/footer" Target="footer19.xml" /><Relationship Id="rId104" Type="http://schemas.openxmlformats.org/officeDocument/2006/relationships/footer" Target="footer20.xml" /><Relationship Id="rId105" Type="http://schemas.openxmlformats.org/officeDocument/2006/relationships/header" Target="header21.xml" /><Relationship Id="rId106" Type="http://schemas.openxmlformats.org/officeDocument/2006/relationships/footer" Target="footer21.xml" /><Relationship Id="rId107" Type="http://schemas.openxmlformats.org/officeDocument/2006/relationships/hyperlink" Target="https://advance.lexis.com/api/document?collection=cases-ca&amp;id=urn:contentItem:5F7T-S7B1-FH4C-X3TP-00000-00&amp;context=" TargetMode="External" /><Relationship Id="rId108" Type="http://schemas.openxmlformats.org/officeDocument/2006/relationships/hyperlink" Target="https://advance.lexis.com/api/document?collection=cases-ca&amp;id=urn:contentItem:5F8T-N3T1-JFKM-652N-00000-00&amp;context=" TargetMode="External" /><Relationship Id="rId109" Type="http://schemas.openxmlformats.org/officeDocument/2006/relationships/hyperlink" Target="https://advance.lexis.com/api/document?collection=cases-ca&amp;id=urn:contentItem:5F7T-S751-JBM1-M29M-00000-00&amp;context=" TargetMode="External" /><Relationship Id="rId11" Type="http://schemas.openxmlformats.org/officeDocument/2006/relationships/hyperlink" Target="https://advance.lexis.com/api/document?collection=cases-ca&amp;id=urn:contentItem:5F8N-K701-F528-G1MS-00000-00&amp;context=" TargetMode="External" /><Relationship Id="rId110" Type="http://schemas.openxmlformats.org/officeDocument/2006/relationships/hyperlink" Target="https://advance.lexis.com/api/document?collection=cases-ca&amp;id=urn:contentItem:5F8T-N3V1-JF75-M3CF-00000-00&amp;context=" TargetMode="External" /><Relationship Id="rId111" Type="http://schemas.openxmlformats.org/officeDocument/2006/relationships/hyperlink" Target="https://advance.lexis.com/api/document?collection=cases-ca&amp;id=urn:contentItem:5F8T-N3T1-JGHR-M1X6-00000-00&amp;context=" TargetMode="External" /><Relationship Id="rId112" Type="http://schemas.openxmlformats.org/officeDocument/2006/relationships/header" Target="header22.xml" /><Relationship Id="rId113" Type="http://schemas.openxmlformats.org/officeDocument/2006/relationships/header" Target="header23.xml" /><Relationship Id="rId114" Type="http://schemas.openxmlformats.org/officeDocument/2006/relationships/footer" Target="footer22.xml" /><Relationship Id="rId115" Type="http://schemas.openxmlformats.org/officeDocument/2006/relationships/footer" Target="footer23.xml" /><Relationship Id="rId116" Type="http://schemas.openxmlformats.org/officeDocument/2006/relationships/header" Target="header24.xml" /><Relationship Id="rId117" Type="http://schemas.openxmlformats.org/officeDocument/2006/relationships/footer" Target="footer24.xml" /><Relationship Id="rId118" Type="http://schemas.openxmlformats.org/officeDocument/2006/relationships/hyperlink" Target="https://advance.lexis.com/api/document?collection=cases-ca&amp;id=urn:contentItem:5F7T-S7B1-JSRM-6081-00000-00&amp;context=" TargetMode="External" /><Relationship Id="rId119" Type="http://schemas.openxmlformats.org/officeDocument/2006/relationships/hyperlink" Target="https://advance.lexis.com/api/document?collection=cases-ca&amp;id=urn:contentItem:5F7T-S781-F7G6-63MJ-00000-00&amp;context=" TargetMode="External" /><Relationship Id="rId12" Type="http://schemas.openxmlformats.org/officeDocument/2006/relationships/hyperlink" Target="https://advance.lexis.com/api/document?collection=cases-ca&amp;id=urn:contentItem:5F7T-S7C1-F30T-B2BW-00000-00&amp;context=" TargetMode="External" /><Relationship Id="rId120" Type="http://schemas.openxmlformats.org/officeDocument/2006/relationships/hyperlink" Target="https://advance.lexis.com/api/document?collection=cases-ca&amp;id=urn:contentItem:5F7T-S751-JBM1-M2FM-00000-00&amp;context=" TargetMode="External" /><Relationship Id="rId121" Type="http://schemas.openxmlformats.org/officeDocument/2006/relationships/header" Target="header25.xml" /><Relationship Id="rId122" Type="http://schemas.openxmlformats.org/officeDocument/2006/relationships/header" Target="header26.xml" /><Relationship Id="rId123" Type="http://schemas.openxmlformats.org/officeDocument/2006/relationships/footer" Target="footer25.xml" /><Relationship Id="rId124" Type="http://schemas.openxmlformats.org/officeDocument/2006/relationships/footer" Target="footer26.xml" /><Relationship Id="rId125" Type="http://schemas.openxmlformats.org/officeDocument/2006/relationships/header" Target="header27.xml" /><Relationship Id="rId126" Type="http://schemas.openxmlformats.org/officeDocument/2006/relationships/footer" Target="footer27.xml" /><Relationship Id="rId127" Type="http://schemas.openxmlformats.org/officeDocument/2006/relationships/hyperlink" Target="https://advance.lexis.com/api/document?collection=cases-ca&amp;id=urn:contentItem:5F7T-S7C1-JS0R-22HY-00000-00&amp;context=" TargetMode="External" /><Relationship Id="rId128" Type="http://schemas.openxmlformats.org/officeDocument/2006/relationships/hyperlink" Target="https://advance.lexis.com/api/document?collection=cases-ca&amp;id=urn:contentItem:5F7T-S791-FJTD-G2PP-00000-00&amp;context=" TargetMode="External" /><Relationship Id="rId129" Type="http://schemas.openxmlformats.org/officeDocument/2006/relationships/header" Target="header28.xml" /><Relationship Id="rId13" Type="http://schemas.openxmlformats.org/officeDocument/2006/relationships/hyperlink" Target="https://advance.lexis.com/api/document?collection=cases-ca&amp;id=urn:contentItem:5F7T-S7K1-JKHB-631M-00000-00&amp;context=" TargetMode="External" /><Relationship Id="rId130" Type="http://schemas.openxmlformats.org/officeDocument/2006/relationships/header" Target="header29.xml" /><Relationship Id="rId131" Type="http://schemas.openxmlformats.org/officeDocument/2006/relationships/footer" Target="footer28.xml" /><Relationship Id="rId132" Type="http://schemas.openxmlformats.org/officeDocument/2006/relationships/footer" Target="footer29.xml" /><Relationship Id="rId133" Type="http://schemas.openxmlformats.org/officeDocument/2006/relationships/header" Target="header30.xml" /><Relationship Id="rId134" Type="http://schemas.openxmlformats.org/officeDocument/2006/relationships/footer" Target="footer30.xml" /><Relationship Id="rId135" Type="http://schemas.openxmlformats.org/officeDocument/2006/relationships/hyperlink" Target="https://advance.lexis.com/api/document?collection=cases-ca&amp;id=urn:contentItem:5F7T-S771-F81W-22DR-00000-00&amp;context=" TargetMode="External" /><Relationship Id="rId136" Type="http://schemas.openxmlformats.org/officeDocument/2006/relationships/hyperlink" Target="https://advance.lexis.com/api/document?collection=cases-ca&amp;id=urn:contentItem:5F8P-T8W1-F1H1-22KY-00000-00&amp;context=" TargetMode="External" /><Relationship Id="rId137" Type="http://schemas.openxmlformats.org/officeDocument/2006/relationships/hyperlink" Target="https://advance.lexis.com/api/document?collection=cases-ca&amp;id=urn:contentItem:5F8T-N3R1-JJSF-22WM-00000-00&amp;context=" TargetMode="External" /><Relationship Id="rId138" Type="http://schemas.openxmlformats.org/officeDocument/2006/relationships/hyperlink" Target="https://advance.lexis.com/api/document?collection=cases-ca&amp;id=urn:contentItem:5F7T-S711-JNY7-X3F5-00000-00&amp;context=" TargetMode="External" /><Relationship Id="rId139" Type="http://schemas.openxmlformats.org/officeDocument/2006/relationships/hyperlink" Target="https://advance.lexis.com/api/document?collection=cases-ca&amp;id=urn:contentItem:5F8T-N3R1-JBDT-B55M-00000-00&amp;context=" TargetMode="External" /><Relationship Id="rId14" Type="http://schemas.openxmlformats.org/officeDocument/2006/relationships/hyperlink" Target="https://advance.lexis.com/api/document?collection=cases-ca&amp;id=urn:contentItem:5F7T-S7G1-JNY7-X41W-00000-00&amp;context=" TargetMode="External" /><Relationship Id="rId140" Type="http://schemas.openxmlformats.org/officeDocument/2006/relationships/hyperlink" Target="https://advance.lexis.com/api/document?collection=cases-ca&amp;id=urn:contentItem:5F7T-S721-F4NT-X2W5-00000-00&amp;context=" TargetMode="External" /><Relationship Id="rId141" Type="http://schemas.openxmlformats.org/officeDocument/2006/relationships/hyperlink" Target="https://advance.lexis.com/api/document?collection=cases-ca&amp;id=urn:contentItem:5F7T-S6Y1-JNY7-X2GN-00000-00&amp;context=" TargetMode="External" /><Relationship Id="rId142" Type="http://schemas.openxmlformats.org/officeDocument/2006/relationships/header" Target="header31.xml" /><Relationship Id="rId143" Type="http://schemas.openxmlformats.org/officeDocument/2006/relationships/header" Target="header32.xml" /><Relationship Id="rId144" Type="http://schemas.openxmlformats.org/officeDocument/2006/relationships/footer" Target="footer31.xml" /><Relationship Id="rId145" Type="http://schemas.openxmlformats.org/officeDocument/2006/relationships/footer" Target="footer32.xml" /><Relationship Id="rId146" Type="http://schemas.openxmlformats.org/officeDocument/2006/relationships/header" Target="header33.xml" /><Relationship Id="rId147" Type="http://schemas.openxmlformats.org/officeDocument/2006/relationships/footer" Target="footer33.xml" /><Relationship Id="rId148" Type="http://schemas.openxmlformats.org/officeDocument/2006/relationships/hyperlink" Target="https://advance.lexis.com/api/document?collection=cases-ca&amp;id=urn:contentItem:5K56-XS31-FC6N-X37G-00000-00&amp;context=" TargetMode="External" /><Relationship Id="rId149" Type="http://schemas.openxmlformats.org/officeDocument/2006/relationships/hyperlink" Target="https://advance.lexis.com/api/document?collection=cases-ca&amp;id=urn:contentItem:5F7T-S7N1-JWR6-S2JD-00000-00&amp;context=" TargetMode="External" /><Relationship Id="rId15" Type="http://schemas.openxmlformats.org/officeDocument/2006/relationships/hyperlink" Target="https://advance.lexis.com/api/document?collection=cases-ca&amp;id=urn:contentItem:5F7T-S7C1-F4NT-X2YG-00000-00&amp;context=" TargetMode="External" /><Relationship Id="rId150" Type="http://schemas.openxmlformats.org/officeDocument/2006/relationships/hyperlink" Target="https://advance.lexis.com/api/document?collection=cases-ca&amp;id=urn:contentItem:5F7T-S711-JG02-S1F6-00000-00&amp;context=" TargetMode="External" /><Relationship Id="rId151" Type="http://schemas.openxmlformats.org/officeDocument/2006/relationships/hyperlink" Target="https://advance.lexis.com/api/document?collection=cases-ca&amp;id=urn:contentItem:5F7T-S771-JSJC-X0H0-00000-00&amp;context=" TargetMode="External" /><Relationship Id="rId152" Type="http://schemas.openxmlformats.org/officeDocument/2006/relationships/hyperlink" Target="https://advance.lexis.com/api/document?collection=cases-ca&amp;id=urn:contentItem:5F7T-S701-JBT7-X2CW-00000-00&amp;context=" TargetMode="External" /><Relationship Id="rId153" Type="http://schemas.openxmlformats.org/officeDocument/2006/relationships/hyperlink" Target="https://advance.lexis.com/api/document?collection=cases-ca&amp;id=urn:contentItem:5F7T-S6W1-F7ND-G2RW-00000-00&amp;context=" TargetMode="External" /><Relationship Id="rId154" Type="http://schemas.openxmlformats.org/officeDocument/2006/relationships/header" Target="header34.xml" /><Relationship Id="rId155" Type="http://schemas.openxmlformats.org/officeDocument/2006/relationships/header" Target="header35.xml" /><Relationship Id="rId156" Type="http://schemas.openxmlformats.org/officeDocument/2006/relationships/footer" Target="footer34.xml" /><Relationship Id="rId157" Type="http://schemas.openxmlformats.org/officeDocument/2006/relationships/footer" Target="footer35.xml" /><Relationship Id="rId158" Type="http://schemas.openxmlformats.org/officeDocument/2006/relationships/header" Target="header36.xml" /><Relationship Id="rId159" Type="http://schemas.openxmlformats.org/officeDocument/2006/relationships/footer" Target="footer36.xml" /><Relationship Id="rId16" Type="http://schemas.openxmlformats.org/officeDocument/2006/relationships/hyperlink" Target="https://advance.lexis.com/api/document?collection=cases-ca&amp;id=urn:contentItem:5F7V-3DK1-JW5H-X30M-00000-00&amp;context=" TargetMode="External" /><Relationship Id="rId160" Type="http://schemas.openxmlformats.org/officeDocument/2006/relationships/hyperlink" Target="https://advance.lexis.com/api/document?collection=cases-ca&amp;id=urn:contentItem:5F7T-S791-FJTD-G2YT-00000-00&amp;context=" TargetMode="External" /><Relationship Id="rId161" Type="http://schemas.openxmlformats.org/officeDocument/2006/relationships/header" Target="header37.xml" /><Relationship Id="rId162" Type="http://schemas.openxmlformats.org/officeDocument/2006/relationships/header" Target="header38.xml" /><Relationship Id="rId163" Type="http://schemas.openxmlformats.org/officeDocument/2006/relationships/footer" Target="footer37.xml" /><Relationship Id="rId164" Type="http://schemas.openxmlformats.org/officeDocument/2006/relationships/footer" Target="footer38.xml" /><Relationship Id="rId165" Type="http://schemas.openxmlformats.org/officeDocument/2006/relationships/header" Target="header39.xml" /><Relationship Id="rId166" Type="http://schemas.openxmlformats.org/officeDocument/2006/relationships/footer" Target="footer39.xml" /><Relationship Id="rId167" Type="http://schemas.openxmlformats.org/officeDocument/2006/relationships/hyperlink" Target="https://advance.lexis.com/api/document?collection=cases-ca&amp;id=urn:contentItem:5XWR-JTJ1-FCSB-S03S-00000-00&amp;context=" TargetMode="External" /><Relationship Id="rId168" Type="http://schemas.openxmlformats.org/officeDocument/2006/relationships/hyperlink" Target="https://advance.lexis.com/api/document?collection=cases-ca&amp;id=urn:contentItem:5F7T-S7D1-F7ND-G0HX-00000-00&amp;context=" TargetMode="External" /><Relationship Id="rId169" Type="http://schemas.openxmlformats.org/officeDocument/2006/relationships/hyperlink" Target="https://advance.lexis.com/api/document?collection=cases-ca&amp;id=urn:contentItem:5N1N-NSH1-FGY5-M3JJ-00000-00&amp;context=" TargetMode="External" /><Relationship Id="rId17" Type="http://schemas.openxmlformats.org/officeDocument/2006/relationships/header" Target="header4.xml" /><Relationship Id="rId170" Type="http://schemas.openxmlformats.org/officeDocument/2006/relationships/hyperlink" Target="https://advance.lexis.com/api/document?collection=cases-ca&amp;id=urn:contentItem:5F7T-S7K1-F528-G2XC-00000-00&amp;context=" TargetMode="External" /><Relationship Id="rId171" Type="http://schemas.openxmlformats.org/officeDocument/2006/relationships/hyperlink" Target="https://advance.lexis.com/api/document?collection=cases-ca&amp;id=urn:contentItem:5F7T-S7M1-F4W2-626V-00000-00&amp;context=" TargetMode="External" /><Relationship Id="rId172" Type="http://schemas.openxmlformats.org/officeDocument/2006/relationships/hyperlink" Target="https://advance.lexis.com/api/document?collection=cases-ca&amp;id=urn:contentItem:5WP2-4FN1-K0HK-23DP-00000-00&amp;context=" TargetMode="External" /><Relationship Id="rId173" Type="http://schemas.openxmlformats.org/officeDocument/2006/relationships/hyperlink" Target="https://advance.lexis.com/api/document?collection=cases-ca&amp;id=urn:contentItem:5F7T-S7C1-F30T-B283-00000-00&amp;context=" TargetMode="External" /><Relationship Id="rId174" Type="http://schemas.openxmlformats.org/officeDocument/2006/relationships/hyperlink" Target="https://advance.lexis.com/api/document?collection=cases-ca&amp;id=urn:contentItem:5F8T-N3V1-JTGH-B153-00000-00&amp;context=" TargetMode="External" /><Relationship Id="rId175" Type="http://schemas.openxmlformats.org/officeDocument/2006/relationships/hyperlink" Target="https://advance.lexis.com/api/document?collection=cases-ca&amp;id=urn:contentItem:5J0C-MF51-JSXV-G2N2-00000-00&amp;context=" TargetMode="External" /><Relationship Id="rId176" Type="http://schemas.openxmlformats.org/officeDocument/2006/relationships/hyperlink" Target="https://advance.lexis.com/api/document?collection=cases-ca&amp;id=urn:contentItem:5F7T-S7M1-JPP5-22J2-00000-00&amp;context=" TargetMode="External" /><Relationship Id="rId177" Type="http://schemas.openxmlformats.org/officeDocument/2006/relationships/hyperlink" Target="https://advance.lexis.com/api/document?collection=cases-ca&amp;id=urn:contentItem:5SJD-51G1-F016-S1Y7-00000-00&amp;context=" TargetMode="External" /><Relationship Id="rId178" Type="http://schemas.openxmlformats.org/officeDocument/2006/relationships/hyperlink" Target="https://advance.lexis.com/api/document?collection=cases-ca&amp;id=urn:contentItem:5RJ8-5GM1-JP9P-G0PD-00000-00&amp;context=" TargetMode="External" /><Relationship Id="rId179" Type="http://schemas.openxmlformats.org/officeDocument/2006/relationships/hyperlink" Target="https://advance.lexis.com/api/document?collection=cases-ca&amp;id=urn:contentItem:5K86-HW41-JC0G-642R-00000-00&amp;context=" TargetMode="External" /><Relationship Id="rId18" Type="http://schemas.openxmlformats.org/officeDocument/2006/relationships/header" Target="header5.xml" /><Relationship Id="rId180" Type="http://schemas.openxmlformats.org/officeDocument/2006/relationships/hyperlink" Target="https://advance.lexis.com/api/document?collection=cases-ca&amp;id=urn:contentItem:5F7T-S7N1-DXWW-206B-00000-00&amp;context=" TargetMode="External" /><Relationship Id="rId181" Type="http://schemas.openxmlformats.org/officeDocument/2006/relationships/hyperlink" Target="https://advance.lexis.com/api/document?collection=cases-ca&amp;id=urn:contentItem:5F7T-S7N1-JGHR-M3GS-00000-00&amp;context=" TargetMode="External" /><Relationship Id="rId182" Type="http://schemas.openxmlformats.org/officeDocument/2006/relationships/hyperlink" Target="https://advance.lexis.com/api/document?collection=cases-ca&amp;id=urn:contentItem:5F7T-S7D1-FBFS-S1M7-00000-00&amp;context=" TargetMode="External" /><Relationship Id="rId183" Type="http://schemas.openxmlformats.org/officeDocument/2006/relationships/hyperlink" Target="https://advance.lexis.com/api/document?collection=cases-ca&amp;id=urn:contentItem:5VVT-9921-JC5P-G1FB-00000-00&amp;context=" TargetMode="External" /><Relationship Id="rId184" Type="http://schemas.openxmlformats.org/officeDocument/2006/relationships/hyperlink" Target="https://advance.lexis.com/api/document?collection=cases-ca&amp;id=urn:contentItem:5PPC-9T11-JWJ0-G269-00000-00&amp;context=" TargetMode="External" /><Relationship Id="rId185" Type="http://schemas.openxmlformats.org/officeDocument/2006/relationships/hyperlink" Target="https://advance.lexis.com/api/document?collection=cases-ca&amp;id=urn:contentItem:5JXC-X5T1-F8SS-616V-00000-00&amp;context=" TargetMode="External" /><Relationship Id="rId186" Type="http://schemas.openxmlformats.org/officeDocument/2006/relationships/hyperlink" Target="https://advance.lexis.com/api/document?collection=cases-ca&amp;id=urn:contentItem:5PWM-06C1-JX8W-M4YX-00000-00&amp;context=" TargetMode="External" /><Relationship Id="rId187" Type="http://schemas.openxmlformats.org/officeDocument/2006/relationships/hyperlink" Target="https://advance.lexis.com/api/document?collection=cases-ca&amp;id=urn:contentItem:5F7T-S7P1-JSJC-X1P7-00000-00&amp;context=" TargetMode="External" /><Relationship Id="rId188" Type="http://schemas.openxmlformats.org/officeDocument/2006/relationships/hyperlink" Target="https://advance.lexis.com/api/document?collection=cases-ca&amp;id=urn:contentItem:5HNF-8S81-JB7K-21HR-00000-00&amp;context=" TargetMode="External" /><Relationship Id="rId189" Type="http://schemas.openxmlformats.org/officeDocument/2006/relationships/hyperlink" Target="https://advance.lexis.com/api/document?collection=cases-ca&amp;id=urn:contentItem:5KR0-P3T1-FBN1-240N-00000-00&amp;context=" TargetMode="External" /><Relationship Id="rId19" Type="http://schemas.openxmlformats.org/officeDocument/2006/relationships/footer" Target="footer4.xml" /><Relationship Id="rId190" Type="http://schemas.openxmlformats.org/officeDocument/2006/relationships/hyperlink" Target="https://advance.lexis.com/api/document?collection=cases-ca&amp;id=urn:contentItem:5F7T-S7P1-JCRC-B2FP-00000-00&amp;context=" TargetMode="External" /><Relationship Id="rId191" Type="http://schemas.openxmlformats.org/officeDocument/2006/relationships/hyperlink" Target="https://advance.lexis.com/api/document?collection=cases-ca&amp;id=urn:contentItem:5F7T-S7D1-JS5Y-B2JK-00000-00&amp;context=" TargetMode="External" /><Relationship Id="rId192" Type="http://schemas.openxmlformats.org/officeDocument/2006/relationships/hyperlink" Target="https://advance.lexis.com/api/document?collection=cases-ca&amp;id=urn:contentItem:5F7T-S7B1-FH4C-X381-00000-00&amp;context=" TargetMode="External" /><Relationship Id="rId193" Type="http://schemas.openxmlformats.org/officeDocument/2006/relationships/hyperlink" Target="https://advance.lexis.com/api/document?collection=cases-ca&amp;id=urn:contentItem:5GB9-DSH1-F22N-X2C0-00000-00&amp;context=" TargetMode="External" /><Relationship Id="rId194" Type="http://schemas.openxmlformats.org/officeDocument/2006/relationships/hyperlink" Target="https://advance.lexis.com/api/document?collection=cases-ca&amp;id=urn:contentItem:5F7T-S7K1-DY33-B1K8-00000-00&amp;context=" TargetMode="External" /><Relationship Id="rId195" Type="http://schemas.openxmlformats.org/officeDocument/2006/relationships/hyperlink" Target="https://advance.lexis.com/api/document?collection=cases-ca&amp;id=urn:contentItem:5F7T-S7K1-JSJC-X168-00000-00&amp;context=" TargetMode="External" /><Relationship Id="rId196" Type="http://schemas.openxmlformats.org/officeDocument/2006/relationships/hyperlink" Target="https://advance.lexis.com/api/document?collection=cases-ca&amp;id=urn:contentItem:5F7T-S7H1-F016-S3X8-00000-00&amp;context=" TargetMode="External" /><Relationship Id="rId197" Type="http://schemas.openxmlformats.org/officeDocument/2006/relationships/hyperlink" Target="https://advance.lexis.com/api/document?collection=cases-ca&amp;id=urn:contentItem:5F82-1SH1-F8KH-X1YH-00000-00&amp;context=" TargetMode="External" /><Relationship Id="rId198" Type="http://schemas.openxmlformats.org/officeDocument/2006/relationships/hyperlink" Target="https://advance.lexis.com/api/document?collection=cases-ca&amp;id=urn:contentItem:5F7T-S771-JN14-G2PR-00000-00&amp;context=" TargetMode="External" /><Relationship Id="rId199" Type="http://schemas.openxmlformats.org/officeDocument/2006/relationships/hyperlink" Target="https://advance.lexis.com/api/document?collection=cases-ca&amp;id=urn:contentItem:5F7T-S6W1-JYYX-61TX-00000-00&amp;context=" TargetMode="External" /><Relationship Id="rId2" Type="http://schemas.openxmlformats.org/officeDocument/2006/relationships/webSettings" Target="webSettings.xml" /><Relationship Id="rId20" Type="http://schemas.openxmlformats.org/officeDocument/2006/relationships/footer" Target="footer5.xml" /><Relationship Id="rId200" Type="http://schemas.openxmlformats.org/officeDocument/2006/relationships/hyperlink" Target="https://advance.lexis.com/api/document?collection=cases-ca&amp;id=urn:contentItem:5F7T-S7P1-JSJC-X1GW-00000-00&amp;context=" TargetMode="External" /><Relationship Id="rId201" Type="http://schemas.openxmlformats.org/officeDocument/2006/relationships/hyperlink" Target="https://advance.lexis.com/api/document?collection=cases-ca&amp;id=urn:contentItem:5F7T-S7P1-JG02-S46D-00000-00&amp;context=" TargetMode="External" /><Relationship Id="rId202" Type="http://schemas.openxmlformats.org/officeDocument/2006/relationships/hyperlink" Target="https://advance.lexis.com/api/document?collection=cases-ca&amp;id=urn:contentItem:5SSK-D2K1-JNS1-M1KD-00000-00&amp;context=" TargetMode="External" /><Relationship Id="rId203" Type="http://schemas.openxmlformats.org/officeDocument/2006/relationships/hyperlink" Target="https://advance.lexis.com/api/document?collection=cases-ca&amp;id=urn:contentItem:5SSK-D2K1-JNS1-M1KH-00000-00&amp;context=" TargetMode="External" /><Relationship Id="rId204" Type="http://schemas.openxmlformats.org/officeDocument/2006/relationships/hyperlink" Target="https://advance.lexis.com/api/document?collection=cases-ca&amp;id=urn:contentItem:5F7T-S7P1-JSJC-X1MR-00000-00&amp;context=" TargetMode="External" /><Relationship Id="rId205" Type="http://schemas.openxmlformats.org/officeDocument/2006/relationships/hyperlink" Target="https://advance.lexis.com/api/document?collection=cases-ca&amp;id=urn:contentItem:5RTY-1871-JCBX-S0TB-00000-00&amp;context=" TargetMode="External" /><Relationship Id="rId206" Type="http://schemas.openxmlformats.org/officeDocument/2006/relationships/header" Target="header40.xml" /><Relationship Id="rId207" Type="http://schemas.openxmlformats.org/officeDocument/2006/relationships/header" Target="header41.xml" /><Relationship Id="rId208" Type="http://schemas.openxmlformats.org/officeDocument/2006/relationships/footer" Target="footer40.xml" /><Relationship Id="rId209" Type="http://schemas.openxmlformats.org/officeDocument/2006/relationships/footer" Target="footer41.xml" /><Relationship Id="rId21" Type="http://schemas.openxmlformats.org/officeDocument/2006/relationships/header" Target="header6.xml" /><Relationship Id="rId210" Type="http://schemas.openxmlformats.org/officeDocument/2006/relationships/header" Target="header42.xml" /><Relationship Id="rId211" Type="http://schemas.openxmlformats.org/officeDocument/2006/relationships/footer" Target="footer42.xml" /><Relationship Id="rId212" Type="http://schemas.openxmlformats.org/officeDocument/2006/relationships/hyperlink" Target="https://advance.lexis.com/api/document?collection=cases-ca&amp;id=urn:contentItem:5F7T-S7D1-F7ND-G09S-00000-00&amp;context=" TargetMode="External" /><Relationship Id="rId213" Type="http://schemas.openxmlformats.org/officeDocument/2006/relationships/hyperlink" Target="https://advance.lexis.com/api/document?collection=cases-ca&amp;id=urn:contentItem:5F81-YGM1-JG02-S0MR-00000-00&amp;context=" TargetMode="External" /><Relationship Id="rId214" Type="http://schemas.openxmlformats.org/officeDocument/2006/relationships/hyperlink" Target="https://advance.lexis.com/api/document?collection=cases-ca&amp;id=urn:contentItem:5F7T-S711-F5KY-B162-00000-00&amp;context=" TargetMode="External" /><Relationship Id="rId215" Type="http://schemas.openxmlformats.org/officeDocument/2006/relationships/hyperlink" Target="https://advance.lexis.com/api/document?collection=cases-ca&amp;id=urn:contentItem:5F8P-SDD1-JK4W-M3NS-00000-00&amp;context=" TargetMode="External" /><Relationship Id="rId216" Type="http://schemas.openxmlformats.org/officeDocument/2006/relationships/hyperlink" Target="https://advance.lexis.com/api/document?collection=cases-ca&amp;id=urn:contentItem:5F7T-S751-JG02-S29G-00000-00&amp;context=" TargetMode="External" /><Relationship Id="rId217" Type="http://schemas.openxmlformats.org/officeDocument/2006/relationships/hyperlink" Target="https://advance.lexis.com/api/document?collection=cases-ca&amp;id=urn:contentItem:5F7T-S791-FJTD-G2P4-00000-00&amp;context=" TargetMode="External" /><Relationship Id="rId218" Type="http://schemas.openxmlformats.org/officeDocument/2006/relationships/hyperlink" Target="https://advance.lexis.com/api/document?collection=cases-ca&amp;id=urn:contentItem:5F7T-S7C1-JCJ5-20K6-00000-00&amp;context=" TargetMode="External" /><Relationship Id="rId219" Type="http://schemas.openxmlformats.org/officeDocument/2006/relationships/hyperlink" Target="https://advance.lexis.com/api/document?collection=cases-ca&amp;id=urn:contentItem:5F7T-S771-JW5H-X23S-00000-00&amp;context=" TargetMode="External" /><Relationship Id="rId22" Type="http://schemas.openxmlformats.org/officeDocument/2006/relationships/footer" Target="footer6.xml" /><Relationship Id="rId220" Type="http://schemas.openxmlformats.org/officeDocument/2006/relationships/hyperlink" Target="https://advance.lexis.com/api/document?collection=cases-ca&amp;id=urn:contentItem:5F7T-S751-JG02-S2CJ-00000-00&amp;context=" TargetMode="External" /><Relationship Id="rId221" Type="http://schemas.openxmlformats.org/officeDocument/2006/relationships/hyperlink" Target="https://advance.lexis.com/api/document?collection=cases-ca&amp;id=urn:contentItem:5F7T-S7C1-FCSB-S298-00000-00&amp;context=" TargetMode="External" /><Relationship Id="rId222" Type="http://schemas.openxmlformats.org/officeDocument/2006/relationships/hyperlink" Target="https://advance.lexis.com/api/document?collection=cases-ca&amp;id=urn:contentItem:5F7T-S7C1-F4NT-X3SB-00000-00&amp;context=" TargetMode="External" /><Relationship Id="rId223" Type="http://schemas.openxmlformats.org/officeDocument/2006/relationships/hyperlink" Target="https://advance.lexis.com/api/document?collection=cases-ca&amp;id=urn:contentItem:5F7T-S7C1-JCJ5-20JT-00000-00&amp;context=" TargetMode="External" /><Relationship Id="rId224" Type="http://schemas.openxmlformats.org/officeDocument/2006/relationships/header" Target="header43.xml" /><Relationship Id="rId225" Type="http://schemas.openxmlformats.org/officeDocument/2006/relationships/header" Target="header44.xml" /><Relationship Id="rId226" Type="http://schemas.openxmlformats.org/officeDocument/2006/relationships/footer" Target="footer43.xml" /><Relationship Id="rId227" Type="http://schemas.openxmlformats.org/officeDocument/2006/relationships/footer" Target="footer44.xml" /><Relationship Id="rId228" Type="http://schemas.openxmlformats.org/officeDocument/2006/relationships/header" Target="header45.xml" /><Relationship Id="rId229" Type="http://schemas.openxmlformats.org/officeDocument/2006/relationships/footer" Target="footer45.xml" /><Relationship Id="rId23" Type="http://schemas.openxmlformats.org/officeDocument/2006/relationships/hyperlink" Target="https://advance.lexis.com/api/document?collection=cases-ca&amp;id=urn:contentItem:5F7T-S7C1-JCJ5-20SB-00000-00&amp;context=" TargetMode="External" /><Relationship Id="rId230" Type="http://schemas.openxmlformats.org/officeDocument/2006/relationships/hyperlink" Target="https://advance.lexis.com/api/document?collection=cases-ca&amp;id=urn:contentItem:5F7T-S7D1-JS5Y-B2DV-00000-00&amp;context=" TargetMode="External" /><Relationship Id="rId231" Type="http://schemas.openxmlformats.org/officeDocument/2006/relationships/hyperlink" Target="https://advance.lexis.com/api/document?collection=cases-ca&amp;id=urn:contentItem:5F7T-S781-FH4C-X372-00000-00&amp;context=" TargetMode="External" /><Relationship Id="rId232" Type="http://schemas.openxmlformats.org/officeDocument/2006/relationships/hyperlink" Target="https://advance.lexis.com/api/document?collection=cases-ca&amp;id=urn:contentItem:5F7T-S751-JX3N-B17Y-00000-00&amp;context=" TargetMode="External" /><Relationship Id="rId233" Type="http://schemas.openxmlformats.org/officeDocument/2006/relationships/header" Target="header46.xml" /><Relationship Id="rId234" Type="http://schemas.openxmlformats.org/officeDocument/2006/relationships/header" Target="header47.xml" /><Relationship Id="rId235" Type="http://schemas.openxmlformats.org/officeDocument/2006/relationships/footer" Target="footer46.xml" /><Relationship Id="rId236" Type="http://schemas.openxmlformats.org/officeDocument/2006/relationships/footer" Target="footer47.xml" /><Relationship Id="rId237" Type="http://schemas.openxmlformats.org/officeDocument/2006/relationships/header" Target="header48.xml" /><Relationship Id="rId238" Type="http://schemas.openxmlformats.org/officeDocument/2006/relationships/footer" Target="footer48.xml" /><Relationship Id="rId239" Type="http://schemas.openxmlformats.org/officeDocument/2006/relationships/hyperlink" Target="https://advance.lexis.com/api/document?collection=cases-ca&amp;id=urn:contentItem:5F7T-S791-FJTD-G318-00000-00&amp;context=" TargetMode="External" /><Relationship Id="rId24" Type="http://schemas.openxmlformats.org/officeDocument/2006/relationships/hyperlink" Target="https://advance.lexis.com/api/document?collection=legislation-ca&amp;id=urn:contentItem:5F41-1FJ1-JKPJ-G0P7-00000-00&amp;context=" TargetMode="External" /><Relationship Id="rId240" Type="http://schemas.openxmlformats.org/officeDocument/2006/relationships/hyperlink" Target="https://advance.lexis.com/api/document?collection=cases-ca&amp;id=urn:contentItem:5F7T-S781-FH4C-X31B-00000-00&amp;context=" TargetMode="External" /><Relationship Id="rId241" Type="http://schemas.openxmlformats.org/officeDocument/2006/relationships/hyperlink" Target="https://advance.lexis.com/api/document?collection=cases-ca&amp;id=urn:contentItem:5F7T-S781-F27X-6115-00000-00&amp;context=" TargetMode="External" /><Relationship Id="rId242" Type="http://schemas.openxmlformats.org/officeDocument/2006/relationships/header" Target="header49.xml" /><Relationship Id="rId243" Type="http://schemas.openxmlformats.org/officeDocument/2006/relationships/header" Target="header50.xml" /><Relationship Id="rId244" Type="http://schemas.openxmlformats.org/officeDocument/2006/relationships/footer" Target="footer49.xml" /><Relationship Id="rId245" Type="http://schemas.openxmlformats.org/officeDocument/2006/relationships/footer" Target="footer50.xml" /><Relationship Id="rId246" Type="http://schemas.openxmlformats.org/officeDocument/2006/relationships/header" Target="header51.xml" /><Relationship Id="rId247" Type="http://schemas.openxmlformats.org/officeDocument/2006/relationships/footer" Target="footer51.xml" /><Relationship Id="rId248" Type="http://schemas.openxmlformats.org/officeDocument/2006/relationships/hyperlink" Target="https://advance.lexis.com/api/document?collection=cases-ca&amp;id=urn:contentItem:5F7T-S7F1-JK4W-M1G3-00000-00&amp;context=" TargetMode="External" /><Relationship Id="rId249" Type="http://schemas.openxmlformats.org/officeDocument/2006/relationships/hyperlink" Target="https://advance.lexis.com/api/document?collection=cases-ca&amp;id=urn:contentItem:5K6Y-81M1-JGPY-X1MM-00000-00&amp;context=" TargetMode="External" /><Relationship Id="rId25" Type="http://schemas.openxmlformats.org/officeDocument/2006/relationships/hyperlink" Target="https://advance.lexis.com/api/document?collection=legislation-ca&amp;id=urn:contentItem:5MTG-54W1-DYFH-X1ST-00000-00&amp;context=" TargetMode="External" /><Relationship Id="rId250" Type="http://schemas.openxmlformats.org/officeDocument/2006/relationships/hyperlink" Target="https://advance.lexis.com/api/document?collection=cases-ca&amp;id=urn:contentItem:5F7T-S7G1-JBT7-X40C-00000-00&amp;context=" TargetMode="External" /><Relationship Id="rId251" Type="http://schemas.openxmlformats.org/officeDocument/2006/relationships/hyperlink" Target="https://advance.lexis.com/api/document?collection=cases-ca&amp;id=urn:contentItem:5F7T-S6Y1-JPP5-2188-00000-00&amp;context=" TargetMode="External" /><Relationship Id="rId252" Type="http://schemas.openxmlformats.org/officeDocument/2006/relationships/hyperlink" Target="https://advance.lexis.com/api/document?collection=cases-ca&amp;id=urn:contentItem:5F7T-S761-F81W-227H-00000-00&amp;context=" TargetMode="External" /><Relationship Id="rId253" Type="http://schemas.openxmlformats.org/officeDocument/2006/relationships/hyperlink" Target="https://advance.lexis.com/api/document?collection=cases-ca&amp;id=urn:contentItem:5F7T-S751-JGHR-M1XM-00000-00&amp;context=" TargetMode="External" /><Relationship Id="rId254" Type="http://schemas.openxmlformats.org/officeDocument/2006/relationships/hyperlink" Target="https://advance.lexis.com/api/document?collection=cases-ca&amp;id=urn:contentItem:5F8T-N3V1-JF75-M3KJ-00000-00&amp;context=" TargetMode="External" /><Relationship Id="rId255" Type="http://schemas.openxmlformats.org/officeDocument/2006/relationships/header" Target="header52.xml" /><Relationship Id="rId256" Type="http://schemas.openxmlformats.org/officeDocument/2006/relationships/header" Target="header53.xml" /><Relationship Id="rId257" Type="http://schemas.openxmlformats.org/officeDocument/2006/relationships/footer" Target="footer52.xml" /><Relationship Id="rId258" Type="http://schemas.openxmlformats.org/officeDocument/2006/relationships/footer" Target="footer53.xml" /><Relationship Id="rId259" Type="http://schemas.openxmlformats.org/officeDocument/2006/relationships/header" Target="header54.xml" /><Relationship Id="rId26" Type="http://schemas.openxmlformats.org/officeDocument/2006/relationships/hyperlink" Target="https://advance.lexis.com/api/document?collection=cases-ca&amp;id=urn:contentItem:5F7T-S711-JNY7-X30K-00000-00&amp;context=" TargetMode="External" /><Relationship Id="rId260" Type="http://schemas.openxmlformats.org/officeDocument/2006/relationships/footer" Target="footer54.xml" /><Relationship Id="rId261" Type="http://schemas.openxmlformats.org/officeDocument/2006/relationships/hyperlink" Target="https://advance.lexis.com/api/document?collection=cases-ca&amp;id=urn:contentItem:5F7T-S7C1-JCJ5-20PD-00000-00&amp;context=" TargetMode="External" /><Relationship Id="rId262" Type="http://schemas.openxmlformats.org/officeDocument/2006/relationships/hyperlink" Target="https://advance.lexis.com/api/document?collection=cases-ca&amp;id=urn:contentItem:5F7T-S6Y1-JTNR-M4HV-00000-00&amp;context=" TargetMode="External" /><Relationship Id="rId263" Type="http://schemas.openxmlformats.org/officeDocument/2006/relationships/hyperlink" Target="https://advance.lexis.com/api/document?collection=cases-ca&amp;id=urn:contentItem:5F7T-S6Y1-F65M-60FW-00000-00&amp;context=" TargetMode="External" /><Relationship Id="rId264" Type="http://schemas.openxmlformats.org/officeDocument/2006/relationships/hyperlink" Target="https://advance.lexis.com/api/document?collection=cases-ca&amp;id=urn:contentItem:5F7T-S781-DYMS-61P8-00000-00&amp;context=" TargetMode="External" /><Relationship Id="rId265" Type="http://schemas.openxmlformats.org/officeDocument/2006/relationships/header" Target="header55.xml" /><Relationship Id="rId266" Type="http://schemas.openxmlformats.org/officeDocument/2006/relationships/header" Target="header56.xml" /><Relationship Id="rId267" Type="http://schemas.openxmlformats.org/officeDocument/2006/relationships/footer" Target="footer55.xml" /><Relationship Id="rId268" Type="http://schemas.openxmlformats.org/officeDocument/2006/relationships/footer" Target="footer56.xml" /><Relationship Id="rId269" Type="http://schemas.openxmlformats.org/officeDocument/2006/relationships/header" Target="header57.xml" /><Relationship Id="rId27" Type="http://schemas.openxmlformats.org/officeDocument/2006/relationships/header" Target="header7.xml" /><Relationship Id="rId270" Type="http://schemas.openxmlformats.org/officeDocument/2006/relationships/footer" Target="footer57.xml" /><Relationship Id="rId271" Type="http://schemas.openxmlformats.org/officeDocument/2006/relationships/hyperlink" Target="https://advance.lexis.com/api/document?collection=cases-ca&amp;id=urn:contentItem:5F7T-S7C1-JCJ5-20S5-00000-00&amp;context=" TargetMode="External" /><Relationship Id="rId272" Type="http://schemas.openxmlformats.org/officeDocument/2006/relationships/hyperlink" Target="https://advance.lexis.com/api/document?collection=cases-ca&amp;id=urn:contentItem:5F7T-S6X1-FJDY-X1HX-00000-00&amp;context=" TargetMode="External" /><Relationship Id="rId273" Type="http://schemas.openxmlformats.org/officeDocument/2006/relationships/hyperlink" Target="https://advance.lexis.com/api/document?collection=cases-ca&amp;id=urn:contentItem:5F7T-S731-JNJT-B1SM-00000-00&amp;context=" TargetMode="External" /><Relationship Id="rId274" Type="http://schemas.openxmlformats.org/officeDocument/2006/relationships/hyperlink" Target="https://advance.lexis.com/api/document?collection=cases-ca&amp;id=urn:contentItem:5F7T-S741-F528-G29P-00000-00&amp;context=" TargetMode="External" /><Relationship Id="rId275" Type="http://schemas.openxmlformats.org/officeDocument/2006/relationships/header" Target="header58.xml" /><Relationship Id="rId276" Type="http://schemas.openxmlformats.org/officeDocument/2006/relationships/header" Target="header59.xml" /><Relationship Id="rId277" Type="http://schemas.openxmlformats.org/officeDocument/2006/relationships/footer" Target="footer58.xml" /><Relationship Id="rId278" Type="http://schemas.openxmlformats.org/officeDocument/2006/relationships/footer" Target="footer59.xml" /><Relationship Id="rId279" Type="http://schemas.openxmlformats.org/officeDocument/2006/relationships/header" Target="header60.xml" /><Relationship Id="rId28" Type="http://schemas.openxmlformats.org/officeDocument/2006/relationships/header" Target="header8.xml" /><Relationship Id="rId280" Type="http://schemas.openxmlformats.org/officeDocument/2006/relationships/footer" Target="footer60.xml" /><Relationship Id="rId281" Type="http://schemas.openxmlformats.org/officeDocument/2006/relationships/hyperlink" Target="https://advance.lexis.com/api/document?collection=cases-ca&amp;id=urn:contentItem:5F7T-S771-JSJC-X0F4-00000-00&amp;context=" TargetMode="External" /><Relationship Id="rId282" Type="http://schemas.openxmlformats.org/officeDocument/2006/relationships/hyperlink" Target="https://advance.lexis.com/api/document?collection=cases-ca&amp;id=urn:contentItem:5F7T-S6X1-FBN1-213Y-00000-00&amp;context=" TargetMode="External" /><Relationship Id="rId283" Type="http://schemas.openxmlformats.org/officeDocument/2006/relationships/hyperlink" Target="https://advance.lexis.com/api/document?collection=cases-ca&amp;id=urn:contentItem:5F7T-S6S1-JX3N-B0KH-00000-00&amp;context=" TargetMode="External" /><Relationship Id="rId284" Type="http://schemas.openxmlformats.org/officeDocument/2006/relationships/hyperlink" Target="https://advance.lexis.com/api/document?collection=cases-ca&amp;id=urn:contentItem:5F7T-S721-F06F-236K-00000-00&amp;context=" TargetMode="External" /><Relationship Id="rId285" Type="http://schemas.openxmlformats.org/officeDocument/2006/relationships/hyperlink" Target="https://advance.lexis.com/api/document?collection=cases-ca&amp;id=urn:contentItem:5F7T-S711-F4GK-M2FN-00000-00&amp;context=" TargetMode="External" /><Relationship Id="rId286" Type="http://schemas.openxmlformats.org/officeDocument/2006/relationships/hyperlink" Target="https://advance.lexis.com/api/document?collection=cases-ca&amp;id=urn:contentItem:5F7T-S6Y1-JNY7-X2B9-00000-00&amp;context=" TargetMode="External" /><Relationship Id="rId287" Type="http://schemas.openxmlformats.org/officeDocument/2006/relationships/hyperlink" Target="https://advance.lexis.com/api/document?collection=cases-ca&amp;id=urn:contentItem:5F7T-S701-JJYN-B2J8-00000-00&amp;context=" TargetMode="External" /><Relationship Id="rId288" Type="http://schemas.openxmlformats.org/officeDocument/2006/relationships/hyperlink" Target="https://advance.lexis.com/api/document?collection=cases-ca&amp;id=urn:contentItem:5F8T-N3T1-JJSF-2339-00000-00&amp;context=" TargetMode="External" /><Relationship Id="rId289" Type="http://schemas.openxmlformats.org/officeDocument/2006/relationships/hyperlink" Target="https://advance.lexis.com/api/document?collection=cases-ca&amp;id=urn:contentItem:5F81-YGM1-JG02-S109-00000-00&amp;context=" TargetMode="External" /><Relationship Id="rId29" Type="http://schemas.openxmlformats.org/officeDocument/2006/relationships/footer" Target="footer7.xml" /><Relationship Id="rId290" Type="http://schemas.openxmlformats.org/officeDocument/2006/relationships/header" Target="header61.xml" /><Relationship Id="rId291" Type="http://schemas.openxmlformats.org/officeDocument/2006/relationships/header" Target="header62.xml" /><Relationship Id="rId292" Type="http://schemas.openxmlformats.org/officeDocument/2006/relationships/footer" Target="footer61.xml" /><Relationship Id="rId293" Type="http://schemas.openxmlformats.org/officeDocument/2006/relationships/footer" Target="footer62.xml" /><Relationship Id="rId294" Type="http://schemas.openxmlformats.org/officeDocument/2006/relationships/header" Target="header63.xml" /><Relationship Id="rId295" Type="http://schemas.openxmlformats.org/officeDocument/2006/relationships/footer" Target="footer63.xml" /><Relationship Id="rId296" Type="http://schemas.openxmlformats.org/officeDocument/2006/relationships/hyperlink" Target="https://advance.lexis.com/api/document?collection=cases-ca&amp;id=urn:contentItem:5F7T-S7B1-JSRM-601G-00000-00&amp;context=" TargetMode="External" /><Relationship Id="rId297" Type="http://schemas.openxmlformats.org/officeDocument/2006/relationships/hyperlink" Target="https://advance.lexis.com/api/document?collection=cases-ca&amp;id=urn:contentItem:5F7T-S741-DXPM-S17F-00000-00&amp;context=" TargetMode="External" /><Relationship Id="rId298" Type="http://schemas.openxmlformats.org/officeDocument/2006/relationships/hyperlink" Target="https://advance.lexis.com/api/document?collection=cases-ca&amp;id=urn:contentItem:5F7T-S701-JF75-M46T-00000-00&amp;context=" TargetMode="External" /><Relationship Id="rId299" Type="http://schemas.openxmlformats.org/officeDocument/2006/relationships/hyperlink" Target="https://advance.lexis.com/api/document?collection=cases-ca&amp;id=urn:contentItem:5F7T-S721-F57G-S13G-00000-00&amp;context=" TargetMode="External" /><Relationship Id="rId3" Type="http://schemas.openxmlformats.org/officeDocument/2006/relationships/fontTable" Target="fontTable.xml" /><Relationship Id="rId30" Type="http://schemas.openxmlformats.org/officeDocument/2006/relationships/footer" Target="footer8.xml" /><Relationship Id="rId300" Type="http://schemas.openxmlformats.org/officeDocument/2006/relationships/hyperlink" Target="https://advance.lexis.com/api/document?collection=cases-ca&amp;id=urn:contentItem:5F7T-S731-FG12-62K6-00000-00&amp;context=" TargetMode="External" /><Relationship Id="rId301" Type="http://schemas.openxmlformats.org/officeDocument/2006/relationships/hyperlink" Target="https://advance.lexis.com/api/document?collection=cases-ca&amp;id=urn:contentItem:5F7T-S731-JNJT-B263-00000-00&amp;context=" TargetMode="External" /><Relationship Id="rId302" Type="http://schemas.openxmlformats.org/officeDocument/2006/relationships/hyperlink" Target="https://advance.lexis.com/api/document?collection=cases-ca&amp;id=urn:contentItem:5F7T-S741-DXPM-S13P-00000-00&amp;context=" TargetMode="External" /><Relationship Id="rId303" Type="http://schemas.openxmlformats.org/officeDocument/2006/relationships/hyperlink" Target="https://advance.lexis.com/api/document?collection=cases-ca&amp;id=urn:contentItem:5F7T-S741-F1H1-21M0-00000-00&amp;context=" TargetMode="External" /><Relationship Id="rId304" Type="http://schemas.openxmlformats.org/officeDocument/2006/relationships/hyperlink" Target="https://advance.lexis.com/api/document?collection=cases-ca&amp;id=urn:contentItem:5F7T-S761-F7ND-G4SX-00000-00&amp;context=" TargetMode="External" /><Relationship Id="rId305" Type="http://schemas.openxmlformats.org/officeDocument/2006/relationships/hyperlink" Target="https://advance.lexis.com/api/document?collection=cases-ca&amp;id=urn:contentItem:5F7T-S781-F27X-618B-00000-00&amp;context=" TargetMode="External" /><Relationship Id="rId306" Type="http://schemas.openxmlformats.org/officeDocument/2006/relationships/hyperlink" Target="https://advance.lexis.com/api/document?collection=cases-ca&amp;id=urn:contentItem:5F7T-S771-JJD0-G14F-00000-00&amp;context=" TargetMode="External" /><Relationship Id="rId307" Type="http://schemas.openxmlformats.org/officeDocument/2006/relationships/hyperlink" Target="https://advance.lexis.com/api/document?collection=cases-ca&amp;id=urn:contentItem:5F7T-S771-JJD0-G1DR-00000-00&amp;context=" TargetMode="External" /><Relationship Id="rId308" Type="http://schemas.openxmlformats.org/officeDocument/2006/relationships/hyperlink" Target="https://advance.lexis.com/api/document?collection=cases-ca&amp;id=urn:contentItem:5F8T-N3R1-JNS1-M12J-00000-00&amp;context=" TargetMode="External" /><Relationship Id="rId309" Type="http://schemas.openxmlformats.org/officeDocument/2006/relationships/hyperlink" Target="https://advance.lexis.com/api/document?collection=cases-ca&amp;id=urn:contentItem:5F7T-S751-JX3N-B0S9-00000-00&amp;context=" TargetMode="External" /><Relationship Id="rId31" Type="http://schemas.openxmlformats.org/officeDocument/2006/relationships/header" Target="header9.xml" /><Relationship Id="rId310" Type="http://schemas.openxmlformats.org/officeDocument/2006/relationships/hyperlink" Target="https://advance.lexis.com/api/document?collection=cases-ca&amp;id=urn:contentItem:5F16-92X1-FBN1-23KR-00000-00&amp;context=" TargetMode="External" /><Relationship Id="rId311" Type="http://schemas.openxmlformats.org/officeDocument/2006/relationships/hyperlink" Target="https://advance.lexis.com/api/document?collection=cases-ca&amp;id=urn:contentItem:5F8P-SD61-JX8W-M3FX-00000-00&amp;context=" TargetMode="External" /><Relationship Id="rId312" Type="http://schemas.openxmlformats.org/officeDocument/2006/relationships/hyperlink" Target="https://advance.lexis.com/api/document?collection=cases-ca&amp;id=urn:contentItem:5F8P-SDB1-JC5P-G26S-00000-00&amp;context=" TargetMode="External" /><Relationship Id="rId313" Type="http://schemas.openxmlformats.org/officeDocument/2006/relationships/hyperlink" Target="https://advance.lexis.com/api/document?collection=cases-ca&amp;id=urn:contentItem:5F7T-S781-F06F-23VG-00000-00&amp;context=" TargetMode="External" /><Relationship Id="rId314" Type="http://schemas.openxmlformats.org/officeDocument/2006/relationships/hyperlink" Target="https://advance.lexis.com/api/document?collection=cases-ca&amp;id=urn:contentItem:5F16-9351-F7VM-S3B4-00000-00&amp;context=" TargetMode="External" /><Relationship Id="rId315" Type="http://schemas.openxmlformats.org/officeDocument/2006/relationships/hyperlink" Target="https://advance.lexis.com/api/document?collection=cases-ca&amp;id=urn:contentItem:5XR8-3VX1-DYV0-G2HC-00000-00&amp;context=" TargetMode="External" /><Relationship Id="rId316" Type="http://schemas.openxmlformats.org/officeDocument/2006/relationships/header" Target="header64.xml" /><Relationship Id="rId317" Type="http://schemas.openxmlformats.org/officeDocument/2006/relationships/header" Target="header65.xml" /><Relationship Id="rId318" Type="http://schemas.openxmlformats.org/officeDocument/2006/relationships/footer" Target="footer64.xml" /><Relationship Id="rId319" Type="http://schemas.openxmlformats.org/officeDocument/2006/relationships/footer" Target="footer65.xml" /><Relationship Id="rId32" Type="http://schemas.openxmlformats.org/officeDocument/2006/relationships/footer" Target="footer9.xml" /><Relationship Id="rId320" Type="http://schemas.openxmlformats.org/officeDocument/2006/relationships/header" Target="header66.xml" /><Relationship Id="rId321" Type="http://schemas.openxmlformats.org/officeDocument/2006/relationships/footer" Target="footer66.xml" /><Relationship Id="rId322" Type="http://schemas.openxmlformats.org/officeDocument/2006/relationships/hyperlink" Target="https://advance.lexis.com/api/document?collection=cases-ca&amp;id=urn:contentItem:5F7T-S7C1-JXG3-X042-00000-00&amp;context=" TargetMode="External" /><Relationship Id="rId323" Type="http://schemas.openxmlformats.org/officeDocument/2006/relationships/hyperlink" Target="https://advance.lexis.com/api/document?collection=cases-ca&amp;id=urn:contentItem:5F7T-S6T1-JTNR-M2MX-00000-00&amp;context=" TargetMode="External" /><Relationship Id="rId324" Type="http://schemas.openxmlformats.org/officeDocument/2006/relationships/hyperlink" Target="https://advance.lexis.com/api/document?collection=cases-ca&amp;id=urn:contentItem:5F7T-S7C1-F30T-B260-00000-00&amp;context=" TargetMode="External" /><Relationship Id="rId325" Type="http://schemas.openxmlformats.org/officeDocument/2006/relationships/hyperlink" Target="https://advance.lexis.com/api/document?collection=cases-ca&amp;id=urn:contentItem:5F7T-S6X1-F7ND-G3V4-00000-00&amp;context=" TargetMode="External" /><Relationship Id="rId326" Type="http://schemas.openxmlformats.org/officeDocument/2006/relationships/header" Target="header67.xml" /><Relationship Id="rId327" Type="http://schemas.openxmlformats.org/officeDocument/2006/relationships/header" Target="header68.xml" /><Relationship Id="rId328" Type="http://schemas.openxmlformats.org/officeDocument/2006/relationships/footer" Target="footer67.xml" /><Relationship Id="rId329" Type="http://schemas.openxmlformats.org/officeDocument/2006/relationships/footer" Target="footer68.xml" /><Relationship Id="rId33" Type="http://schemas.openxmlformats.org/officeDocument/2006/relationships/hyperlink" Target="https://advance.lexis.com/api/document?collection=cases-ca&amp;id=urn:contentItem:5F7T-S7D1-JN6B-S0VJ-00000-00&amp;context=" TargetMode="External" /><Relationship Id="rId330" Type="http://schemas.openxmlformats.org/officeDocument/2006/relationships/header" Target="header69.xml" /><Relationship Id="rId331" Type="http://schemas.openxmlformats.org/officeDocument/2006/relationships/footer" Target="footer69.xml" /><Relationship Id="rId332" Type="http://schemas.openxmlformats.org/officeDocument/2006/relationships/hyperlink" Target="https://advance.lexis.com/api/document?collection=cases-ca&amp;id=urn:contentItem:5F7T-S7H1-FCSB-S3W5-00000-00&amp;context=" TargetMode="External" /><Relationship Id="rId333" Type="http://schemas.openxmlformats.org/officeDocument/2006/relationships/hyperlink" Target="https://advance.lexis.com/api/document?collection=cases-ca&amp;id=urn:contentItem:5K6Y-81M1-DXHD-G2BW-00000-00&amp;context=" TargetMode="External" /><Relationship Id="rId334" Type="http://schemas.openxmlformats.org/officeDocument/2006/relationships/hyperlink" Target="https://advance.lexis.com/api/document?collection=legislation-ca&amp;id=urn:contentItem:5F41-1FM1-FCK4-G01C-00000-00&amp;context=" TargetMode="External" /><Relationship Id="rId335" Type="http://schemas.openxmlformats.org/officeDocument/2006/relationships/hyperlink" Target="https://advance.lexis.com/api/document?collection=cases-ca&amp;id=urn:contentItem:5F7T-S721-FD4T-B0MF-00000-00&amp;context=" TargetMode="External" /><Relationship Id="rId336" Type="http://schemas.openxmlformats.org/officeDocument/2006/relationships/hyperlink" Target="https://advance.lexis.com/api/document?collection=cases-ca&amp;id=urn:contentItem:5F7T-S741-F528-G2J5-00000-00&amp;context=" TargetMode="External" /><Relationship Id="rId337" Type="http://schemas.openxmlformats.org/officeDocument/2006/relationships/hyperlink" Target="https://advance.lexis.com/api/document?collection=cases-ca&amp;id=urn:contentItem:5F7T-S7H1-JG02-S3N8-00000-00&amp;context=" TargetMode="External" /><Relationship Id="rId338" Type="http://schemas.openxmlformats.org/officeDocument/2006/relationships/hyperlink" Target="https://advance.lexis.com/api/document?collection=cases-ca&amp;id=urn:contentItem:5F81-VJV1-JK4W-M4YV-00000-00&amp;context=" TargetMode="External" /><Relationship Id="rId339" Type="http://schemas.openxmlformats.org/officeDocument/2006/relationships/hyperlink" Target="https://advance.lexis.com/api/document?collection=cases-ca&amp;id=urn:contentItem:5F7T-S7H1-JG02-S39S-00000-00&amp;context=" TargetMode="External" /><Relationship Id="rId34" Type="http://schemas.openxmlformats.org/officeDocument/2006/relationships/hyperlink" Target="https://advance.lexis.com/api/document?collection=cases-ca&amp;id=urn:contentItem:5F16-9311-JW09-M53T-00000-00&amp;context=" TargetMode="External" /><Relationship Id="rId340" Type="http://schemas.openxmlformats.org/officeDocument/2006/relationships/hyperlink" Target="https://advance.lexis.com/api/document?collection=cases-ca&amp;id=urn:contentItem:5F7T-S6S1-JX8W-M2DS-00000-00&amp;context=" TargetMode="External" /><Relationship Id="rId341" Type="http://schemas.openxmlformats.org/officeDocument/2006/relationships/hyperlink" Target="https://advance.lexis.com/api/document?collection=cases-ca&amp;id=urn:contentItem:5F7T-S721-F8D9-M162-00000-00&amp;context=" TargetMode="External" /><Relationship Id="rId342" Type="http://schemas.openxmlformats.org/officeDocument/2006/relationships/hyperlink" Target="https://advance.lexis.com/api/document?collection=cases-ca&amp;id=urn:contentItem:5F7T-S6W1-F5T5-M1CN-00000-00&amp;context=" TargetMode="External" /><Relationship Id="rId343" Type="http://schemas.openxmlformats.org/officeDocument/2006/relationships/hyperlink" Target="https://advance.lexis.com/api/document?collection=cases-ca&amp;id=urn:contentItem:5F7T-S6Y1-JTNR-M45J-00000-00&amp;context=" TargetMode="External" /><Relationship Id="rId344" Type="http://schemas.openxmlformats.org/officeDocument/2006/relationships/hyperlink" Target="https://advance.lexis.com/api/document?collection=cases-ca&amp;id=urn:contentItem:5F8T-N3R1-JJSF-2329-00000-00&amp;context=" TargetMode="External" /><Relationship Id="rId345" Type="http://schemas.openxmlformats.org/officeDocument/2006/relationships/hyperlink" Target="https://advance.lexis.com/api/document?collection=cases-ca&amp;id=urn:contentItem:5F7T-S7D1-JG02-S2WV-00000-00&amp;context=" TargetMode="External" /><Relationship Id="rId346" Type="http://schemas.openxmlformats.org/officeDocument/2006/relationships/hyperlink" Target="https://advance.lexis.com/api/document?collection=cases-ca&amp;id=urn:contentItem:5F8T-N3V1-FC1F-M45J-00000-00&amp;context=" TargetMode="External" /><Relationship Id="rId347" Type="http://schemas.openxmlformats.org/officeDocument/2006/relationships/hyperlink" Target="https://advance.lexis.com/api/document?collection=cases-ca&amp;id=urn:contentItem:5F7T-S7G1-JNY7-X443-00000-00&amp;context=" TargetMode="External" /><Relationship Id="rId348" Type="http://schemas.openxmlformats.org/officeDocument/2006/relationships/hyperlink" Target="https://advance.lexis.com/api/document?collection=cases-ca&amp;id=urn:contentItem:5F7T-S7C1-FCSB-S2DJ-00000-00&amp;context=" TargetMode="External" /><Relationship Id="rId349" Type="http://schemas.openxmlformats.org/officeDocument/2006/relationships/hyperlink" Target="https://advance.lexis.com/api/document?collection=cases-ca&amp;id=urn:contentItem:5F81-YGW1-DYFH-X025-00000-00&amp;context=" TargetMode="External" /><Relationship Id="rId35" Type="http://schemas.openxmlformats.org/officeDocument/2006/relationships/hyperlink" Target="https://advance.lexis.com/api/document?collection=cases-ca&amp;id=urn:contentItem:5F7V-3DD1-FG68-G2C6-00000-00&amp;context=" TargetMode="External" /><Relationship Id="rId350" Type="http://schemas.openxmlformats.org/officeDocument/2006/relationships/hyperlink" Target="https://advance.lexis.com/api/document?collection=cases-ca&amp;id=urn:contentItem:5F8T-N3V1-JTGH-B18F-00000-00&amp;context=" TargetMode="External" /><Relationship Id="rId351" Type="http://schemas.openxmlformats.org/officeDocument/2006/relationships/hyperlink" Target="https://advance.lexis.com/api/document?collection=cases-ca&amp;id=urn:contentItem:5F8T-N3T1-JFKM-655K-00000-00&amp;context=" TargetMode="External" /><Relationship Id="rId352" Type="http://schemas.openxmlformats.org/officeDocument/2006/relationships/hyperlink" Target="https://advance.lexis.com/api/document?collection=cases-ca&amp;id=urn:contentItem:5F7T-S6Y1-JNY7-X296-00000-00&amp;context=" TargetMode="External" /><Relationship Id="rId353" Type="http://schemas.openxmlformats.org/officeDocument/2006/relationships/hyperlink" Target="https://advance.lexis.com/api/document?collection=cases-ca&amp;id=urn:contentItem:5F7T-S7D1-FC6N-X0YY-00000-00&amp;context=" TargetMode="External" /><Relationship Id="rId354" Type="http://schemas.openxmlformats.org/officeDocument/2006/relationships/hyperlink" Target="https://advance.lexis.com/api/document?collection=cases-ca&amp;id=urn:contentItem:5F7T-S7F1-JK4W-M1JH-00000-00&amp;context=" TargetMode="External" /><Relationship Id="rId355" Type="http://schemas.openxmlformats.org/officeDocument/2006/relationships/hyperlink" Target="https://advance.lexis.com/api/document?collection=cases-ca&amp;id=urn:contentItem:5F7T-S741-DXPM-S10C-00000-00&amp;context=" TargetMode="External" /><Relationship Id="rId356" Type="http://schemas.openxmlformats.org/officeDocument/2006/relationships/header" Target="header70.xml" /><Relationship Id="rId357" Type="http://schemas.openxmlformats.org/officeDocument/2006/relationships/header" Target="header71.xml" /><Relationship Id="rId358" Type="http://schemas.openxmlformats.org/officeDocument/2006/relationships/footer" Target="footer70.xml" /><Relationship Id="rId359" Type="http://schemas.openxmlformats.org/officeDocument/2006/relationships/footer" Target="footer71.xml" /><Relationship Id="rId36" Type="http://schemas.openxmlformats.org/officeDocument/2006/relationships/header" Target="header10.xml" /><Relationship Id="rId360" Type="http://schemas.openxmlformats.org/officeDocument/2006/relationships/header" Target="header72.xml" /><Relationship Id="rId361" Type="http://schemas.openxmlformats.org/officeDocument/2006/relationships/footer" Target="footer72.xml" /><Relationship Id="rId362" Type="http://schemas.openxmlformats.org/officeDocument/2006/relationships/hyperlink" Target="https://advance.lexis.com/api/document?collection=cases-ca&amp;id=urn:contentItem:5F7T-S771-JJD0-G12D-00000-00&amp;context=" TargetMode="External" /><Relationship Id="rId363" Type="http://schemas.openxmlformats.org/officeDocument/2006/relationships/hyperlink" Target="https://advance.lexis.com/api/document?collection=cases-ca&amp;id=urn:contentItem:5F8T-N3V1-JFKM-6011-00000-00&amp;context=" TargetMode="External" /><Relationship Id="rId364" Type="http://schemas.openxmlformats.org/officeDocument/2006/relationships/hyperlink" Target="https://advance.lexis.com/api/document?collection=cases-ca&amp;id=urn:contentItem:5F81-VJV1-F8D9-M0NM-00000-00&amp;context=" TargetMode="External" /><Relationship Id="rId365" Type="http://schemas.openxmlformats.org/officeDocument/2006/relationships/hyperlink" Target="https://advance.lexis.com/api/document?collection=cases-ca&amp;id=urn:contentItem:5F7T-XPT1-JP4G-6369-00000-00&amp;context=" TargetMode="External" /><Relationship Id="rId366" Type="http://schemas.openxmlformats.org/officeDocument/2006/relationships/hyperlink" Target="https://advance.lexis.com/api/document?collection=cases-ca&amp;id=urn:contentItem:5F8P-SCN1-FC6N-X3RP-00000-00&amp;context=" TargetMode="External" /><Relationship Id="rId367" Type="http://schemas.openxmlformats.org/officeDocument/2006/relationships/hyperlink" Target="https://advance.lexis.com/api/document?collection=cases-ca&amp;id=urn:contentItem:5F81-VJX1-JYYX-60F6-00000-00&amp;context=" TargetMode="External" /><Relationship Id="rId368" Type="http://schemas.openxmlformats.org/officeDocument/2006/relationships/header" Target="header73.xml" /><Relationship Id="rId369" Type="http://schemas.openxmlformats.org/officeDocument/2006/relationships/header" Target="header74.xml" /><Relationship Id="rId37" Type="http://schemas.openxmlformats.org/officeDocument/2006/relationships/header" Target="header11.xml" /><Relationship Id="rId370" Type="http://schemas.openxmlformats.org/officeDocument/2006/relationships/footer" Target="footer73.xml" /><Relationship Id="rId371" Type="http://schemas.openxmlformats.org/officeDocument/2006/relationships/footer" Target="footer74.xml" /><Relationship Id="rId372" Type="http://schemas.openxmlformats.org/officeDocument/2006/relationships/header" Target="header75.xml" /><Relationship Id="rId373" Type="http://schemas.openxmlformats.org/officeDocument/2006/relationships/footer" Target="footer75.xml" /><Relationship Id="rId374" Type="http://schemas.openxmlformats.org/officeDocument/2006/relationships/hyperlink" Target="https://advance.lexis.com/api/document?collection=cases-ca&amp;id=urn:contentItem:5F7T-S7C1-F4NT-X42Y-00000-00&amp;context=" TargetMode="External" /><Relationship Id="rId375" Type="http://schemas.openxmlformats.org/officeDocument/2006/relationships/hyperlink" Target="https://advance.lexis.com/api/document?collection=cases-ca&amp;id=urn:contentItem:5F8T-N3S1-JBDT-B01P-00000-00&amp;context=" TargetMode="External" /><Relationship Id="rId376" Type="http://schemas.openxmlformats.org/officeDocument/2006/relationships/hyperlink" Target="https://advance.lexis.com/api/document?collection=cases-ca&amp;id=urn:contentItem:5F8T-N3T1-JGHR-M21F-00000-00&amp;context=" TargetMode="External" /><Relationship Id="rId377" Type="http://schemas.openxmlformats.org/officeDocument/2006/relationships/hyperlink" Target="https://advance.lexis.com/api/document?collection=cases-ca&amp;id=urn:contentItem:5F7T-S6Y1-JNY7-X2P6-00000-00&amp;context=" TargetMode="External" /><Relationship Id="rId378" Type="http://schemas.openxmlformats.org/officeDocument/2006/relationships/hyperlink" Target="https://advance.lexis.com/api/document?collection=cases-ca&amp;id=urn:contentItem:5F8T-N3T1-JFKM-6524-00000-00&amp;context=" TargetMode="External" /><Relationship Id="rId379" Type="http://schemas.openxmlformats.org/officeDocument/2006/relationships/header" Target="header76.xml" /><Relationship Id="rId38" Type="http://schemas.openxmlformats.org/officeDocument/2006/relationships/footer" Target="footer10.xml" /><Relationship Id="rId380" Type="http://schemas.openxmlformats.org/officeDocument/2006/relationships/header" Target="header77.xml" /><Relationship Id="rId381" Type="http://schemas.openxmlformats.org/officeDocument/2006/relationships/footer" Target="footer76.xml" /><Relationship Id="rId382" Type="http://schemas.openxmlformats.org/officeDocument/2006/relationships/footer" Target="footer77.xml" /><Relationship Id="rId383" Type="http://schemas.openxmlformats.org/officeDocument/2006/relationships/header" Target="header78.xml" /><Relationship Id="rId384" Type="http://schemas.openxmlformats.org/officeDocument/2006/relationships/footer" Target="footer78.xml" /><Relationship Id="rId385" Type="http://schemas.openxmlformats.org/officeDocument/2006/relationships/hyperlink" Target="https://advance.lexis.com/api/document?collection=cases-ca&amp;id=urn:contentItem:5F7T-S7J1-JNS1-M223-00000-00&amp;context=" TargetMode="External" /><Relationship Id="rId386" Type="http://schemas.openxmlformats.org/officeDocument/2006/relationships/hyperlink" Target="https://advance.lexis.com/api/document?collection=cases-ca&amp;id=urn:contentItem:5F7T-S7H1-FCSB-S3K2-00000-00&amp;context=" TargetMode="External" /><Relationship Id="rId387" Type="http://schemas.openxmlformats.org/officeDocument/2006/relationships/hyperlink" Target="https://advance.lexis.com/api/document?collection=legislation-ca&amp;id=urn:contentItem:5YP5-7N61-F8KH-X2KN-00000-00&amp;context=" TargetMode="External" /><Relationship Id="rId388" Type="http://schemas.openxmlformats.org/officeDocument/2006/relationships/hyperlink" Target="https://advance.lexis.com/api/document?collection=cases-ca&amp;id=urn:contentItem:5F7T-S7D1-FFFC-B1G3-00000-00&amp;context=" TargetMode="External" /><Relationship Id="rId389" Type="http://schemas.openxmlformats.org/officeDocument/2006/relationships/hyperlink" Target="https://advance.lexis.com/api/document?collection=cases-ca&amp;id=urn:contentItem:5F7T-S741-F1H1-21G4-00000-00&amp;context=" TargetMode="External" /><Relationship Id="rId39" Type="http://schemas.openxmlformats.org/officeDocument/2006/relationships/footer" Target="footer11.xml" /><Relationship Id="rId390" Type="http://schemas.openxmlformats.org/officeDocument/2006/relationships/hyperlink" Target="https://advance.lexis.com/api/document?collection=cases-ca&amp;id=urn:contentItem:5F7T-S6T1-DY89-M32P-00000-00&amp;context=" TargetMode="External" /><Relationship Id="rId391" Type="http://schemas.openxmlformats.org/officeDocument/2006/relationships/hyperlink" Target="https://advance.lexis.com/api/document?collection=cases-ca&amp;id=urn:contentItem:5F7T-S6V1-JC0G-62GW-00000-00&amp;context=" TargetMode="External" /><Relationship Id="rId392" Type="http://schemas.openxmlformats.org/officeDocument/2006/relationships/hyperlink" Target="https://advance.lexis.com/api/document?collection=cases-ca&amp;id=urn:contentItem:5F7T-S761-FFMK-M0WK-00000-00&amp;context=" TargetMode="External" /><Relationship Id="rId393" Type="http://schemas.openxmlformats.org/officeDocument/2006/relationships/hyperlink" Target="https://advance.lexis.com/api/document?collection=cases-ca&amp;id=urn:contentItem:5F7T-S7H1-F016-S3PH-00000-00&amp;context=" TargetMode="External" /><Relationship Id="rId394" Type="http://schemas.openxmlformats.org/officeDocument/2006/relationships/hyperlink" Target="https://advance.lexis.com/api/document?collection=cases-ca&amp;id=urn:contentItem:5F7T-S7H1-F4GK-M393-00000-00&amp;context=" TargetMode="External" /><Relationship Id="rId395" Type="http://schemas.openxmlformats.org/officeDocument/2006/relationships/hyperlink" Target="https://advance.lexis.com/api/document?collection=cases-ca&amp;id=urn:contentItem:5F7T-S7H1-JS5Y-B2WC-00000-00&amp;context=" TargetMode="External" /><Relationship Id="rId396" Type="http://schemas.openxmlformats.org/officeDocument/2006/relationships/hyperlink" Target="https://advance.lexis.com/api/document?collection=cases-ca&amp;id=urn:contentItem:5F7T-S7H1-JCRC-B11R-00000-00&amp;context=" TargetMode="External" /><Relationship Id="rId397" Type="http://schemas.openxmlformats.org/officeDocument/2006/relationships/hyperlink" Target="https://advance.lexis.com/api/document?collection=cases-ca&amp;id=urn:contentItem:5F7T-S7H1-JCRC-B10W-00000-00&amp;context=" TargetMode="External" /><Relationship Id="rId398" Type="http://schemas.openxmlformats.org/officeDocument/2006/relationships/hyperlink" Target="https://advance.lexis.com/api/document?collection=cases-ca&amp;id=urn:contentItem:5F7T-S7H1-JS5Y-B34G-00000-00&amp;context=" TargetMode="External" /><Relationship Id="rId399" Type="http://schemas.openxmlformats.org/officeDocument/2006/relationships/hyperlink" Target="https://advance.lexis.com/api/document?collection=cases-ca&amp;id=urn:contentItem:5F7T-S7D1-FC6N-X11F-00000-00&amp;context=" TargetMode="External" /><Relationship Id="rId4" Type="http://schemas.openxmlformats.org/officeDocument/2006/relationships/header" Target="header1.xml" /><Relationship Id="rId40" Type="http://schemas.openxmlformats.org/officeDocument/2006/relationships/header" Target="header12.xml" /><Relationship Id="rId400" Type="http://schemas.openxmlformats.org/officeDocument/2006/relationships/hyperlink" Target="https://advance.lexis.com/api/document?collection=cases-ca&amp;id=urn:contentItem:5F7T-S7H1-JCRC-B105-00000-00&amp;context=" TargetMode="External" /><Relationship Id="rId401" Type="http://schemas.openxmlformats.org/officeDocument/2006/relationships/hyperlink" Target="https://advance.lexis.com/api/document?collection=cases-ca&amp;id=urn:contentItem:5F7T-S7F1-JX3N-B1J6-00000-00&amp;context=" TargetMode="External" /><Relationship Id="rId402" Type="http://schemas.openxmlformats.org/officeDocument/2006/relationships/hyperlink" Target="https://advance.lexis.com/api/document?collection=cases-ca&amp;id=urn:contentItem:5F7T-S6P1-JSC5-M259-00000-00&amp;context=" TargetMode="External" /><Relationship Id="rId403" Type="http://schemas.openxmlformats.org/officeDocument/2006/relationships/hyperlink" Target="https://advance.lexis.com/api/document?collection=cases-ca&amp;id=urn:contentItem:5F7T-S6T1-K054-G0WH-00000-00&amp;context=" TargetMode="External" /><Relationship Id="rId404" Type="http://schemas.openxmlformats.org/officeDocument/2006/relationships/hyperlink" Target="https://advance.lexis.com/api/document?collection=cases-ca&amp;id=urn:contentItem:5F7T-S7D1-JN6B-S0X4-00000-00&amp;context=" TargetMode="External" /><Relationship Id="rId405" Type="http://schemas.openxmlformats.org/officeDocument/2006/relationships/hyperlink" Target="https://advance.lexis.com/api/document?collection=cases-ca&amp;id=urn:contentItem:5F7T-S7H1-JS5Y-B35X-00000-00&amp;context=" TargetMode="External" /><Relationship Id="rId406" Type="http://schemas.openxmlformats.org/officeDocument/2006/relationships/hyperlink" Target="https://advance.lexis.com/api/document?collection=cases-ca&amp;id=urn:contentItem:5F7T-S6Y1-DY33-B06C-00000-00&amp;context=" TargetMode="External" /><Relationship Id="rId407" Type="http://schemas.openxmlformats.org/officeDocument/2006/relationships/hyperlink" Target="https://advance.lexis.com/api/document?collection=cases-ca&amp;id=urn:contentItem:5F7T-S6T1-FD4T-B028-00000-00&amp;context=" TargetMode="External" /><Relationship Id="rId408" Type="http://schemas.openxmlformats.org/officeDocument/2006/relationships/hyperlink" Target="https://advance.lexis.com/api/document?collection=cases-ca&amp;id=urn:contentItem:5K6Y-81K1-JKHB-63FD-00000-00&amp;context=" TargetMode="External" /><Relationship Id="rId409" Type="http://schemas.openxmlformats.org/officeDocument/2006/relationships/hyperlink" Target="https://advance.lexis.com/api/document?collection=cases-ca&amp;id=urn:contentItem:5F7T-S741-F2F4-G2FP-00000-00&amp;context=" TargetMode="External" /><Relationship Id="rId41" Type="http://schemas.openxmlformats.org/officeDocument/2006/relationships/footer" Target="footer12.xml" /><Relationship Id="rId410" Type="http://schemas.openxmlformats.org/officeDocument/2006/relationships/hyperlink" Target="https://advance.lexis.com/api/document?collection=cases-ca&amp;id=urn:contentItem:5F7T-S7H1-FCSB-S3PW-00000-00&amp;context=" TargetMode="External" /><Relationship Id="rId411" Type="http://schemas.openxmlformats.org/officeDocument/2006/relationships/hyperlink" Target="https://advance.lexis.com/api/document?collection=cases-ca&amp;id=urn:contentItem:5F7T-S771-F361-M1VH-00000-00&amp;context=" TargetMode="External" /><Relationship Id="rId412" Type="http://schemas.openxmlformats.org/officeDocument/2006/relationships/hyperlink" Target="https://advance.lexis.com/api/document?collection=cases-ca&amp;id=urn:contentItem:5F7T-S731-F1WF-M229-00000-00&amp;context=" TargetMode="External" /><Relationship Id="rId413" Type="http://schemas.openxmlformats.org/officeDocument/2006/relationships/hyperlink" Target="https://advance.lexis.com/api/document?collection=cases-ca&amp;id=urn:contentItem:5F7T-S7H1-FCSB-S3RP-00000-00&amp;context=" TargetMode="External" /><Relationship Id="rId414" Type="http://schemas.openxmlformats.org/officeDocument/2006/relationships/hyperlink" Target="https://advance.lexis.com/api/document?collection=cases-ca&amp;id=urn:contentItem:5F7T-S6X1-F06F-22SH-00000-00&amp;context=" TargetMode="External" /><Relationship Id="rId415" Type="http://schemas.openxmlformats.org/officeDocument/2006/relationships/header" Target="header79.xml" /><Relationship Id="rId416" Type="http://schemas.openxmlformats.org/officeDocument/2006/relationships/header" Target="header80.xml" /><Relationship Id="rId417" Type="http://schemas.openxmlformats.org/officeDocument/2006/relationships/footer" Target="footer79.xml" /><Relationship Id="rId418" Type="http://schemas.openxmlformats.org/officeDocument/2006/relationships/footer" Target="footer80.xml" /><Relationship Id="rId419" Type="http://schemas.openxmlformats.org/officeDocument/2006/relationships/header" Target="header81.xml" /><Relationship Id="rId42" Type="http://schemas.openxmlformats.org/officeDocument/2006/relationships/hyperlink" Target="https://advance.lexis.com/api/document?collection=cases-ca&amp;id=urn:contentItem:5F7T-S7C1-JSRM-618R-00000-00&amp;context=" TargetMode="External" /><Relationship Id="rId420" Type="http://schemas.openxmlformats.org/officeDocument/2006/relationships/footer" Target="footer81.xml" /><Relationship Id="rId421" Type="http://schemas.openxmlformats.org/officeDocument/2006/relationships/hyperlink" Target="https://advance.lexis.com/api/document?collection=cases-ca&amp;id=urn:contentItem:5F7T-S771-JJD0-G15V-00000-00&amp;context=" TargetMode="External" /><Relationship Id="rId422" Type="http://schemas.openxmlformats.org/officeDocument/2006/relationships/hyperlink" Target="https://advance.lexis.com/api/document?collection=cases-ca&amp;id=urn:contentItem:5F7T-S771-F81W-22KH-00000-00&amp;context=" TargetMode="External" /><Relationship Id="rId423" Type="http://schemas.openxmlformats.org/officeDocument/2006/relationships/hyperlink" Target="https://advance.lexis.com/api/document?collection=cases-ca&amp;id=urn:contentItem:5F8T-N3T1-JJSF-23M2-00000-00&amp;context=" TargetMode="External" /><Relationship Id="rId424" Type="http://schemas.openxmlformats.org/officeDocument/2006/relationships/hyperlink" Target="https://advance.lexis.com/api/document?collection=cases-ca&amp;id=urn:contentItem:5F7F-5RH1-FJM6-60CC-00000-00&amp;context=" TargetMode="External" /><Relationship Id="rId425" Type="http://schemas.openxmlformats.org/officeDocument/2006/relationships/hyperlink" Target="https://advance.lexis.com/api/document?collection=cases-ca&amp;id=urn:contentItem:5F7T-S6Y1-F81W-217W-00000-00&amp;context=" TargetMode="External" /><Relationship Id="rId426" Type="http://schemas.openxmlformats.org/officeDocument/2006/relationships/hyperlink" Target="https://advance.lexis.com/api/document?collection=cases-ca&amp;id=urn:contentItem:5F8T-N3V1-JF75-M3X0-00000-00&amp;context=" TargetMode="External" /><Relationship Id="rId427" Type="http://schemas.openxmlformats.org/officeDocument/2006/relationships/hyperlink" Target="https://advance.lexis.com/api/document?collection=cases-ca&amp;id=urn:contentItem:5F81-VJW1-FGY5-M34V-00000-00&amp;context=" TargetMode="External" /><Relationship Id="rId428" Type="http://schemas.openxmlformats.org/officeDocument/2006/relationships/hyperlink" Target="https://advance.lexis.com/api/document?collection=cases-ca&amp;id=urn:contentItem:5F7F-5RG1-JG02-S0TG-00000-00&amp;context=" TargetMode="External" /><Relationship Id="rId429" Type="http://schemas.openxmlformats.org/officeDocument/2006/relationships/hyperlink" Target="https://advance.lexis.com/api/document?collection=cases-ca&amp;id=urn:contentItem:5F8T-N3V1-JFKM-60BB-00000-00&amp;context=" TargetMode="External" /><Relationship Id="rId43" Type="http://schemas.openxmlformats.org/officeDocument/2006/relationships/hyperlink" Target="https://advance.lexis.com/api/document?collection=cases-ca&amp;id=urn:contentItem:5F7T-S731-DY33-B0YN-00000-00&amp;context=" TargetMode="External" /><Relationship Id="rId430" Type="http://schemas.openxmlformats.org/officeDocument/2006/relationships/hyperlink" Target="https://advance.lexis.com/api/document?collection=cases-ca&amp;id=urn:contentItem:5F8T-N3T1-JFKM-653N-00000-00&amp;context=" TargetMode="External" /><Relationship Id="rId431" Type="http://schemas.openxmlformats.org/officeDocument/2006/relationships/hyperlink" Target="https://advance.lexis.com/api/document?collection=cases-ca&amp;id=urn:contentItem:5F8T-N3V1-FC1F-M3Y3-00000-00&amp;context=" TargetMode="External" /><Relationship Id="rId432" Type="http://schemas.openxmlformats.org/officeDocument/2006/relationships/hyperlink" Target="https://advance.lexis.com/api/document?collection=cases-ca&amp;id=urn:contentItem:5F8T-N3V1-JFKM-6012-00000-00&amp;context=" TargetMode="External" /><Relationship Id="rId433" Type="http://schemas.openxmlformats.org/officeDocument/2006/relationships/hyperlink" Target="https://advance.lexis.com/api/document?collection=cases-ca&amp;id=urn:contentItem:5F7T-S711-JB2B-S0Y8-00000-00&amp;context=" TargetMode="External" /><Relationship Id="rId434" Type="http://schemas.openxmlformats.org/officeDocument/2006/relationships/hyperlink" Target="https://advance.lexis.com/api/document?collection=cases-ca&amp;id=urn:contentItem:5F7F-5RG1-JG02-S0G1-00000-00&amp;context=" TargetMode="External" /><Relationship Id="rId435" Type="http://schemas.openxmlformats.org/officeDocument/2006/relationships/hyperlink" Target="https://advance.lexis.com/api/document?collection=cases-ca&amp;id=urn:contentItem:5F81-VJX1-FFTT-X1GR-00000-00&amp;context=" TargetMode="External" /><Relationship Id="rId436" Type="http://schemas.openxmlformats.org/officeDocument/2006/relationships/hyperlink" Target="https://advance.lexis.com/api/document?collection=cases-ca&amp;id=urn:contentItem:5F8T-N3V1-JF75-M3RV-00000-00&amp;context=" TargetMode="External" /><Relationship Id="rId437" Type="http://schemas.openxmlformats.org/officeDocument/2006/relationships/hyperlink" Target="https://advance.lexis.com/api/document?collection=cases-ca&amp;id=urn:contentItem:5F7T-S741-F1H1-21KP-00000-00&amp;context=" TargetMode="External" /><Relationship Id="rId438" Type="http://schemas.openxmlformats.org/officeDocument/2006/relationships/hyperlink" Target="https://advance.lexis.com/api/document?collection=cases-ca&amp;id=urn:contentItem:5F7T-S721-FG12-61PH-00000-00&amp;context=" TargetMode="External" /><Relationship Id="rId439" Type="http://schemas.openxmlformats.org/officeDocument/2006/relationships/hyperlink" Target="https://advance.lexis.com/api/document?collection=cases-ca&amp;id=urn:contentItem:5F7T-S741-DXPM-S0YC-00000-00&amp;context=" TargetMode="External" /><Relationship Id="rId44" Type="http://schemas.openxmlformats.org/officeDocument/2006/relationships/hyperlink" Target="https://advance.lexis.com/api/document?collection=cases-ca&amp;id=urn:contentItem:5F7T-S711-JNS1-M0VR-00000-00&amp;context=" TargetMode="External" /><Relationship Id="rId440" Type="http://schemas.openxmlformats.org/officeDocument/2006/relationships/hyperlink" Target="https://advance.lexis.com/api/document?collection=cases-ca&amp;id=urn:contentItem:5F8P-SD21-JNS1-M4WN-00000-00&amp;context=" TargetMode="External" /><Relationship Id="rId441" Type="http://schemas.openxmlformats.org/officeDocument/2006/relationships/hyperlink" Target="https://advance.lexis.com/api/document?collection=cases-ca&amp;id=urn:contentItem:5F81-YGM1-JG02-S141-00000-00&amp;context=" TargetMode="External" /><Relationship Id="rId442" Type="http://schemas.openxmlformats.org/officeDocument/2006/relationships/hyperlink" Target="https://advance.lexis.com/api/document?collection=cases-ca&amp;id=urn:contentItem:5F8T-N3V1-FC1F-M46H-00000-00&amp;context=" TargetMode="External" /><Relationship Id="rId443" Type="http://schemas.openxmlformats.org/officeDocument/2006/relationships/header" Target="header82.xml" /><Relationship Id="rId444" Type="http://schemas.openxmlformats.org/officeDocument/2006/relationships/header" Target="header83.xml" /><Relationship Id="rId445" Type="http://schemas.openxmlformats.org/officeDocument/2006/relationships/footer" Target="footer82.xml" /><Relationship Id="rId446" Type="http://schemas.openxmlformats.org/officeDocument/2006/relationships/footer" Target="footer83.xml" /><Relationship Id="rId447" Type="http://schemas.openxmlformats.org/officeDocument/2006/relationships/header" Target="header84.xml" /><Relationship Id="rId448" Type="http://schemas.openxmlformats.org/officeDocument/2006/relationships/footer" Target="footer84.xml" /><Relationship Id="rId449" Type="http://schemas.openxmlformats.org/officeDocument/2006/relationships/hyperlink" Target="https://advance.lexis.com/api/document?collection=cases-ca&amp;id=urn:contentItem:5F7T-S7C1-JS0R-22GY-00000-00&amp;context=" TargetMode="External" /><Relationship Id="rId45" Type="http://schemas.openxmlformats.org/officeDocument/2006/relationships/hyperlink" Target="https://advance.lexis.com/api/document?collection=cases-ca&amp;id=urn:contentItem:5F7T-S761-FGJR-22GC-00000-00&amp;context=" TargetMode="External" /><Relationship Id="rId450" Type="http://schemas.openxmlformats.org/officeDocument/2006/relationships/hyperlink" Target="https://advance.lexis.com/api/document?collection=cases-ca&amp;id=urn:contentItem:5F7T-S6X1-F7ND-G3SC-00000-00&amp;context=" TargetMode="External" /><Relationship Id="rId451" Type="http://schemas.openxmlformats.org/officeDocument/2006/relationships/hyperlink" Target="https://advance.lexis.com/api/document?collection=cases-ca&amp;id=urn:contentItem:5F7T-S701-JGPY-X1DB-00000-00&amp;context=" TargetMode="External" /><Relationship Id="rId452" Type="http://schemas.openxmlformats.org/officeDocument/2006/relationships/hyperlink" Target="https://advance.lexis.com/api/document?collection=cases-ca&amp;id=urn:contentItem:5F7T-S741-F528-G263-00000-00&amp;context=" TargetMode="External" /><Relationship Id="rId453" Type="http://schemas.openxmlformats.org/officeDocument/2006/relationships/hyperlink" Target="https://advance.lexis.com/api/document?collection=cases-ca&amp;id=urn:contentItem:5F8T-N3T1-JGHR-M1VY-00000-00&amp;context=" TargetMode="External" /><Relationship Id="rId454" Type="http://schemas.openxmlformats.org/officeDocument/2006/relationships/hyperlink" Target="https://advance.lexis.com/api/document?collection=cases-ca&amp;id=urn:contentItem:5F7T-S6X1-JXNB-62SS-00000-00&amp;context=" TargetMode="External" /><Relationship Id="rId455" Type="http://schemas.openxmlformats.org/officeDocument/2006/relationships/hyperlink" Target="https://advance.lexis.com/api/document?collection=cases-ca&amp;id=urn:contentItem:5F8T-N3R1-FJDY-X38Y-00000-00&amp;context=" TargetMode="External" /><Relationship Id="rId456" Type="http://schemas.openxmlformats.org/officeDocument/2006/relationships/hyperlink" Target="https://advance.lexis.com/api/document?collection=cases-ca&amp;id=urn:contentItem:5F8T-N3T1-JGHR-M26G-00000-00&amp;context=" TargetMode="External" /><Relationship Id="rId457" Type="http://schemas.openxmlformats.org/officeDocument/2006/relationships/hyperlink" Target="https://advance.lexis.com/api/document?collection=cases-ca&amp;id=urn:contentItem:5F81-VJW1-FGY5-M2NX-00000-00&amp;context=" TargetMode="External" /><Relationship Id="rId458" Type="http://schemas.openxmlformats.org/officeDocument/2006/relationships/hyperlink" Target="https://advance.lexis.com/api/document?collection=cases-ca&amp;id=urn:contentItem:5F7T-S6Y1-FJDY-X23K-00000-00&amp;context=" TargetMode="External" /><Relationship Id="rId459" Type="http://schemas.openxmlformats.org/officeDocument/2006/relationships/hyperlink" Target="https://advance.lexis.com/api/document?collection=cases-ca&amp;id=urn:contentItem:5F7T-S711-JNS1-M0XF-00000-00&amp;context=" TargetMode="External" /><Relationship Id="rId46" Type="http://schemas.openxmlformats.org/officeDocument/2006/relationships/hyperlink" Target="https://advance.lexis.com/api/document?collection=cases-ca&amp;id=urn:contentItem:5F8T-N3R1-JJSF-2328-00000-00&amp;context=" TargetMode="External" /><Relationship Id="rId460" Type="http://schemas.openxmlformats.org/officeDocument/2006/relationships/hyperlink" Target="https://advance.lexis.com/api/document?collection=cases-ca&amp;id=urn:contentItem:5F7T-S6W1-F7ND-G2GK-00000-00&amp;context=" TargetMode="External" /><Relationship Id="rId461" Type="http://schemas.openxmlformats.org/officeDocument/2006/relationships/header" Target="header85.xml" /><Relationship Id="rId462" Type="http://schemas.openxmlformats.org/officeDocument/2006/relationships/header" Target="header86.xml" /><Relationship Id="rId463" Type="http://schemas.openxmlformats.org/officeDocument/2006/relationships/footer" Target="footer85.xml" /><Relationship Id="rId464" Type="http://schemas.openxmlformats.org/officeDocument/2006/relationships/footer" Target="footer86.xml" /><Relationship Id="rId465" Type="http://schemas.openxmlformats.org/officeDocument/2006/relationships/header" Target="header87.xml" /><Relationship Id="rId466" Type="http://schemas.openxmlformats.org/officeDocument/2006/relationships/footer" Target="footer87.xml" /><Relationship Id="rId467" Type="http://schemas.openxmlformats.org/officeDocument/2006/relationships/hyperlink" Target="https://advance.lexis.com/api/document?collection=cases-ca&amp;id=urn:contentItem:5F7T-S7C1-F4NT-X3NH-00000-00&amp;context=" TargetMode="External" /><Relationship Id="rId468" Type="http://schemas.openxmlformats.org/officeDocument/2006/relationships/hyperlink" Target="https://advance.lexis.com/api/document?collection=cases-ca&amp;id=urn:contentItem:5F7T-S721-F8D9-M0PC-00000-00&amp;context=" TargetMode="External" /><Relationship Id="rId469" Type="http://schemas.openxmlformats.org/officeDocument/2006/relationships/hyperlink" Target="https://advance.lexis.com/api/document?collection=cases-ca&amp;id=urn:contentItem:5F7T-S731-F1WF-M27S-00000-00&amp;context=" TargetMode="External" /><Relationship Id="rId47" Type="http://schemas.openxmlformats.org/officeDocument/2006/relationships/hyperlink" Target="https://advance.lexis.com/api/document?collection=cases-ca&amp;id=urn:contentItem:5F7H-KWB1-JCJ5-21M8-00000-00&amp;context=" TargetMode="External" /><Relationship Id="rId470" Type="http://schemas.openxmlformats.org/officeDocument/2006/relationships/hyperlink" Target="https://advance.lexis.com/api/document?collection=cases-ca&amp;id=urn:contentItem:5F7T-S761-JS5Y-B1TG-00000-00&amp;context=" TargetMode="External" /><Relationship Id="rId471" Type="http://schemas.openxmlformats.org/officeDocument/2006/relationships/hyperlink" Target="https://advance.lexis.com/api/document?collection=cases-ca&amp;id=urn:contentItem:5F7T-S771-JSJC-X0D4-00000-00&amp;context=" TargetMode="External" /><Relationship Id="rId472" Type="http://schemas.openxmlformats.org/officeDocument/2006/relationships/hyperlink" Target="https://advance.lexis.com/api/document?collection=cases-ca&amp;id=urn:contentItem:5F7T-S6Y1-F4GK-M1WJ-00000-00&amp;context=" TargetMode="External" /><Relationship Id="rId473" Type="http://schemas.openxmlformats.org/officeDocument/2006/relationships/header" Target="header88.xml" /><Relationship Id="rId474" Type="http://schemas.openxmlformats.org/officeDocument/2006/relationships/header" Target="header89.xml" /><Relationship Id="rId475" Type="http://schemas.openxmlformats.org/officeDocument/2006/relationships/footer" Target="footer88.xml" /><Relationship Id="rId476" Type="http://schemas.openxmlformats.org/officeDocument/2006/relationships/footer" Target="footer89.xml" /><Relationship Id="rId477" Type="http://schemas.openxmlformats.org/officeDocument/2006/relationships/header" Target="header90.xml" /><Relationship Id="rId478" Type="http://schemas.openxmlformats.org/officeDocument/2006/relationships/footer" Target="footer90.xml" /><Relationship Id="rId479" Type="http://schemas.openxmlformats.org/officeDocument/2006/relationships/hyperlink" Target="https://advance.lexis.com/api/document?collection=cases-ca&amp;id=urn:contentItem:5F7T-S7B1-FH4C-X3FS-00000-00&amp;context=" TargetMode="External" /><Relationship Id="rId48" Type="http://schemas.openxmlformats.org/officeDocument/2006/relationships/hyperlink" Target="https://advance.lexis.com/api/document?collection=cases-ca&amp;id=urn:contentItem:5F8P-SC61-FJTD-G3KY-00000-00&amp;context=" TargetMode="External" /><Relationship Id="rId480" Type="http://schemas.openxmlformats.org/officeDocument/2006/relationships/hyperlink" Target="https://advance.lexis.com/api/document?collection=legislation-ca&amp;id=urn:contentItem:5F41-1FJ1-JKPJ-G0P5-00000-00&amp;context=" TargetMode="External" /><Relationship Id="rId481" Type="http://schemas.openxmlformats.org/officeDocument/2006/relationships/hyperlink" Target="https://advance.lexis.com/api/document?collection=cases-ca&amp;id=urn:contentItem:5F7T-S771-JSJC-X0KK-00000-00&amp;context=" TargetMode="External" /><Relationship Id="rId482" Type="http://schemas.openxmlformats.org/officeDocument/2006/relationships/hyperlink" Target="https://advance.lexis.com/api/document?collection=cases-ca&amp;id=urn:contentItem:5F7T-S6W1-FBFS-S17J-00000-00&amp;context=" TargetMode="External" /><Relationship Id="rId483" Type="http://schemas.openxmlformats.org/officeDocument/2006/relationships/hyperlink" Target="https://advance.lexis.com/api/document?collection=cases-ca&amp;id=urn:contentItem:5F7T-S6W1-F7ND-G2SS-00000-00&amp;context=" TargetMode="External" /><Relationship Id="rId484" Type="http://schemas.openxmlformats.org/officeDocument/2006/relationships/hyperlink" Target="https://advance.lexis.com/api/document?collection=cases-ca&amp;id=urn:contentItem:5F7T-S6W1-JB7K-214S-00000-00&amp;context=" TargetMode="External" /><Relationship Id="rId485" Type="http://schemas.openxmlformats.org/officeDocument/2006/relationships/hyperlink" Target="https://advance.lexis.com/api/document?collection=cases-ca&amp;id=urn:contentItem:5F7T-S711-FJDY-X3B0-00000-00&amp;context=" TargetMode="External" /><Relationship Id="rId486" Type="http://schemas.openxmlformats.org/officeDocument/2006/relationships/hyperlink" Target="https://advance.lexis.com/api/document?collection=cases-ca&amp;id=urn:contentItem:5F7T-S6Y1-F65M-602G-00000-00&amp;context=" TargetMode="External" /><Relationship Id="rId487" Type="http://schemas.openxmlformats.org/officeDocument/2006/relationships/hyperlink" Target="https://advance.lexis.com/api/document?collection=cases-ca&amp;id=urn:contentItem:5F7T-S751-JNS1-M1JB-00000-00&amp;context=" TargetMode="External" /><Relationship Id="rId488" Type="http://schemas.openxmlformats.org/officeDocument/2006/relationships/hyperlink" Target="https://advance.lexis.com/api/document?collection=cases-ca&amp;id=urn:contentItem:5F7T-S731-DY33-B174-00000-00&amp;context=" TargetMode="External" /><Relationship Id="rId489" Type="http://schemas.openxmlformats.org/officeDocument/2006/relationships/hyperlink" Target="https://advance.lexis.com/api/document?collection=cases-ca&amp;id=urn:contentItem:5F7T-S711-JNY7-X3GN-00000-00&amp;context=" TargetMode="External" /><Relationship Id="rId49" Type="http://schemas.openxmlformats.org/officeDocument/2006/relationships/hyperlink" Target="https://advance.lexis.com/api/document?collection=cases-ca&amp;id=urn:contentItem:5F7T-S7B1-FH4C-X3ST-00000-00&amp;context=" TargetMode="External" /><Relationship Id="rId490" Type="http://schemas.openxmlformats.org/officeDocument/2006/relationships/hyperlink" Target="https://advance.lexis.com/api/document?collection=cases-ca&amp;id=urn:contentItem:5F7T-S761-JX8W-M2NF-00000-00&amp;context=" TargetMode="External" /><Relationship Id="rId491" Type="http://schemas.openxmlformats.org/officeDocument/2006/relationships/hyperlink" Target="https://advance.lexis.com/api/document?collection=cases-ca&amp;id=urn:contentItem:5F7T-S701-FJDY-X2D0-00000-00&amp;context=" TargetMode="External" /><Relationship Id="rId492" Type="http://schemas.openxmlformats.org/officeDocument/2006/relationships/hyperlink" Target="https://advance.lexis.com/api/document?collection=cases-ca&amp;id=urn:contentItem:5F7T-S741-F57G-S20K-00000-00&amp;context=" TargetMode="External" /><Relationship Id="rId493" Type="http://schemas.openxmlformats.org/officeDocument/2006/relationships/hyperlink" Target="https://advance.lexis.com/api/document?collection=cases-ca&amp;id=urn:contentItem:5F7T-S751-FJDY-X3WX-00000-00&amp;context=" TargetMode="External" /><Relationship Id="rId494" Type="http://schemas.openxmlformats.org/officeDocument/2006/relationships/header" Target="header91.xml" /><Relationship Id="rId495" Type="http://schemas.openxmlformats.org/officeDocument/2006/relationships/header" Target="header92.xml" /><Relationship Id="rId496" Type="http://schemas.openxmlformats.org/officeDocument/2006/relationships/footer" Target="footer91.xml" /><Relationship Id="rId497" Type="http://schemas.openxmlformats.org/officeDocument/2006/relationships/footer" Target="footer92.xml" /><Relationship Id="rId498" Type="http://schemas.openxmlformats.org/officeDocument/2006/relationships/header" Target="header93.xml" /><Relationship Id="rId499" Type="http://schemas.openxmlformats.org/officeDocument/2006/relationships/footer" Target="footer93.xml" /><Relationship Id="rId5" Type="http://schemas.openxmlformats.org/officeDocument/2006/relationships/header" Target="header2.xml" /><Relationship Id="rId50" Type="http://schemas.openxmlformats.org/officeDocument/2006/relationships/hyperlink" Target="https://advance.lexis.com/api/document?collection=cases-ca&amp;id=urn:contentItem:5F7T-S761-JCBX-S0YK-00000-00&amp;context=" TargetMode="External" /><Relationship Id="rId500" Type="http://schemas.openxmlformats.org/officeDocument/2006/relationships/hyperlink" Target="https://advance.lexis.com/api/document?collection=cases-ca&amp;id=urn:contentItem:5F7T-S781-F7G6-63TH-00000-00&amp;context=" TargetMode="External" /><Relationship Id="rId501" Type="http://schemas.openxmlformats.org/officeDocument/2006/relationships/hyperlink" Target="https://advance.lexis.com/api/document?collection=cases-ca&amp;id=urn:contentItem:5F8P-SD71-F8KH-X04D-00000-00&amp;context=" TargetMode="External" /><Relationship Id="rId502" Type="http://schemas.openxmlformats.org/officeDocument/2006/relationships/hyperlink" Target="https://advance.lexis.com/api/document?collection=cases-ca&amp;id=urn:contentItem:5F81-VJX1-FFTT-X1C1-00000-00&amp;context=" TargetMode="External" /><Relationship Id="rId503" Type="http://schemas.openxmlformats.org/officeDocument/2006/relationships/header" Target="header94.xml" /><Relationship Id="rId504" Type="http://schemas.openxmlformats.org/officeDocument/2006/relationships/header" Target="header95.xml" /><Relationship Id="rId505" Type="http://schemas.openxmlformats.org/officeDocument/2006/relationships/footer" Target="footer94.xml" /><Relationship Id="rId506" Type="http://schemas.openxmlformats.org/officeDocument/2006/relationships/footer" Target="footer95.xml" /><Relationship Id="rId507" Type="http://schemas.openxmlformats.org/officeDocument/2006/relationships/header" Target="header96.xml" /><Relationship Id="rId508" Type="http://schemas.openxmlformats.org/officeDocument/2006/relationships/footer" Target="footer96.xml" /><Relationship Id="rId509" Type="http://schemas.openxmlformats.org/officeDocument/2006/relationships/hyperlink" Target="https://advance.lexis.com/api/document?collection=cases-ca&amp;id=urn:contentItem:5F7T-S7C1-FCSB-S2JC-00000-00&amp;context=" TargetMode="External" /><Relationship Id="rId51" Type="http://schemas.openxmlformats.org/officeDocument/2006/relationships/hyperlink" Target="https://advance.lexis.com/api/document?collection=cases-ca&amp;id=urn:contentItem:5F7T-S701-JF75-M4N2-00000-00&amp;context=" TargetMode="External" /><Relationship Id="rId510" Type="http://schemas.openxmlformats.org/officeDocument/2006/relationships/hyperlink" Target="https://advance.lexis.com/api/document?collection=cases-ca&amp;id=urn:contentItem:5F7T-S721-FD4T-B16V-00000-00&amp;context=" TargetMode="External" /><Relationship Id="rId511" Type="http://schemas.openxmlformats.org/officeDocument/2006/relationships/hyperlink" Target="https://advance.lexis.com/api/document?collection=cases-ca&amp;id=urn:contentItem:5F7T-S741-F2F4-G28R-00000-00&amp;context=" TargetMode="External" /><Relationship Id="rId512" Type="http://schemas.openxmlformats.org/officeDocument/2006/relationships/hyperlink" Target="https://advance.lexis.com/api/document?collection=cases-ca&amp;id=urn:contentItem:5F7T-S771-JSJC-X0KS-00000-00&amp;context=" TargetMode="External" /><Relationship Id="rId513" Type="http://schemas.openxmlformats.org/officeDocument/2006/relationships/hyperlink" Target="https://advance.lexis.com/api/document?collection=cases-ca&amp;id=urn:contentItem:5F7T-S791-JCJ5-252X-00000-00&amp;context=" TargetMode="External" /><Relationship Id="rId514" Type="http://schemas.openxmlformats.org/officeDocument/2006/relationships/hyperlink" Target="https://advance.lexis.com/api/document?collection=cases-ca&amp;id=urn:contentItem:5F7T-S781-JC5P-G1V7-00000-00&amp;context=" TargetMode="External" /><Relationship Id="rId515" Type="http://schemas.openxmlformats.org/officeDocument/2006/relationships/header" Target="header97.xml" /><Relationship Id="rId516" Type="http://schemas.openxmlformats.org/officeDocument/2006/relationships/header" Target="header98.xml" /><Relationship Id="rId517" Type="http://schemas.openxmlformats.org/officeDocument/2006/relationships/footer" Target="footer97.xml" /><Relationship Id="rId518" Type="http://schemas.openxmlformats.org/officeDocument/2006/relationships/footer" Target="footer98.xml" /><Relationship Id="rId519" Type="http://schemas.openxmlformats.org/officeDocument/2006/relationships/header" Target="header99.xml" /><Relationship Id="rId52" Type="http://schemas.openxmlformats.org/officeDocument/2006/relationships/hyperlink" Target="https://advance.lexis.com/api/document?collection=cases-ca&amp;id=urn:contentItem:5F8T-N3V1-JF75-M3S6-00000-00&amp;context=" TargetMode="External" /><Relationship Id="rId520" Type="http://schemas.openxmlformats.org/officeDocument/2006/relationships/footer" Target="footer99.xml" /><Relationship Id="rId521" Type="http://schemas.openxmlformats.org/officeDocument/2006/relationships/hyperlink" Target="https://advance.lexis.com/api/document?collection=cases-ca&amp;id=urn:contentItem:5F7T-S7P1-JCRC-B2J7-00000-00&amp;context=" TargetMode="External" /><Relationship Id="rId522" Type="http://schemas.openxmlformats.org/officeDocument/2006/relationships/hyperlink" Target="https://advance.lexis.com/api/document?collection=legislation-ca&amp;id=urn:contentItem:5H9T-R211-FBV7-B26P-00000-00&amp;context=" TargetMode="External" /><Relationship Id="rId523" Type="http://schemas.openxmlformats.org/officeDocument/2006/relationships/hyperlink" Target="https://advance.lexis.com/api/document?collection=cases-ca&amp;id=urn:contentItem:5F7T-S7N1-F57G-S2HM-00000-00&amp;context=" TargetMode="External" /><Relationship Id="rId524" Type="http://schemas.openxmlformats.org/officeDocument/2006/relationships/hyperlink" Target="https://advance.lexis.com/api/document?collection=cases-ca&amp;id=urn:contentItem:5F7T-S7N1-JW09-M10R-00000-00&amp;context=" TargetMode="External" /><Relationship Id="rId525" Type="http://schemas.openxmlformats.org/officeDocument/2006/relationships/hyperlink" Target="https://advance.lexis.com/api/document?collection=cases-ca&amp;id=urn:contentItem:5F7T-S7D1-JG02-S2K5-00000-00&amp;context=" TargetMode="External" /><Relationship Id="rId526" Type="http://schemas.openxmlformats.org/officeDocument/2006/relationships/hyperlink" Target="https://advance.lexis.com/api/document?collection=cases-ca&amp;id=urn:contentItem:5F7T-S7K1-F1H1-221X-00000-00&amp;context=" TargetMode="External" /><Relationship Id="rId527" Type="http://schemas.openxmlformats.org/officeDocument/2006/relationships/hyperlink" Target="https://advance.lexis.com/api/document?collection=cases-ca&amp;id=urn:contentItem:5F8T-N3V1-FC1F-M4CN-00000-00&amp;context=" TargetMode="External" /><Relationship Id="rId528" Type="http://schemas.openxmlformats.org/officeDocument/2006/relationships/hyperlink" Target="https://advance.lexis.com/api/document?collection=cases-ca&amp;id=urn:contentItem:5F8T-N3V1-FC1F-M3X1-00000-00&amp;context=" TargetMode="External" /><Relationship Id="rId529" Type="http://schemas.openxmlformats.org/officeDocument/2006/relationships/hyperlink" Target="https://advance.lexis.com/api/document?collection=cases-ca&amp;id=urn:contentItem:5F7T-S6Y1-JP9P-G1B3-00000-00&amp;context=" TargetMode="External" /><Relationship Id="rId53" Type="http://schemas.openxmlformats.org/officeDocument/2006/relationships/hyperlink" Target="https://advance.lexis.com/api/document?collection=cases-ca&amp;id=urn:contentItem:5F8T-N3T1-JJSF-2361-00000-00&amp;context=" TargetMode="External" /><Relationship Id="rId530" Type="http://schemas.openxmlformats.org/officeDocument/2006/relationships/hyperlink" Target="https://advance.lexis.com/api/document?collection=cases-ca&amp;id=urn:contentItem:5F7T-S771-JSJC-X03F-00000-00&amp;context=" TargetMode="External" /><Relationship Id="rId531" Type="http://schemas.openxmlformats.org/officeDocument/2006/relationships/hyperlink" Target="https://advance.lexis.com/api/document?collection=cases-ca&amp;id=urn:contentItem:5F8T-N3P1-FC6N-X169-00000-00&amp;context=" TargetMode="External" /><Relationship Id="rId532" Type="http://schemas.openxmlformats.org/officeDocument/2006/relationships/hyperlink" Target="https://iclr.co.uk/pubrefLookup/redirectTo?ref=15+App.+Cas.+384" TargetMode="External" /><Relationship Id="rId533" Type="http://schemas.openxmlformats.org/officeDocument/2006/relationships/image" Target="media/image1.png" /><Relationship Id="rId534" Type="http://schemas.openxmlformats.org/officeDocument/2006/relationships/hyperlink" Target="https://advance.lexis.com/api/document?collection=cases-ca&amp;id=urn:contentItem:5F8T-N3S1-JT99-24PB-00000-00&amp;context=" TargetMode="External" /><Relationship Id="rId535" Type="http://schemas.openxmlformats.org/officeDocument/2006/relationships/hyperlink" Target="https://advance.lexis.com/api/document?collection=cases-ca&amp;id=urn:contentItem:5F8T-N3T1-JJSF-238W-00000-00&amp;context=" TargetMode="External" /><Relationship Id="rId536" Type="http://schemas.openxmlformats.org/officeDocument/2006/relationships/hyperlink" Target="https://advance.lexis.com/api/document?collection=cases-ca&amp;id=urn:contentItem:5F8T-N3R1-JNS1-M167-00000-00&amp;context=" TargetMode="External" /><Relationship Id="rId537" Type="http://schemas.openxmlformats.org/officeDocument/2006/relationships/hyperlink" Target="https://advance.lexis.com/api/document?collection=cases-ca&amp;id=urn:contentItem:5F7T-S7K1-F1H1-221Y-00000-00&amp;context=" TargetMode="External" /><Relationship Id="rId538" Type="http://schemas.openxmlformats.org/officeDocument/2006/relationships/hyperlink" Target="https://advance.lexis.com/api/document?collection=cases-ca&amp;id=urn:contentItem:5F7T-S7K1-JNY7-X4MJ-00000-00&amp;context=" TargetMode="External" /><Relationship Id="rId539" Type="http://schemas.openxmlformats.org/officeDocument/2006/relationships/header" Target="header100.xml" /><Relationship Id="rId54" Type="http://schemas.openxmlformats.org/officeDocument/2006/relationships/hyperlink" Target="https://advance.lexis.com/api/document?collection=cases-ca&amp;id=urn:contentItem:5F81-VJV1-F8D9-M0SJ-00000-00&amp;context=" TargetMode="External" /><Relationship Id="rId540" Type="http://schemas.openxmlformats.org/officeDocument/2006/relationships/header" Target="header101.xml" /><Relationship Id="rId541" Type="http://schemas.openxmlformats.org/officeDocument/2006/relationships/footer" Target="footer100.xml" /><Relationship Id="rId542" Type="http://schemas.openxmlformats.org/officeDocument/2006/relationships/footer" Target="footer101.xml" /><Relationship Id="rId543" Type="http://schemas.openxmlformats.org/officeDocument/2006/relationships/header" Target="header102.xml" /><Relationship Id="rId544" Type="http://schemas.openxmlformats.org/officeDocument/2006/relationships/footer" Target="footer102.xml" /><Relationship Id="rId545" Type="http://schemas.openxmlformats.org/officeDocument/2006/relationships/hyperlink" Target="https://advance.lexis.com/api/document?collection=cases-ca&amp;id=urn:contentItem:5F7T-S7C1-JXG3-X071-00000-00&amp;context=" TargetMode="External" /><Relationship Id="rId546" Type="http://schemas.openxmlformats.org/officeDocument/2006/relationships/hyperlink" Target="https://advance.lexis.com/api/document?collection=cases-ca&amp;id=urn:contentItem:5F7T-S731-JC0G-63BP-00000-00&amp;context=" TargetMode="External" /><Relationship Id="rId547" Type="http://schemas.openxmlformats.org/officeDocument/2006/relationships/header" Target="header103.xml" /><Relationship Id="rId548" Type="http://schemas.openxmlformats.org/officeDocument/2006/relationships/header" Target="header104.xml" /><Relationship Id="rId549" Type="http://schemas.openxmlformats.org/officeDocument/2006/relationships/footer" Target="footer103.xml" /><Relationship Id="rId55" Type="http://schemas.openxmlformats.org/officeDocument/2006/relationships/hyperlink" Target="https://advance.lexis.com/api/document?collection=cases-ca&amp;id=urn:contentItem:5F81-VJX1-F5T5-M3YH-00000-00&amp;context=" TargetMode="External" /><Relationship Id="rId550" Type="http://schemas.openxmlformats.org/officeDocument/2006/relationships/footer" Target="footer104.xml" /><Relationship Id="rId551" Type="http://schemas.openxmlformats.org/officeDocument/2006/relationships/header" Target="header105.xml" /><Relationship Id="rId552" Type="http://schemas.openxmlformats.org/officeDocument/2006/relationships/footer" Target="footer105.xml" /><Relationship Id="rId553" Type="http://schemas.openxmlformats.org/officeDocument/2006/relationships/hyperlink" Target="https://advance.lexis.com/api/document?collection=cases-ca&amp;id=urn:contentItem:5F7T-S771-JWBS-61X0-00000-00&amp;context=" TargetMode="External" /><Relationship Id="rId554" Type="http://schemas.openxmlformats.org/officeDocument/2006/relationships/hyperlink" Target="https://advance.lexis.com/api/document?collection=legislation-ca&amp;id=urn:contentItem:5F9J-MWS1-JFKM-64M1-00000-00&amp;context=" TargetMode="External" /><Relationship Id="rId555" Type="http://schemas.openxmlformats.org/officeDocument/2006/relationships/hyperlink" Target="https://advance.lexis.com/api/document?collection=legislation-ca&amp;id=urn:contentItem:5VYK-WB11-F5KY-B48X-00000-00&amp;context=" TargetMode="External" /><Relationship Id="rId556" Type="http://schemas.openxmlformats.org/officeDocument/2006/relationships/hyperlink" Target="https://advance.lexis.com/api/document?collection=legislation-ca&amp;id=urn:contentItem:5F41-1FG1-F4NT-X0GR-00000-00&amp;context=" TargetMode="External" /><Relationship Id="rId557" Type="http://schemas.openxmlformats.org/officeDocument/2006/relationships/hyperlink" Target="https://advance.lexis.com/api/document?collection=cases-ca&amp;id=urn:contentItem:5F7T-S751-JP4G-614D-00000-00&amp;context=" TargetMode="External" /><Relationship Id="rId558" Type="http://schemas.openxmlformats.org/officeDocument/2006/relationships/hyperlink" Target="https://advance.lexis.com/api/document?collection=cases-ca&amp;id=urn:contentItem:5F7T-S751-JG02-S29T-00000-00&amp;context=" TargetMode="External" /><Relationship Id="rId559" Type="http://schemas.openxmlformats.org/officeDocument/2006/relationships/hyperlink" Target="https://advance.lexis.com/api/document?collection=cases-ca&amp;id=urn:contentItem:5F82-1SD1-JFKM-609Y-00000-00&amp;context=" TargetMode="External" /><Relationship Id="rId56" Type="http://schemas.openxmlformats.org/officeDocument/2006/relationships/hyperlink" Target="https://advance.lexis.com/api/document?collection=cases-ca&amp;id=urn:contentItem:5F7T-S741-DY89-M3P5-00000-00&amp;context=" TargetMode="External" /><Relationship Id="rId560" Type="http://schemas.openxmlformats.org/officeDocument/2006/relationships/hyperlink" Target="https://advance.lexis.com/api/document?collection=cases-ca&amp;id=urn:contentItem:5F7T-S771-F361-M1J8-00000-00&amp;context=" TargetMode="External" /><Relationship Id="rId561" Type="http://schemas.openxmlformats.org/officeDocument/2006/relationships/hyperlink" Target="https://advance.lexis.com/api/document?collection=cases-ca&amp;id=urn:contentItem:5F8P-SD81-JX8W-M4JF-00000-00&amp;context=" TargetMode="External" /><Relationship Id="rId562" Type="http://schemas.openxmlformats.org/officeDocument/2006/relationships/hyperlink" Target="https://advance.lexis.com/api/document?collection=cases-ca&amp;id=urn:contentItem:5F8P-JGF1-JWXF-21MF-00000-00&amp;context=" TargetMode="External" /><Relationship Id="rId563" Type="http://schemas.openxmlformats.org/officeDocument/2006/relationships/hyperlink" Target="https://advance.lexis.com/api/document?collection=legislation-ca&amp;id=urn:contentItem:5W07-7G31-DY33-B016-00000-00&amp;context=" TargetMode="External" /><Relationship Id="rId564" Type="http://schemas.openxmlformats.org/officeDocument/2006/relationships/hyperlink" Target="https://advance.lexis.com/api/document?collection=cases-ca&amp;id=urn:contentItem:5F81-VJX1-JX3N-B1JC-00000-00&amp;context=" TargetMode="External" /><Relationship Id="rId565" Type="http://schemas.openxmlformats.org/officeDocument/2006/relationships/hyperlink" Target="https://advance.lexis.com/api/document?collection=cases-ca&amp;id=urn:contentItem:5F81-VJX1-FFTT-X1HV-00000-00&amp;context=" TargetMode="External" /><Relationship Id="rId566" Type="http://schemas.openxmlformats.org/officeDocument/2006/relationships/hyperlink" Target="https://advance.lexis.com/api/document?collection=cases-ca&amp;id=urn:contentItem:5F7T-S741-F2F4-G2B8-00000-00&amp;context=" TargetMode="External" /><Relationship Id="rId567" Type="http://schemas.openxmlformats.org/officeDocument/2006/relationships/hyperlink" Target="https://advance.lexis.com/api/document?collection=cases-ca&amp;id=urn:contentItem:5F7T-S701-FJDY-X2VM-00000-00&amp;context=" TargetMode="External" /><Relationship Id="rId568" Type="http://schemas.openxmlformats.org/officeDocument/2006/relationships/hyperlink" Target="https://advance.lexis.com/api/document?collection=cases-ca&amp;id=urn:contentItem:5F7T-S731-F016-S31K-00000-00&amp;context=" TargetMode="External" /><Relationship Id="rId569" Type="http://schemas.openxmlformats.org/officeDocument/2006/relationships/hyperlink" Target="https://advance.lexis.com/api/document?collection=cases-ca&amp;id=urn:contentItem:5F82-1SD1-F1H1-2225-00000-00&amp;context=" TargetMode="External" /><Relationship Id="rId57" Type="http://schemas.openxmlformats.org/officeDocument/2006/relationships/hyperlink" Target="https://advance.lexis.com/api/document?collection=cases-ca&amp;id=urn:contentItem:5F7T-S761-JX8W-M313-00000-00&amp;context=" TargetMode="External" /><Relationship Id="rId570" Type="http://schemas.openxmlformats.org/officeDocument/2006/relationships/hyperlink" Target="https://advance.lexis.com/api/document?collection=cases-ca&amp;id=urn:contentItem:5F8N-K741-JGBH-B1B3-00000-00&amp;context=" TargetMode="External" /><Relationship Id="rId571" Type="http://schemas.openxmlformats.org/officeDocument/2006/relationships/hyperlink" Target="https://advance.lexis.com/api/document?collection=cases-ca&amp;id=urn:contentItem:5F7T-S761-F81W-21TF-00000-00&amp;context=" TargetMode="External" /><Relationship Id="rId572" Type="http://schemas.openxmlformats.org/officeDocument/2006/relationships/hyperlink" Target="https://advance.lexis.com/api/document?collection=cases-ca&amp;id=urn:contentItem:5F7T-S771-JTGH-B1G5-00000-00&amp;context=" TargetMode="External" /><Relationship Id="rId573" Type="http://schemas.openxmlformats.org/officeDocument/2006/relationships/hyperlink" Target="https://advance.lexis.com/api/document?collection=cases-ca&amp;id=urn:contentItem:5F81-VJX1-F22N-X21M-00000-00&amp;context=" TargetMode="External" /><Relationship Id="rId574" Type="http://schemas.openxmlformats.org/officeDocument/2006/relationships/hyperlink" Target="https://advance.lexis.com/api/document?collection=cases-ca&amp;id=urn:contentItem:5F7T-S741-DY89-M3MK-00000-00&amp;context=" TargetMode="External" /><Relationship Id="rId575" Type="http://schemas.openxmlformats.org/officeDocument/2006/relationships/hyperlink" Target="https://advance.lexis.com/api/document?collection=cases-ca&amp;id=urn:contentItem:5F8P-JGF1-F016-S2HF-00000-00&amp;context=" TargetMode="External" /><Relationship Id="rId576" Type="http://schemas.openxmlformats.org/officeDocument/2006/relationships/header" Target="header106.xml" /><Relationship Id="rId577" Type="http://schemas.openxmlformats.org/officeDocument/2006/relationships/header" Target="header107.xml" /><Relationship Id="rId578" Type="http://schemas.openxmlformats.org/officeDocument/2006/relationships/footer" Target="footer106.xml" /><Relationship Id="rId579" Type="http://schemas.openxmlformats.org/officeDocument/2006/relationships/footer" Target="footer107.xml" /><Relationship Id="rId58" Type="http://schemas.openxmlformats.org/officeDocument/2006/relationships/hyperlink" Target="https://advance.lexis.com/api/document?collection=cases-ca&amp;id=urn:contentItem:5F82-1SB1-JPP5-24C9-00000-00&amp;context=" TargetMode="External" /><Relationship Id="rId580" Type="http://schemas.openxmlformats.org/officeDocument/2006/relationships/header" Target="header108.xml" /><Relationship Id="rId581" Type="http://schemas.openxmlformats.org/officeDocument/2006/relationships/footer" Target="footer108.xml" /><Relationship Id="rId582" Type="http://schemas.openxmlformats.org/officeDocument/2006/relationships/hyperlink" Target="https://advance.lexis.com/api/document?collection=cases-ca&amp;id=urn:contentItem:5F7T-S771-F81W-22K3-00000-00&amp;context=" TargetMode="External" /><Relationship Id="rId583" Type="http://schemas.openxmlformats.org/officeDocument/2006/relationships/hyperlink" Target="https://advance.lexis.com/api/document?collection=cases-ca&amp;id=urn:contentItem:5F7T-S741-F8D9-M1VG-00000-00&amp;context=" TargetMode="External" /><Relationship Id="rId584" Type="http://schemas.openxmlformats.org/officeDocument/2006/relationships/hyperlink" Target="https://advance.lexis.com/api/document?collection=cases-ca&amp;id=urn:contentItem:5F7T-S751-JBM1-M247-00000-00&amp;context=" TargetMode="External" /><Relationship Id="rId585" Type="http://schemas.openxmlformats.org/officeDocument/2006/relationships/hyperlink" Target="https://advance.lexis.com/api/document?collection=cases-ca&amp;id=urn:contentItem:5F7T-S751-JNS1-M1W7-00000-00&amp;context=" TargetMode="External" /><Relationship Id="rId586" Type="http://schemas.openxmlformats.org/officeDocument/2006/relationships/hyperlink" Target="https://advance.lexis.com/api/document?collection=cases-ca&amp;id=urn:contentItem:5F7T-S701-JBT7-X23F-00000-00&amp;context=" TargetMode="External" /><Relationship Id="rId587" Type="http://schemas.openxmlformats.org/officeDocument/2006/relationships/header" Target="header109.xml" /><Relationship Id="rId588" Type="http://schemas.openxmlformats.org/officeDocument/2006/relationships/header" Target="header110.xml" /><Relationship Id="rId589" Type="http://schemas.openxmlformats.org/officeDocument/2006/relationships/footer" Target="footer109.xml" /><Relationship Id="rId59" Type="http://schemas.openxmlformats.org/officeDocument/2006/relationships/hyperlink" Target="https://advance.lexis.com/api/document?collection=cases-ca&amp;id=urn:contentItem:5F7T-S731-FFFC-B0K2-00000-00&amp;context=" TargetMode="External" /><Relationship Id="rId590" Type="http://schemas.openxmlformats.org/officeDocument/2006/relationships/footer" Target="footer110.xml" /><Relationship Id="rId591" Type="http://schemas.openxmlformats.org/officeDocument/2006/relationships/header" Target="header111.xml" /><Relationship Id="rId592" Type="http://schemas.openxmlformats.org/officeDocument/2006/relationships/footer" Target="footer111.xml" /><Relationship Id="rId593" Type="http://schemas.openxmlformats.org/officeDocument/2006/relationships/hyperlink" Target="https://advance.lexis.com/api/document?collection=cases-ca&amp;id=urn:contentItem:5F7T-S7D1-JXG3-X135-00000-00&amp;context=" TargetMode="External" /><Relationship Id="rId594" Type="http://schemas.openxmlformats.org/officeDocument/2006/relationships/hyperlink" Target="https://advance.lexis.com/api/document?collection=cases-ca&amp;id=urn:contentItem:5K6X-WKH1-K0HK-232V-00000-00&amp;context=" TargetMode="External" /><Relationship Id="rId595" Type="http://schemas.openxmlformats.org/officeDocument/2006/relationships/hyperlink" Target="https://advance.lexis.com/api/document?collection=cases-ca&amp;id=urn:contentItem:5F7T-S6W1-F4GK-M142-00000-00&amp;context=" TargetMode="External" /><Relationship Id="rId596" Type="http://schemas.openxmlformats.org/officeDocument/2006/relationships/hyperlink" Target="https://advance.lexis.com/api/document?collection=cases-ca&amp;id=urn:contentItem:5F8P-SD91-F30T-B50S-00000-00&amp;context=" TargetMode="External" /><Relationship Id="rId597" Type="http://schemas.openxmlformats.org/officeDocument/2006/relationships/hyperlink" Target="https://advance.lexis.com/api/document?collection=cases-ca&amp;id=urn:contentItem:5F8T-N3V1-FC1F-M3WB-00000-00&amp;context=" TargetMode="External" /><Relationship Id="rId598" Type="http://schemas.openxmlformats.org/officeDocument/2006/relationships/hyperlink" Target="https://advance.lexis.com/api/document?collection=cases-ca&amp;id=urn:contentItem:5F7T-S771-JN14-G2K7-00000-00&amp;context=" TargetMode="External" /><Relationship Id="rId599" Type="http://schemas.openxmlformats.org/officeDocument/2006/relationships/hyperlink" Target="https://advance.lexis.com/api/document?collection=cases-ca&amp;id=urn:contentItem:5F7T-S6T1-K054-G162-00000-00&amp;context=" TargetMode="External" /><Relationship Id="rId6" Type="http://schemas.openxmlformats.org/officeDocument/2006/relationships/footer" Target="footer1.xml" /><Relationship Id="rId60" Type="http://schemas.openxmlformats.org/officeDocument/2006/relationships/hyperlink" Target="https://advance.lexis.com/api/document?collection=cases-ca&amp;id=urn:contentItem:5F7T-S751-JP4G-612P-00000-00&amp;context=" TargetMode="External" /><Relationship Id="rId600" Type="http://schemas.openxmlformats.org/officeDocument/2006/relationships/hyperlink" Target="https://advance.lexis.com/api/document?collection=cases-ca&amp;id=urn:contentItem:5F7T-S6T1-FJTD-G1S3-00000-00&amp;context=" TargetMode="External" /><Relationship Id="rId601" Type="http://schemas.openxmlformats.org/officeDocument/2006/relationships/hyperlink" Target="https://advance.lexis.com/api/document?collection=cases-ca&amp;id=urn:contentItem:5F8T-N3R1-JNS1-M0V3-00000-00&amp;context=" TargetMode="External" /><Relationship Id="rId602" Type="http://schemas.openxmlformats.org/officeDocument/2006/relationships/hyperlink" Target="https://advance.lexis.com/api/document?collection=cases-ca&amp;id=urn:contentItem:5F81-VJW1-K0HK-22FN-00000-00&amp;context=" TargetMode="External" /><Relationship Id="rId603" Type="http://schemas.openxmlformats.org/officeDocument/2006/relationships/header" Target="header112.xml" /><Relationship Id="rId604" Type="http://schemas.openxmlformats.org/officeDocument/2006/relationships/header" Target="header113.xml" /><Relationship Id="rId605" Type="http://schemas.openxmlformats.org/officeDocument/2006/relationships/footer" Target="footer112.xml" /><Relationship Id="rId606" Type="http://schemas.openxmlformats.org/officeDocument/2006/relationships/footer" Target="footer113.xml" /><Relationship Id="rId607" Type="http://schemas.openxmlformats.org/officeDocument/2006/relationships/header" Target="header114.xml" /><Relationship Id="rId608" Type="http://schemas.openxmlformats.org/officeDocument/2006/relationships/footer" Target="footer114.xml" /><Relationship Id="rId609" Type="http://schemas.openxmlformats.org/officeDocument/2006/relationships/hyperlink" Target="https://advance.lexis.com/api/document?collection=cases-ca&amp;id=urn:contentItem:5F7T-S7D1-JS5Y-B294-00000-00&amp;context=" TargetMode="External" /><Relationship Id="rId61" Type="http://schemas.openxmlformats.org/officeDocument/2006/relationships/hyperlink" Target="https://advance.lexis.com/api/document?collection=cases-ca&amp;id=urn:contentItem:5F7T-S731-F1WF-M2HD-00000-00&amp;context=" TargetMode="External" /><Relationship Id="rId610" Type="http://schemas.openxmlformats.org/officeDocument/2006/relationships/hyperlink" Target="https://advance.lexis.com/api/document?collection=legislation-ca&amp;id=urn:contentItem:5F41-1FN1-JSXV-G1H3-00000-00&amp;context=" TargetMode="External" /><Relationship Id="rId611" Type="http://schemas.openxmlformats.org/officeDocument/2006/relationships/hyperlink" Target="https://advance.lexis.com/api/document?collection=cases-ca&amp;id=urn:contentItem:5F8P-SDR1-F1H1-221G-00000-00&amp;context=" TargetMode="External" /><Relationship Id="rId612" Type="http://schemas.openxmlformats.org/officeDocument/2006/relationships/hyperlink" Target="https://advance.lexis.com/api/document?collection=cases-ca&amp;id=urn:contentItem:5F81-VJW1-JF75-M1FG-00000-00&amp;context=" TargetMode="External" /><Relationship Id="rId613" Type="http://schemas.openxmlformats.org/officeDocument/2006/relationships/hyperlink" Target="https://advance.lexis.com/api/document?collection=cases-ca&amp;id=urn:contentItem:5F7T-S7C1-JXG3-X06R-00000-00&amp;context=" TargetMode="External" /><Relationship Id="rId614" Type="http://schemas.openxmlformats.org/officeDocument/2006/relationships/hyperlink" Target="https://advance.lexis.com/api/document?collection=cases-ca&amp;id=urn:contentItem:5F7T-S761-JS5Y-B1N4-00000-00&amp;context=" TargetMode="External" /><Relationship Id="rId615" Type="http://schemas.openxmlformats.org/officeDocument/2006/relationships/hyperlink" Target="https://advance.lexis.com/api/document?collection=cases-ca&amp;id=urn:contentItem:5F7T-S721-F4NT-X2W2-00000-00&amp;context=" TargetMode="External" /><Relationship Id="rId616" Type="http://schemas.openxmlformats.org/officeDocument/2006/relationships/hyperlink" Target="https://advance.lexis.com/api/document?collection=cases-ca&amp;id=urn:contentItem:5F7T-S7B1-JSRM-60KR-00000-00&amp;context=" TargetMode="External" /><Relationship Id="rId617" Type="http://schemas.openxmlformats.org/officeDocument/2006/relationships/hyperlink" Target="https://advance.lexis.com/api/document?collection=cases-ca&amp;id=urn:contentItem:5F7T-S6T1-F361-M02B-00000-00&amp;context=" TargetMode="External" /><Relationship Id="rId618" Type="http://schemas.openxmlformats.org/officeDocument/2006/relationships/hyperlink" Target="https://advance.lexis.com/api/document?collection=cases-ca&amp;id=urn:contentItem:5F8T-N3T1-JGHR-M29X-00000-00&amp;context=" TargetMode="External" /><Relationship Id="rId619" Type="http://schemas.openxmlformats.org/officeDocument/2006/relationships/hyperlink" Target="https://advance.lexis.com/api/document?collection=cases-ca&amp;id=urn:contentItem:5F8P-SCR1-JB2B-S4P4-00000-00&amp;context=" TargetMode="External" /><Relationship Id="rId62" Type="http://schemas.openxmlformats.org/officeDocument/2006/relationships/hyperlink" Target="https://advance.lexis.com/api/document?collection=cases-ca&amp;id=urn:contentItem:5F7T-S761-FGJR-22R0-00000-00&amp;context=" TargetMode="External" /><Relationship Id="rId620" Type="http://schemas.openxmlformats.org/officeDocument/2006/relationships/hyperlink" Target="https://advance.lexis.com/api/document?collection=cases-ca&amp;id=urn:contentItem:5F81-VJX1-JP9P-G403-00000-00&amp;context=" TargetMode="External" /><Relationship Id="rId621" Type="http://schemas.openxmlformats.org/officeDocument/2006/relationships/hyperlink" Target="https://advance.lexis.com/api/document?collection=cases-ca&amp;id=urn:contentItem:5F7T-S751-F361-M16K-00000-00&amp;context=" TargetMode="External" /><Relationship Id="rId622" Type="http://schemas.openxmlformats.org/officeDocument/2006/relationships/hyperlink" Target="https://advance.lexis.com/api/document?collection=cases-ca&amp;id=urn:contentItem:5F7T-S701-JK4W-M10F-00000-00&amp;context=" TargetMode="External" /><Relationship Id="rId623" Type="http://schemas.openxmlformats.org/officeDocument/2006/relationships/hyperlink" Target="https://advance.lexis.com/api/document?collection=cases-ca&amp;id=urn:contentItem:5F7T-S751-F361-M195-00000-00&amp;context=" TargetMode="External" /><Relationship Id="rId624" Type="http://schemas.openxmlformats.org/officeDocument/2006/relationships/hyperlink" Target="https://advance.lexis.com/api/document?collection=cases-ca&amp;id=urn:contentItem:5F7T-S741-F1H1-21G3-00000-00&amp;context=" TargetMode="External" /><Relationship Id="rId625" Type="http://schemas.openxmlformats.org/officeDocument/2006/relationships/hyperlink" Target="https://advance.lexis.com/api/document?collection=cases-ca&amp;id=urn:contentItem:5F7T-S7C1-JXG3-X08C-00000-00&amp;context=" TargetMode="External" /><Relationship Id="rId626" Type="http://schemas.openxmlformats.org/officeDocument/2006/relationships/hyperlink" Target="https://advance.lexis.com/api/document?collection=cases-ca&amp;id=urn:contentItem:5F7T-S771-F81W-2293-00000-00&amp;context=" TargetMode="External" /><Relationship Id="rId627" Type="http://schemas.openxmlformats.org/officeDocument/2006/relationships/hyperlink" Target="https://advance.lexis.com/api/document?collection=cases-ca&amp;id=urn:contentItem:5F7T-S771-F81W-2294-00000-00&amp;context=" TargetMode="External" /><Relationship Id="rId628" Type="http://schemas.openxmlformats.org/officeDocument/2006/relationships/hyperlink" Target="https://advance.lexis.com/api/document?collection=cases-ca&amp;id=urn:contentItem:5F7T-S701-JJ6S-61SS-00000-00&amp;context=" TargetMode="External" /><Relationship Id="rId629" Type="http://schemas.openxmlformats.org/officeDocument/2006/relationships/hyperlink" Target="https://advance.lexis.com/api/document?collection=cases-ca&amp;id=urn:contentItem:5F7T-S711-F5KY-B0SS-00000-00&amp;context=" TargetMode="External" /><Relationship Id="rId63" Type="http://schemas.openxmlformats.org/officeDocument/2006/relationships/hyperlink" Target="https://advance.lexis.com/api/document?collection=cases-ca&amp;id=urn:contentItem:5F7T-S7G1-JBT7-X48T-00000-00&amp;context=" TargetMode="External" /><Relationship Id="rId630" Type="http://schemas.openxmlformats.org/officeDocument/2006/relationships/hyperlink" Target="https://advance.lexis.com/api/document?collection=cases-ca&amp;id=urn:contentItem:5F7T-S771-JN14-G2C3-00000-00&amp;context=" TargetMode="External" /><Relationship Id="rId631" Type="http://schemas.openxmlformats.org/officeDocument/2006/relationships/hyperlink" Target="https://advance.lexis.com/api/document?collection=cases-ca&amp;id=urn:contentItem:5F7T-S7D1-DY89-M4D8-00000-00&amp;context=" TargetMode="External" /><Relationship Id="rId632" Type="http://schemas.openxmlformats.org/officeDocument/2006/relationships/header" Target="header115.xml" /><Relationship Id="rId633" Type="http://schemas.openxmlformats.org/officeDocument/2006/relationships/header" Target="header116.xml" /><Relationship Id="rId634" Type="http://schemas.openxmlformats.org/officeDocument/2006/relationships/footer" Target="footer115.xml" /><Relationship Id="rId635" Type="http://schemas.openxmlformats.org/officeDocument/2006/relationships/footer" Target="footer116.xml" /><Relationship Id="rId636" Type="http://schemas.openxmlformats.org/officeDocument/2006/relationships/header" Target="header117.xml" /><Relationship Id="rId637" Type="http://schemas.openxmlformats.org/officeDocument/2006/relationships/footer" Target="footer117.xml" /><Relationship Id="rId638" Type="http://schemas.openxmlformats.org/officeDocument/2006/relationships/hyperlink" Target="https://advance.lexis.com/api/document?collection=cases-ca&amp;id=urn:contentItem:5JTM-6F61-JBM1-M50X-00000-00&amp;context=" TargetMode="External" /><Relationship Id="rId639" Type="http://schemas.openxmlformats.org/officeDocument/2006/relationships/hyperlink" Target="https://advance.lexis.com/api/document?collection=cases-ca&amp;id=urn:contentItem:5KD1-RDD1-F4NT-X0DC-00000-00&amp;context=" TargetMode="External" /><Relationship Id="rId64" Type="http://schemas.openxmlformats.org/officeDocument/2006/relationships/hyperlink" Target="https://advance.lexis.com/api/document?collection=cases-ca&amp;id=urn:contentItem:5F7T-S7C1-JSRM-60V7-00000-00&amp;context=" TargetMode="External" /><Relationship Id="rId640" Type="http://schemas.openxmlformats.org/officeDocument/2006/relationships/hyperlink" Target="https://advance.lexis.com/api/document?collection=legislation-ca&amp;id=urn:contentItem:5VYK-47Y1-F06F-21ND-00000-00&amp;context=" TargetMode="External" /><Relationship Id="rId641" Type="http://schemas.openxmlformats.org/officeDocument/2006/relationships/hyperlink" Target="https://advance.lexis.com/api/document?collection=cases-ca&amp;id=urn:contentItem:5F7T-S7G1-JPP5-2231-00000-00&amp;context=" TargetMode="External" /><Relationship Id="rId642" Type="http://schemas.openxmlformats.org/officeDocument/2006/relationships/hyperlink" Target="https://advance.lexis.com/api/document?collection=cases-ca&amp;id=urn:contentItem:5F7T-S7H1-K054-G2DB-00000-00&amp;context=" TargetMode="External" /><Relationship Id="rId643" Type="http://schemas.openxmlformats.org/officeDocument/2006/relationships/hyperlink" Target="https://advance.lexis.com/api/document?collection=cases-ca&amp;id=urn:contentItem:5F7T-S7P1-JP4G-61R8-00000-00&amp;context=" TargetMode="External" /><Relationship Id="rId644" Type="http://schemas.openxmlformats.org/officeDocument/2006/relationships/hyperlink" Target="https://advance.lexis.com/api/document?collection=cases-ca&amp;id=urn:contentItem:5F7T-S7N1-JGHR-M38N-00000-00&amp;context=" TargetMode="External" /><Relationship Id="rId645" Type="http://schemas.openxmlformats.org/officeDocument/2006/relationships/hyperlink" Target="https://advance.lexis.com/api/document?collection=cases-ca&amp;id=urn:contentItem:5F7T-S7D1-FFFC-B1DT-00000-00&amp;context=" TargetMode="External" /><Relationship Id="rId646" Type="http://schemas.openxmlformats.org/officeDocument/2006/relationships/hyperlink" Target="https://advance.lexis.com/api/document?collection=cases-ca&amp;id=urn:contentItem:5F7T-S7F1-FJTD-G3D8-00000-00&amp;context=" TargetMode="External" /><Relationship Id="rId647" Type="http://schemas.openxmlformats.org/officeDocument/2006/relationships/hyperlink" Target="https://advance.lexis.com/api/document?collection=cases-ca&amp;id=urn:contentItem:5GN2-DCK1-FGRY-B3MS-00000-00&amp;context=" TargetMode="External" /><Relationship Id="rId648" Type="http://schemas.openxmlformats.org/officeDocument/2006/relationships/hyperlink" Target="https://advance.lexis.com/api/document?collection=cases-ca&amp;id=urn:contentItem:5F7T-S6Y1-JNY7-X2P3-00000-00&amp;context=" TargetMode="External" /><Relationship Id="rId649" Type="http://schemas.openxmlformats.org/officeDocument/2006/relationships/hyperlink" Target="https://advance.lexis.com/api/document?collection=cases-ca&amp;id=urn:contentItem:5F7T-S7H1-JFSV-G34D-00000-00&amp;context=" TargetMode="External" /><Relationship Id="rId65" Type="http://schemas.openxmlformats.org/officeDocument/2006/relationships/hyperlink" Target="https://advance.lexis.com/api/document?collection=cases-ca&amp;id=urn:contentItem:5F7T-S721-F956-S1VX-00000-00&amp;context=" TargetMode="External" /><Relationship Id="rId650" Type="http://schemas.openxmlformats.org/officeDocument/2006/relationships/hyperlink" Target="https://advance.lexis.com/api/document?collection=cases-ca&amp;id=urn:contentItem:5F7T-S781-JC5P-G1HX-00000-00&amp;context=" TargetMode="External" /><Relationship Id="rId651" Type="http://schemas.openxmlformats.org/officeDocument/2006/relationships/hyperlink" Target="https://advance.lexis.com/api/document?collection=cases-ca&amp;id=urn:contentItem:5F7T-S7C1-JSRM-60TS-00000-00&amp;context=" TargetMode="External" /><Relationship Id="rId652" Type="http://schemas.openxmlformats.org/officeDocument/2006/relationships/hyperlink" Target="https://advance.lexis.com/api/document?collection=cases-ca&amp;id=urn:contentItem:5F7T-S7H1-JFSV-G38X-00000-00&amp;context=" TargetMode="External" /><Relationship Id="rId653" Type="http://schemas.openxmlformats.org/officeDocument/2006/relationships/hyperlink" Target="https://advance.lexis.com/api/document?collection=cases-ca&amp;id=urn:contentItem:5F7T-S7M1-JPP5-2288-00000-00&amp;context=" TargetMode="External" /><Relationship Id="rId654" Type="http://schemas.openxmlformats.org/officeDocument/2006/relationships/hyperlink" Target="https://advance.lexis.com/api/document?collection=cases-ca&amp;id=urn:contentItem:5F7T-S721-F956-S1RF-00000-00&amp;context=" TargetMode="External" /><Relationship Id="rId655" Type="http://schemas.openxmlformats.org/officeDocument/2006/relationships/hyperlink" Target="https://advance.lexis.com/api/document?collection=cases-ca&amp;id=urn:contentItem:5F7T-S761-JX8W-M32X-00000-00&amp;context=" TargetMode="External" /><Relationship Id="rId656" Type="http://schemas.openxmlformats.org/officeDocument/2006/relationships/hyperlink" Target="https://advance.lexis.com/api/document?collection=cases-ca&amp;id=urn:contentItem:5F81-VJY1-JPGX-S4NY-00000-00&amp;context=" TargetMode="External" /><Relationship Id="rId657" Type="http://schemas.openxmlformats.org/officeDocument/2006/relationships/hyperlink" Target="https://advance.lexis.com/api/document?collection=cases-ca&amp;id=urn:contentItem:5GCC-XVB1-JSXV-G0B4-00000-00&amp;context=" TargetMode="External" /><Relationship Id="rId658" Type="http://schemas.openxmlformats.org/officeDocument/2006/relationships/hyperlink" Target="https://advance.lexis.com/api/document?collection=cases-ca&amp;id=urn:contentItem:5F7T-S6W1-F7ND-G2R7-00000-00&amp;context=" TargetMode="External" /><Relationship Id="rId659" Type="http://schemas.openxmlformats.org/officeDocument/2006/relationships/hyperlink" Target="https://advance.lexis.com/api/document?collection=cases-ca&amp;id=urn:contentItem:5F7T-S7D1-JG02-S2R0-00000-00&amp;context=" TargetMode="External" /><Relationship Id="rId66" Type="http://schemas.openxmlformats.org/officeDocument/2006/relationships/hyperlink" Target="https://advance.lexis.com/api/document?collection=cases-ca&amp;id=urn:contentItem:5F7T-S6W1-JB7K-21F4-00000-00&amp;context=" TargetMode="External" /><Relationship Id="rId660" Type="http://schemas.openxmlformats.org/officeDocument/2006/relationships/hyperlink" Target="https://advance.lexis.com/api/document?collection=cases-ca&amp;id=urn:contentItem:5F7T-S7C1-JCJ5-20JF-00000-00&amp;context=" TargetMode="External" /><Relationship Id="rId661" Type="http://schemas.openxmlformats.org/officeDocument/2006/relationships/header" Target="header118.xml" /><Relationship Id="rId662" Type="http://schemas.openxmlformats.org/officeDocument/2006/relationships/header" Target="header119.xml" /><Relationship Id="rId663" Type="http://schemas.openxmlformats.org/officeDocument/2006/relationships/footer" Target="footer118.xml" /><Relationship Id="rId664" Type="http://schemas.openxmlformats.org/officeDocument/2006/relationships/footer" Target="footer119.xml" /><Relationship Id="rId665" Type="http://schemas.openxmlformats.org/officeDocument/2006/relationships/header" Target="header120.xml" /><Relationship Id="rId666" Type="http://schemas.openxmlformats.org/officeDocument/2006/relationships/footer" Target="footer120.xml" /><Relationship Id="rId667" Type="http://schemas.openxmlformats.org/officeDocument/2006/relationships/hyperlink" Target="https://advance.lexis.com/api/document?collection=cases-ca&amp;id=urn:contentItem:5F7T-S7P1-JNJT-B2WC-00000-00&amp;context=" TargetMode="External" /><Relationship Id="rId668" Type="http://schemas.openxmlformats.org/officeDocument/2006/relationships/hyperlink" Target="https://advance.lexis.com/api/document?collection=legislation-ca&amp;id=urn:contentItem:5F41-7G51-JFKM-629T-00000-00&amp;context=" TargetMode="External" /><Relationship Id="rId669" Type="http://schemas.openxmlformats.org/officeDocument/2006/relationships/hyperlink" Target="https://advance.lexis.com/api/document?collection=legislation-ca&amp;id=urn:contentItem:5F41-1FJ1-JPGX-S0RV-00000-00&amp;context=" TargetMode="External" /><Relationship Id="rId67" Type="http://schemas.openxmlformats.org/officeDocument/2006/relationships/hyperlink" Target="https://advance.lexis.com/api/document?collection=cases-ca&amp;id=urn:contentItem:5F7T-S761-F81W-222K-00000-00&amp;context=" TargetMode="External" /><Relationship Id="rId670" Type="http://schemas.openxmlformats.org/officeDocument/2006/relationships/hyperlink" Target="https://advance.lexis.com/api/document?collection=cases-ca&amp;id=urn:contentItem:5F7T-S7K1-JX3N-B30Y-00000-00&amp;context=" TargetMode="External" /><Relationship Id="rId671" Type="http://schemas.openxmlformats.org/officeDocument/2006/relationships/hyperlink" Target="https://advance.lexis.com/api/document?collection=cases-ca&amp;id=urn:contentItem:5F7T-S7K1-JX3N-B2V1-00000-00&amp;context=" TargetMode="External" /><Relationship Id="rId672" Type="http://schemas.openxmlformats.org/officeDocument/2006/relationships/hyperlink" Target="https://advance.lexis.com/api/document?collection=cases-ca&amp;id=urn:contentItem:5F7T-S7C1-JCJ5-20NY-00000-00&amp;context=" TargetMode="External" /><Relationship Id="rId673" Type="http://schemas.openxmlformats.org/officeDocument/2006/relationships/hyperlink" Target="https://advance.lexis.com/api/document?collection=cases-ca&amp;id=urn:contentItem:5F8T-N3P1-JYYX-60K8-00000-00&amp;context=" TargetMode="External" /><Relationship Id="rId674" Type="http://schemas.openxmlformats.org/officeDocument/2006/relationships/hyperlink" Target="https://advance.lexis.com/api/document?collection=cases-ca&amp;id=urn:contentItem:5F81-YGT1-JJSF-232R-00000-00&amp;context=" TargetMode="External" /><Relationship Id="rId675" Type="http://schemas.openxmlformats.org/officeDocument/2006/relationships/hyperlink" Target="https://advance.lexis.com/api/document?collection=cases-ca&amp;id=urn:contentItem:5F7T-S7D1-JN6B-S14F-00000-00&amp;context=" TargetMode="External" /><Relationship Id="rId676" Type="http://schemas.openxmlformats.org/officeDocument/2006/relationships/hyperlink" Target="https://advance.lexis.com/api/document?collection=cases-ca&amp;id=urn:contentItem:5F7T-S731-FFFC-B0FN-00000-00&amp;context=" TargetMode="External" /><Relationship Id="rId677" Type="http://schemas.openxmlformats.org/officeDocument/2006/relationships/hyperlink" Target="https://advance.lexis.com/api/document?collection=cases-ca&amp;id=urn:contentItem:5F7T-S771-JW5H-X217-00000-00&amp;context=" TargetMode="External" /><Relationship Id="rId678" Type="http://schemas.openxmlformats.org/officeDocument/2006/relationships/hyperlink" Target="https://advance.lexis.com/api/document?collection=cases-ca&amp;id=urn:contentItem:5F7T-S6Y1-DY33-B06M-00000-00&amp;context=" TargetMode="External" /><Relationship Id="rId679" Type="http://schemas.openxmlformats.org/officeDocument/2006/relationships/hyperlink" Target="https://advance.lexis.com/api/document?collection=cases-ca&amp;id=urn:contentItem:5F7T-S751-F361-M0YX-00000-00&amp;context=" TargetMode="External" /><Relationship Id="rId68" Type="http://schemas.openxmlformats.org/officeDocument/2006/relationships/hyperlink" Target="https://advance.lexis.com/api/document?collection=cases-ca&amp;id=urn:contentItem:5F7T-S6T1-JP9P-G0X8-00000-00&amp;context=" TargetMode="External" /><Relationship Id="rId680" Type="http://schemas.openxmlformats.org/officeDocument/2006/relationships/hyperlink" Target="https://advance.lexis.com/api/document?collection=cases-ca&amp;id=urn:contentItem:5F7T-S7K1-JWXF-2122-00000-00&amp;context=" TargetMode="External" /><Relationship Id="rId681" Type="http://schemas.openxmlformats.org/officeDocument/2006/relationships/hyperlink" Target="https://advance.lexis.com/api/document?collection=cases-ca&amp;id=urn:contentItem:5F7T-S6V1-JFKM-613M-00000-00&amp;context=" TargetMode="External" /><Relationship Id="rId682" Type="http://schemas.openxmlformats.org/officeDocument/2006/relationships/hyperlink" Target="https://advance.lexis.com/api/document?collection=cases-ca&amp;id=urn:contentItem:5F7T-S6R1-FG68-G063-00000-00&amp;context=" TargetMode="External" /><Relationship Id="rId683" Type="http://schemas.openxmlformats.org/officeDocument/2006/relationships/hyperlink" Target="https://advance.lexis.com/api/document?collection=cases-ca&amp;id=urn:contentItem:5F16-93C1-JF1Y-B4DN-00000-00&amp;context=" TargetMode="External" /><Relationship Id="rId684" Type="http://schemas.openxmlformats.org/officeDocument/2006/relationships/hyperlink" Target="https://advance.lexis.com/api/document?collection=cases-ca&amp;id=urn:contentItem:5F7T-S781-F7G6-63R1-00000-00&amp;context=" TargetMode="External" /><Relationship Id="rId685" Type="http://schemas.openxmlformats.org/officeDocument/2006/relationships/hyperlink" Target="https://advance.lexis.com/api/document?collection=cases-ca&amp;id=urn:contentItem:5F7T-S7D1-FFFC-B1DY-00000-00&amp;context=" TargetMode="External" /><Relationship Id="rId686" Type="http://schemas.openxmlformats.org/officeDocument/2006/relationships/hyperlink" Target="https://advance.lexis.com/api/document?collection=cases-ca&amp;id=urn:contentItem:5F7T-S7D1-FFFC-B18G-00000-00&amp;context=" TargetMode="External" /><Relationship Id="rId687" Type="http://schemas.openxmlformats.org/officeDocument/2006/relationships/hyperlink" Target="https://advance.lexis.com/api/document?collection=cases-ca&amp;id=urn:contentItem:5F7T-S7F1-FJTD-G3DW-00000-00&amp;context=" TargetMode="External" /><Relationship Id="rId688" Type="http://schemas.openxmlformats.org/officeDocument/2006/relationships/hyperlink" Target="https://advance.lexis.com/api/document?collection=cases-ca&amp;id=urn:contentItem:5F7T-S7D1-DY89-M486-00000-00&amp;context=" TargetMode="External" /><Relationship Id="rId689" Type="http://schemas.openxmlformats.org/officeDocument/2006/relationships/hyperlink" Target="https://advance.lexis.com/api/document?collection=cases-ca&amp;id=urn:contentItem:5F16-93D1-JN6B-S21K-00000-00&amp;context=" TargetMode="External" /><Relationship Id="rId69" Type="http://schemas.openxmlformats.org/officeDocument/2006/relationships/hyperlink" Target="https://advance.lexis.com/api/document?collection=cases-ca&amp;id=urn:contentItem:5F7T-S6W1-JB7K-21KW-00000-00&amp;context=" TargetMode="External" /><Relationship Id="rId690" Type="http://schemas.openxmlformats.org/officeDocument/2006/relationships/hyperlink" Target="https://advance.lexis.com/api/document?collection=cases-ca&amp;id=urn:contentItem:5F16-92W1-F4GK-M2JN-00000-00&amp;context=" TargetMode="External" /><Relationship Id="rId691" Type="http://schemas.openxmlformats.org/officeDocument/2006/relationships/hyperlink" Target="https://advance.lexis.com/api/document?collection=cases-ca&amp;id=urn:contentItem:5F16-92W1-DXPM-S0RC-00000-00&amp;context=" TargetMode="External" /><Relationship Id="rId692" Type="http://schemas.openxmlformats.org/officeDocument/2006/relationships/hyperlink" Target="https://advance.lexis.com/api/document?collection=legislation-ca&amp;id=urn:contentItem:5VYK-4S51-FH4C-X35C-00000-00&amp;context=" TargetMode="External" /><Relationship Id="rId693" Type="http://schemas.openxmlformats.org/officeDocument/2006/relationships/hyperlink" Target="https://advance.lexis.com/api/document?collection=legislation-ca&amp;id=urn:contentItem:5VYK-4SH1-JN14-G2D1-00000-00&amp;context=" TargetMode="External" /><Relationship Id="rId694" Type="http://schemas.openxmlformats.org/officeDocument/2006/relationships/hyperlink" Target="https://advance.lexis.com/api/document?collection=cases-ca&amp;id=urn:contentItem:5F8N-K741-JKB3-X07C-00000-00&amp;context=" TargetMode="External" /><Relationship Id="rId695" Type="http://schemas.openxmlformats.org/officeDocument/2006/relationships/header" Target="header121.xml" /><Relationship Id="rId696" Type="http://schemas.openxmlformats.org/officeDocument/2006/relationships/header" Target="header122.xml" /><Relationship Id="rId697" Type="http://schemas.openxmlformats.org/officeDocument/2006/relationships/footer" Target="footer121.xml" /><Relationship Id="rId698" Type="http://schemas.openxmlformats.org/officeDocument/2006/relationships/footer" Target="footer122.xml" /><Relationship Id="rId699" Type="http://schemas.openxmlformats.org/officeDocument/2006/relationships/header" Target="header123.xml" /><Relationship Id="rId7" Type="http://schemas.openxmlformats.org/officeDocument/2006/relationships/footer" Target="footer2.xml" /><Relationship Id="rId70" Type="http://schemas.openxmlformats.org/officeDocument/2006/relationships/hyperlink" Target="https://advance.lexis.com/api/document?collection=cases-ca&amp;id=urn:contentItem:5F7T-S721-FD4T-B106-00000-00&amp;context=" TargetMode="External" /><Relationship Id="rId700" Type="http://schemas.openxmlformats.org/officeDocument/2006/relationships/footer" Target="footer123.xml" /><Relationship Id="rId701" Type="http://schemas.openxmlformats.org/officeDocument/2006/relationships/hyperlink" Target="https://advance.lexis.com/api/document?collection=cases-ca&amp;id=urn:contentItem:5F7T-S771-JWBS-61PG-00000-00&amp;context=" TargetMode="External" /><Relationship Id="rId702" Type="http://schemas.openxmlformats.org/officeDocument/2006/relationships/hyperlink" Target="https://advance.lexis.com/api/document?collection=cases-ca&amp;id=urn:contentItem:5F7T-S6Y1-F7G6-62VP-00000-00&amp;context=" TargetMode="External" /><Relationship Id="rId703" Type="http://schemas.openxmlformats.org/officeDocument/2006/relationships/hyperlink" Target="https://advance.lexis.com/api/document?collection=cases-ca&amp;id=urn:contentItem:5F7T-S6W1-JF75-M33H-00000-00&amp;context=" TargetMode="External" /><Relationship Id="rId704" Type="http://schemas.openxmlformats.org/officeDocument/2006/relationships/hyperlink" Target="https://advance.lexis.com/api/document?collection=cases-ca&amp;id=urn:contentItem:5F8T-N3R1-JJSF-22XJ-00000-00&amp;context=" TargetMode="External" /><Relationship Id="rId705" Type="http://schemas.openxmlformats.org/officeDocument/2006/relationships/hyperlink" Target="https://advance.lexis.com/api/document?collection=cases-ca&amp;id=urn:contentItem:5F8T-N3T1-JGHR-M24N-00000-00&amp;context=" TargetMode="External" /><Relationship Id="rId706" Type="http://schemas.openxmlformats.org/officeDocument/2006/relationships/hyperlink" Target="https://advance.lexis.com/api/document?collection=cases-ca&amp;id=urn:contentItem:5F7T-S7G1-JBT7-X44V-00000-00&amp;context=" TargetMode="External" /><Relationship Id="rId707" Type="http://schemas.openxmlformats.org/officeDocument/2006/relationships/hyperlink" Target="https://advance.lexis.com/api/document?collection=cases-ca&amp;id=urn:contentItem:5F8T-N3V1-JFKM-609G-00000-00&amp;context=" TargetMode="External" /><Relationship Id="rId708" Type="http://schemas.openxmlformats.org/officeDocument/2006/relationships/hyperlink" Target="https://advance.lexis.com/api/document?collection=cases-ca&amp;id=urn:contentItem:5F7T-S6X1-FCCX-60B6-00000-00&amp;context=" TargetMode="External" /><Relationship Id="rId709" Type="http://schemas.openxmlformats.org/officeDocument/2006/relationships/hyperlink" Target="https://advance.lexis.com/api/document?collection=cases-ca&amp;id=urn:contentItem:5F7T-S6Y1-JTNR-M4RR-00000-00&amp;context=" TargetMode="External" /><Relationship Id="rId71" Type="http://schemas.openxmlformats.org/officeDocument/2006/relationships/hyperlink" Target="https://advance.lexis.com/api/document?collection=cases-ca&amp;id=urn:contentItem:5F7T-S751-JX3N-B16X-00000-00&amp;context=" TargetMode="External" /><Relationship Id="rId710" Type="http://schemas.openxmlformats.org/officeDocument/2006/relationships/hyperlink" Target="https://advance.lexis.com/api/document?collection=cases-ca&amp;id=urn:contentItem:5F8T-N3S1-JT99-24MJ-00000-00&amp;context=" TargetMode="External" /><Relationship Id="rId711" Type="http://schemas.openxmlformats.org/officeDocument/2006/relationships/header" Target="header124.xml" /><Relationship Id="rId712" Type="http://schemas.openxmlformats.org/officeDocument/2006/relationships/header" Target="header125.xml" /><Relationship Id="rId713" Type="http://schemas.openxmlformats.org/officeDocument/2006/relationships/footer" Target="footer124.xml" /><Relationship Id="rId714" Type="http://schemas.openxmlformats.org/officeDocument/2006/relationships/footer" Target="footer125.xml" /><Relationship Id="rId715" Type="http://schemas.openxmlformats.org/officeDocument/2006/relationships/header" Target="header126.xml" /><Relationship Id="rId716" Type="http://schemas.openxmlformats.org/officeDocument/2006/relationships/footer" Target="footer126.xml" /><Relationship Id="rId717" Type="http://schemas.openxmlformats.org/officeDocument/2006/relationships/hyperlink" Target="https://advance.lexis.com/api/document?collection=cases-ca&amp;id=urn:contentItem:5F7T-S7M1-JPP5-228B-00000-00&amp;context=" TargetMode="External" /><Relationship Id="rId718" Type="http://schemas.openxmlformats.org/officeDocument/2006/relationships/hyperlink" Target="https://advance.lexis.com/api/document?collection=legislation-ca&amp;id=urn:contentItem:5F3B-BCV1-JCRC-B237-00000-00&amp;context=" TargetMode="External" /><Relationship Id="rId719" Type="http://schemas.openxmlformats.org/officeDocument/2006/relationships/hyperlink" Target="https://advance.lexis.com/api/document?collection=legislation-ca&amp;id=urn:contentItem:5F41-1FM1-JSJC-X221-00000-00&amp;context=" TargetMode="External" /><Relationship Id="rId72" Type="http://schemas.openxmlformats.org/officeDocument/2006/relationships/hyperlink" Target="https://advance.lexis.com/api/document?collection=cases-ca&amp;id=urn:contentItem:5F7T-S7G1-JWR6-S1X8-00000-00&amp;context=" TargetMode="External" /><Relationship Id="rId720" Type="http://schemas.openxmlformats.org/officeDocument/2006/relationships/hyperlink" Target="https://advance.lexis.com/api/document?collection=cases-ca&amp;id=urn:contentItem:5F7T-S7C1-FCSB-S20M-00000-00&amp;context=" TargetMode="External" /><Relationship Id="rId721" Type="http://schemas.openxmlformats.org/officeDocument/2006/relationships/hyperlink" Target="https://advance.lexis.com/api/document?collection=cases-ca&amp;id=urn:contentItem:5F7T-S7J1-FGCG-S0HS-00000-00&amp;context=" TargetMode="External" /><Relationship Id="rId722" Type="http://schemas.openxmlformats.org/officeDocument/2006/relationships/hyperlink" Target="https://advance.lexis.com/api/document?collection=cases-ca&amp;id=urn:contentItem:5F7T-S751-JGHR-M1T0-00000-00&amp;context=" TargetMode="External" /><Relationship Id="rId723" Type="http://schemas.openxmlformats.org/officeDocument/2006/relationships/hyperlink" Target="https://advance.lexis.com/api/document?collection=cases-ca&amp;id=urn:contentItem:5F7T-S761-FFMK-M0YN-00000-00&amp;context=" TargetMode="External" /><Relationship Id="rId724" Type="http://schemas.openxmlformats.org/officeDocument/2006/relationships/hyperlink" Target="https://advance.lexis.com/api/document?collection=cases-ca&amp;id=urn:contentItem:5F7T-S741-FJM6-61C1-00000-00&amp;context=" TargetMode="External" /><Relationship Id="rId725" Type="http://schemas.openxmlformats.org/officeDocument/2006/relationships/hyperlink" Target="https://advance.lexis.com/api/document?collection=cases-ca&amp;id=urn:contentItem:5F7T-S7C1-JCJ5-20BD-00000-00&amp;context=" TargetMode="External" /><Relationship Id="rId726" Type="http://schemas.openxmlformats.org/officeDocument/2006/relationships/hyperlink" Target="https://advance.lexis.com/api/document?collection=cases-ca&amp;id=urn:contentItem:5F7T-S711-JNS1-M0W7-00000-00&amp;context=" TargetMode="External" /><Relationship Id="rId727" Type="http://schemas.openxmlformats.org/officeDocument/2006/relationships/hyperlink" Target="https://advance.lexis.com/api/document?collection=cases-ca&amp;id=urn:contentItem:5F8N-K741-JGBH-B13V-00000-00&amp;context=" TargetMode="External" /><Relationship Id="rId728" Type="http://schemas.openxmlformats.org/officeDocument/2006/relationships/hyperlink" Target="https://advance.lexis.com/api/document?collection=cases-ca&amp;id=urn:contentItem:5F8N-K711-FG68-G47D-00000-00&amp;context=" TargetMode="External" /><Relationship Id="rId729" Type="http://schemas.openxmlformats.org/officeDocument/2006/relationships/hyperlink" Target="https://advance.lexis.com/api/document?collection=cases-ca&amp;id=urn:contentItem:5F7T-S7J1-JNS1-M28J-00000-00&amp;context=" TargetMode="External" /><Relationship Id="rId73" Type="http://schemas.openxmlformats.org/officeDocument/2006/relationships/hyperlink" Target="https://advance.lexis.com/api/document?collection=cases-ca&amp;id=urn:contentItem:5XR8-3VP1-F4GK-M445-00000-00&amp;context=" TargetMode="External" /><Relationship Id="rId730" Type="http://schemas.openxmlformats.org/officeDocument/2006/relationships/hyperlink" Target="https://advance.lexis.com/api/document?collection=cases-ca&amp;id=urn:contentItem:5F7T-S781-F900-G0W4-00000-00&amp;context=" TargetMode="External" /><Relationship Id="rId731" Type="http://schemas.openxmlformats.org/officeDocument/2006/relationships/hyperlink" Target="https://advance.lexis.com/api/document?collection=cases-ca&amp;id=urn:contentItem:5F7T-S781-JC5P-G1RT-00000-00&amp;context=" TargetMode="External" /><Relationship Id="rId732" Type="http://schemas.openxmlformats.org/officeDocument/2006/relationships/hyperlink" Target="https://advance.lexis.com/api/document?collection=cases-ca&amp;id=urn:contentItem:5F7T-S751-JX3N-B0SH-00000-00&amp;context=" TargetMode="External" /><Relationship Id="rId733" Type="http://schemas.openxmlformats.org/officeDocument/2006/relationships/hyperlink" Target="https://advance.lexis.com/api/document?collection=cases-ca&amp;id=urn:contentItem:5F7T-S7D1-DY89-M40T-00000-00&amp;context=" TargetMode="External" /><Relationship Id="rId734" Type="http://schemas.openxmlformats.org/officeDocument/2006/relationships/hyperlink" Target="https://advance.lexis.com/api/document?collection=cases-ca&amp;id=urn:contentItem:5F8T-N3V1-JF75-M3JT-00000-00&amp;context=" TargetMode="External" /><Relationship Id="rId735" Type="http://schemas.openxmlformats.org/officeDocument/2006/relationships/hyperlink" Target="https://advance.lexis.com/api/document?collection=cases-ca&amp;id=urn:contentItem:5F7T-S7H1-JFSV-G319-00000-00&amp;context=" TargetMode="External" /><Relationship Id="rId736" Type="http://schemas.openxmlformats.org/officeDocument/2006/relationships/hyperlink" Target="https://advance.lexis.com/api/document?collection=cases-ca&amp;id=urn:contentItem:5F7T-S7J1-JNS1-M23Y-00000-00&amp;context=" TargetMode="External" /><Relationship Id="rId737" Type="http://schemas.openxmlformats.org/officeDocument/2006/relationships/hyperlink" Target="https://advance.lexis.com/api/document?collection=cases-ca&amp;id=urn:contentItem:5F8T-N3V1-JF75-M3FN-00000-00&amp;context=" TargetMode="External" /><Relationship Id="rId738" Type="http://schemas.openxmlformats.org/officeDocument/2006/relationships/hyperlink" Target="https://advance.lexis.com/api/document?collection=cases-ca&amp;id=urn:contentItem:5F7T-S711-F4GK-M2B6-00000-00&amp;context=" TargetMode="External" /><Relationship Id="rId739" Type="http://schemas.openxmlformats.org/officeDocument/2006/relationships/hyperlink" Target="https://advance.lexis.com/api/document?collection=cases-ca&amp;id=urn:contentItem:5F7T-S6Y1-DY33-B086-00000-00&amp;context=" TargetMode="External" /><Relationship Id="rId74" Type="http://schemas.openxmlformats.org/officeDocument/2006/relationships/hyperlink" Target="https://advance.lexis.com/api/document?collection=cases-ca&amp;id=urn:contentItem:5F7T-S721-JSC5-M3VG-00000-00&amp;context=" TargetMode="External" /><Relationship Id="rId740" Type="http://schemas.openxmlformats.org/officeDocument/2006/relationships/hyperlink" Target="https://advance.lexis.com/api/document?collection=cases-ca&amp;id=urn:contentItem:5F7T-S7J1-JYYX-62CN-00000-00&amp;context=" TargetMode="External" /><Relationship Id="rId741" Type="http://schemas.openxmlformats.org/officeDocument/2006/relationships/hyperlink" Target="https://advance.lexis.com/api/document?collection=cases-ca&amp;id=urn:contentItem:5F8T-N3V1-JTGH-B14C-00000-00&amp;context=" TargetMode="External" /><Relationship Id="rId742" Type="http://schemas.openxmlformats.org/officeDocument/2006/relationships/hyperlink" Target="https://advance.lexis.com/api/document?collection=cases-ca&amp;id=urn:contentItem:5F7T-S7H1-JS5Y-B2XG-00000-00&amp;context=" TargetMode="External" /><Relationship Id="rId743" Type="http://schemas.openxmlformats.org/officeDocument/2006/relationships/hyperlink" Target="https://advance.lexis.com/api/document?collection=cases-ca&amp;id=urn:contentItem:5F7T-S7F1-F7VM-S43Y-00000-00&amp;context=" TargetMode="External" /><Relationship Id="rId744" Type="http://schemas.openxmlformats.org/officeDocument/2006/relationships/image" Target="media/image2.jpeg" /><Relationship Id="rId745" Type="http://schemas.openxmlformats.org/officeDocument/2006/relationships/hyperlink" Target="https://advance.lexis.com/api/document?collection=legislation-ca&amp;id=urn:contentItem:5W00-SYR1-JX8W-M4S2-00000-00&amp;context=" TargetMode="External" /><Relationship Id="rId746" Type="http://schemas.openxmlformats.org/officeDocument/2006/relationships/hyperlink" Target="https://advance.lexis.com/api/document?collection=cases-ca&amp;id=urn:contentItem:5F82-DK51-JGHR-M3J0-00000-00&amp;context=" TargetMode="External" /><Relationship Id="rId747" Type="http://schemas.openxmlformats.org/officeDocument/2006/relationships/hyperlink" Target="https://advance.lexis.com/api/document?collection=cases-ca&amp;id=urn:contentItem:5F7T-V411-JW09-M27X-00000-00&amp;context=" TargetMode="External" /><Relationship Id="rId748" Type="http://schemas.openxmlformats.org/officeDocument/2006/relationships/hyperlink" Target="https://advance.lexis.com/api/document?collection=cases-ca&amp;id=urn:contentItem:5F7T-S6X1-F7G6-61XP-00000-00&amp;context=" TargetMode="External" /><Relationship Id="rId749" Type="http://schemas.openxmlformats.org/officeDocument/2006/relationships/hyperlink" Target="https://advance.lexis.com/api/document?collection=legislation-ca&amp;id=urn:contentItem:5VYK-W9W1-DY33-B2SS-00000-00&amp;context=" TargetMode="External" /><Relationship Id="rId75" Type="http://schemas.openxmlformats.org/officeDocument/2006/relationships/hyperlink" Target="https://advance.lexis.com/api/document?collection=cases-ca&amp;id=urn:contentItem:5F7T-S711-JG02-S1H3-00000-00&amp;context=" TargetMode="External" /><Relationship Id="rId750" Type="http://schemas.openxmlformats.org/officeDocument/2006/relationships/hyperlink" Target="https://advance.lexis.com/api/document?collection=cases-ca&amp;id=urn:contentItem:5F7T-S6S1-F60C-X0P3-00000-00&amp;context=" TargetMode="External" /><Relationship Id="rId751" Type="http://schemas.openxmlformats.org/officeDocument/2006/relationships/hyperlink" Target="https://advance.lexis.com/api/document?collection=cases-ca&amp;id=urn:contentItem:5F7T-S7H1-K054-G26G-00000-00&amp;context=" TargetMode="External" /><Relationship Id="rId752" Type="http://schemas.openxmlformats.org/officeDocument/2006/relationships/hyperlink" Target="https://advance.lexis.com/api/document?collection=cases-ca&amp;id=urn:contentItem:5F8W-M491-JBDT-B3Y4-00000-00&amp;context=" TargetMode="External" /><Relationship Id="rId753" Type="http://schemas.openxmlformats.org/officeDocument/2006/relationships/hyperlink" Target="https://advance.lexis.com/api/document?collection=cases-ca&amp;id=urn:contentItem:5F7T-V401-JK4W-M2F0-00000-00&amp;context=" TargetMode="External" /><Relationship Id="rId754" Type="http://schemas.openxmlformats.org/officeDocument/2006/relationships/hyperlink" Target="https://advance.lexis.com/api/document?collection=cases-ca&amp;id=urn:contentItem:5F8T-N3T1-JGHR-M1YP-00000-00&amp;context=" TargetMode="External" /><Relationship Id="rId755" Type="http://schemas.openxmlformats.org/officeDocument/2006/relationships/image" Target="media/image3.jpeg" /><Relationship Id="rId756" Type="http://schemas.openxmlformats.org/officeDocument/2006/relationships/hyperlink" Target="https://advance.lexis.com/api/document?collection=cases-ca&amp;id=urn:contentItem:5F7T-S6S1-F8SS-62FC-00000-00&amp;context=" TargetMode="External" /><Relationship Id="rId757" Type="http://schemas.openxmlformats.org/officeDocument/2006/relationships/hyperlink" Target="https://advance.lexis.com/api/document?collection=cases-ca&amp;id=urn:contentItem:5F7T-S6Y1-JPP5-210R-00000-00&amp;context=" TargetMode="External" /><Relationship Id="rId758" Type="http://schemas.openxmlformats.org/officeDocument/2006/relationships/hyperlink" Target="https://advance.lexis.com/api/document?collection=cases-ca&amp;id=urn:contentItem:5F7T-S6W1-F5T5-M1XJ-00000-00&amp;context=" TargetMode="External" /><Relationship Id="rId759" Type="http://schemas.openxmlformats.org/officeDocument/2006/relationships/hyperlink" Target="https://advance.lexis.com/api/document?collection=cases-ca&amp;id=urn:contentItem:5F7T-S6X1-F7G6-62FM-00000-00&amp;context=" TargetMode="External" /><Relationship Id="rId76" Type="http://schemas.openxmlformats.org/officeDocument/2006/relationships/hyperlink" Target="https://advance.lexis.com/api/document?collection=cases-ca&amp;id=urn:contentItem:5F7T-S711-F5KY-B10V-00000-00&amp;context=" TargetMode="External" /><Relationship Id="rId760" Type="http://schemas.openxmlformats.org/officeDocument/2006/relationships/hyperlink" Target="https://advance.lexis.com/api/document?collection=cases-ca&amp;id=urn:contentItem:5F7T-S7M1-JNCK-228M-00000-00&amp;context=" TargetMode="External" /><Relationship Id="rId761" Type="http://schemas.openxmlformats.org/officeDocument/2006/relationships/hyperlink" Target="https://advance.lexis.com/api/document?collection=cases-ca&amp;id=urn:contentItem:5F16-9371-JBT7-X285-00000-00&amp;context=" TargetMode="External" /><Relationship Id="rId762" Type="http://schemas.openxmlformats.org/officeDocument/2006/relationships/hyperlink" Target="https://advance.lexis.com/api/document?collection=cases-ca&amp;id=urn:contentItem:5F16-9371-DXHD-G4YP-00000-00&amp;context=" TargetMode="External" /><Relationship Id="rId763" Type="http://schemas.openxmlformats.org/officeDocument/2006/relationships/hyperlink" Target="https://advance.lexis.com/api/document?collection=cases-ca&amp;id=urn:contentItem:5F16-9371-JKPJ-G4H3-00000-00&amp;context=" TargetMode="External" /><Relationship Id="rId764" Type="http://schemas.openxmlformats.org/officeDocument/2006/relationships/hyperlink" Target="https://advance.lexis.com/api/document?collection=cases-ca&amp;id=urn:contentItem:5F16-9371-DXHD-G51T-00000-00&amp;context=" TargetMode="External" /><Relationship Id="rId765" Type="http://schemas.openxmlformats.org/officeDocument/2006/relationships/hyperlink" Target="https://advance.lexis.com/api/document?collection=cases-ca&amp;id=urn:contentItem:5F82-1SF1-F361-M45F-00000-00&amp;context=" TargetMode="External" /><Relationship Id="rId766" Type="http://schemas.openxmlformats.org/officeDocument/2006/relationships/hyperlink" Target="https://advance.lexis.com/api/document?collection=cases-ca&amp;id=urn:contentItem:5F16-9391-F5KY-B1NB-00000-00&amp;context=" TargetMode="External" /><Relationship Id="rId767" Type="http://schemas.openxmlformats.org/officeDocument/2006/relationships/hyperlink" Target="https://advance.lexis.com/api/document?collection=cases-ca&amp;id=urn:contentItem:5F7T-V401-JFKM-62S7-00000-00&amp;context=" TargetMode="External" /><Relationship Id="rId768" Type="http://schemas.openxmlformats.org/officeDocument/2006/relationships/header" Target="header127.xml" /><Relationship Id="rId769" Type="http://schemas.openxmlformats.org/officeDocument/2006/relationships/header" Target="header128.xml" /><Relationship Id="rId77" Type="http://schemas.openxmlformats.org/officeDocument/2006/relationships/header" Target="header13.xml" /><Relationship Id="rId770" Type="http://schemas.openxmlformats.org/officeDocument/2006/relationships/footer" Target="footer127.xml" /><Relationship Id="rId771" Type="http://schemas.openxmlformats.org/officeDocument/2006/relationships/footer" Target="footer128.xml" /><Relationship Id="rId772" Type="http://schemas.openxmlformats.org/officeDocument/2006/relationships/header" Target="header129.xml" /><Relationship Id="rId773" Type="http://schemas.openxmlformats.org/officeDocument/2006/relationships/footer" Target="footer129.xml" /><Relationship Id="rId774" Type="http://schemas.openxmlformats.org/officeDocument/2006/relationships/hyperlink" Target="https://advance.lexis.com/api/document?collection=cases-ca&amp;id=urn:contentItem:5F7T-S7B1-FH4C-X3BD-00000-00&amp;context=" TargetMode="External" /><Relationship Id="rId775" Type="http://schemas.openxmlformats.org/officeDocument/2006/relationships/hyperlink" Target="https://advance.lexis.com/api/document?collection=cases-ca&amp;id=urn:contentItem:5F8P-T8T1-FFMK-M1D4-00000-00&amp;context=" TargetMode="External" /><Relationship Id="rId776" Type="http://schemas.openxmlformats.org/officeDocument/2006/relationships/hyperlink" Target="https://advance.lexis.com/api/document?collection=cases-ca&amp;id=urn:contentItem:5F8T-N3T1-JFKM-6545-00000-00&amp;context=" TargetMode="External" /><Relationship Id="rId777" Type="http://schemas.openxmlformats.org/officeDocument/2006/relationships/hyperlink" Target="https://advance.lexis.com/api/document?collection=cases-ca&amp;id=urn:contentItem:5F8P-SCK1-FGJR-242D-00000-00&amp;context=" TargetMode="External" /><Relationship Id="rId778" Type="http://schemas.openxmlformats.org/officeDocument/2006/relationships/header" Target="header130.xml" /><Relationship Id="rId779" Type="http://schemas.openxmlformats.org/officeDocument/2006/relationships/header" Target="header131.xml" /><Relationship Id="rId78" Type="http://schemas.openxmlformats.org/officeDocument/2006/relationships/header" Target="header14.xml" /><Relationship Id="rId780" Type="http://schemas.openxmlformats.org/officeDocument/2006/relationships/footer" Target="footer130.xml" /><Relationship Id="rId781" Type="http://schemas.openxmlformats.org/officeDocument/2006/relationships/footer" Target="footer131.xml" /><Relationship Id="rId782" Type="http://schemas.openxmlformats.org/officeDocument/2006/relationships/header" Target="header132.xml" /><Relationship Id="rId783" Type="http://schemas.openxmlformats.org/officeDocument/2006/relationships/footer" Target="footer132.xml" /><Relationship Id="rId784" Type="http://schemas.openxmlformats.org/officeDocument/2006/relationships/hyperlink" Target="https://advance.lexis.com/api/document?collection=cases-ca&amp;id=urn:contentItem:5F7T-S781-JSC5-M3XG-00000-00&amp;context=" TargetMode="External" /><Relationship Id="rId785" Type="http://schemas.openxmlformats.org/officeDocument/2006/relationships/hyperlink" Target="https://advance.lexis.com/api/document?collection=cases-ca&amp;id=urn:contentItem:5F7T-S761-FGJR-227J-00000-00&amp;context=" TargetMode="External" /><Relationship Id="rId786" Type="http://schemas.openxmlformats.org/officeDocument/2006/relationships/header" Target="header133.xml" /><Relationship Id="rId787" Type="http://schemas.openxmlformats.org/officeDocument/2006/relationships/header" Target="header134.xml" /><Relationship Id="rId788" Type="http://schemas.openxmlformats.org/officeDocument/2006/relationships/footer" Target="footer133.xml" /><Relationship Id="rId789" Type="http://schemas.openxmlformats.org/officeDocument/2006/relationships/footer" Target="footer134.xml" /><Relationship Id="rId79" Type="http://schemas.openxmlformats.org/officeDocument/2006/relationships/footer" Target="footer13.xml" /><Relationship Id="rId790" Type="http://schemas.openxmlformats.org/officeDocument/2006/relationships/header" Target="header135.xml" /><Relationship Id="rId791" Type="http://schemas.openxmlformats.org/officeDocument/2006/relationships/footer" Target="footer135.xml" /><Relationship Id="rId792" Type="http://schemas.openxmlformats.org/officeDocument/2006/relationships/hyperlink" Target="https://advance.lexis.com/api/document?collection=cases-ca&amp;id=urn:contentItem:5F7T-S771-JW5H-X1S1-00000-00&amp;context=" TargetMode="External" /><Relationship Id="rId793" Type="http://schemas.openxmlformats.org/officeDocument/2006/relationships/hyperlink" Target="https://advance.lexis.com/api/document?collection=cases-ca&amp;id=urn:contentItem:5F7T-S6T1-JT99-20Y8-00000-00&amp;context=" TargetMode="External" /><Relationship Id="rId794" Type="http://schemas.openxmlformats.org/officeDocument/2006/relationships/header" Target="header136.xml" /><Relationship Id="rId795" Type="http://schemas.openxmlformats.org/officeDocument/2006/relationships/header" Target="header137.xml" /><Relationship Id="rId796" Type="http://schemas.openxmlformats.org/officeDocument/2006/relationships/footer" Target="footer136.xml" /><Relationship Id="rId797" Type="http://schemas.openxmlformats.org/officeDocument/2006/relationships/footer" Target="footer137.xml" /><Relationship Id="rId798" Type="http://schemas.openxmlformats.org/officeDocument/2006/relationships/header" Target="header138.xml" /><Relationship Id="rId799" Type="http://schemas.openxmlformats.org/officeDocument/2006/relationships/footer" Target="footer138.xml" /><Relationship Id="rId8" Type="http://schemas.openxmlformats.org/officeDocument/2006/relationships/header" Target="header3.xml" /><Relationship Id="rId80" Type="http://schemas.openxmlformats.org/officeDocument/2006/relationships/footer" Target="footer14.xml" /><Relationship Id="rId800" Type="http://schemas.openxmlformats.org/officeDocument/2006/relationships/hyperlink" Target="https://advance.lexis.com/api/document?collection=cases-ca&amp;id=urn:contentItem:5F7T-S7D1-DY89-M4B4-00000-00&amp;context=" TargetMode="External" /><Relationship Id="rId801" Type="http://schemas.openxmlformats.org/officeDocument/2006/relationships/header" Target="header139.xml" /><Relationship Id="rId802" Type="http://schemas.openxmlformats.org/officeDocument/2006/relationships/header" Target="header140.xml" /><Relationship Id="rId803" Type="http://schemas.openxmlformats.org/officeDocument/2006/relationships/footer" Target="footer139.xml" /><Relationship Id="rId804" Type="http://schemas.openxmlformats.org/officeDocument/2006/relationships/footer" Target="footer140.xml" /><Relationship Id="rId805" Type="http://schemas.openxmlformats.org/officeDocument/2006/relationships/header" Target="header141.xml" /><Relationship Id="rId806" Type="http://schemas.openxmlformats.org/officeDocument/2006/relationships/footer" Target="footer141.xml" /><Relationship Id="rId807" Type="http://schemas.openxmlformats.org/officeDocument/2006/relationships/hyperlink" Target="https://advance.lexis.com/api/document?collection=cases-ca&amp;id=urn:contentItem:5F7T-S7K1-F528-G35M-00000-00&amp;context=" TargetMode="External" /><Relationship Id="rId808" Type="http://schemas.openxmlformats.org/officeDocument/2006/relationships/hyperlink" Target="https://advance.lexis.com/api/document?collection=legislation-ca&amp;id=urn:contentItem:5F41-1FJ1-JG59-214N-00000-00&amp;context=" TargetMode="External" /><Relationship Id="rId809" Type="http://schemas.openxmlformats.org/officeDocument/2006/relationships/hyperlink" Target="https://advance.lexis.com/api/document?collection=cases-ca&amp;id=urn:contentItem:5F7H-KW91-F1WF-M10W-00000-00&amp;context=" TargetMode="External" /><Relationship Id="rId81" Type="http://schemas.openxmlformats.org/officeDocument/2006/relationships/header" Target="header15.xml" /><Relationship Id="rId810" Type="http://schemas.openxmlformats.org/officeDocument/2006/relationships/hyperlink" Target="https://advance.lexis.com/api/document?collection=cases-ca&amp;id=urn:contentItem:5F7T-S731-DY33-B115-00000-00&amp;context=" TargetMode="External" /><Relationship Id="rId811" Type="http://schemas.openxmlformats.org/officeDocument/2006/relationships/hyperlink" Target="https://advance.lexis.com/api/document?collection=cases-ca&amp;id=urn:contentItem:5F7T-S6T1-JJ1H-X28M-00000-00&amp;context=" TargetMode="External" /><Relationship Id="rId812" Type="http://schemas.openxmlformats.org/officeDocument/2006/relationships/hyperlink" Target="https://advance.lexis.com/api/document?collection=cases-ca&amp;id=urn:contentItem:5F7T-S6W1-JF75-M35H-00000-00&amp;context=" TargetMode="External" /><Relationship Id="rId813" Type="http://schemas.openxmlformats.org/officeDocument/2006/relationships/hyperlink" Target="https://advance.lexis.com/api/document?collection=cases-ca&amp;id=urn:contentItem:5F8T-N3T1-JJSF-23NF-00000-00&amp;context=" TargetMode="External" /><Relationship Id="rId814" Type="http://schemas.openxmlformats.org/officeDocument/2006/relationships/hyperlink" Target="https://advance.lexis.com/api/document?collection=cases-ca&amp;id=urn:contentItem:5F7T-S781-DYMS-61N0-00000-00&amp;context=" TargetMode="External" /><Relationship Id="rId815" Type="http://schemas.openxmlformats.org/officeDocument/2006/relationships/hyperlink" Target="https://advance.lexis.com/api/document?collection=cases-ca&amp;id=urn:contentItem:5F7T-S6Y1-DY33-B07C-00000-00&amp;context=" TargetMode="External" /><Relationship Id="rId816" Type="http://schemas.openxmlformats.org/officeDocument/2006/relationships/hyperlink" Target="https://advance.lexis.com/api/document?collection=cases-ca&amp;id=urn:contentItem:5F16-9301-FD4T-B24M-00000-00&amp;context=" TargetMode="External" /><Relationship Id="rId817" Type="http://schemas.openxmlformats.org/officeDocument/2006/relationships/hyperlink" Target="https://advance.lexis.com/api/document?collection=cases-ca&amp;id=urn:contentItem:5F7T-S7D1-FC6N-X0VM-00000-00&amp;context=" TargetMode="External" /><Relationship Id="rId818" Type="http://schemas.openxmlformats.org/officeDocument/2006/relationships/hyperlink" Target="https://advance.lexis.com/api/document?collection=cases-ca&amp;id=urn:contentItem:5F8P-T8S1-JXNB-60PK-00000-00&amp;context=" TargetMode="External" /><Relationship Id="rId819" Type="http://schemas.openxmlformats.org/officeDocument/2006/relationships/hyperlink" Target="https://advance.lexis.com/api/document?collection=cases-ca&amp;id=urn:contentItem:5F16-9361-K0HK-21WB-00000-00&amp;context=" TargetMode="External" /><Relationship Id="rId82" Type="http://schemas.openxmlformats.org/officeDocument/2006/relationships/footer" Target="footer15.xml" /><Relationship Id="rId820" Type="http://schemas.openxmlformats.org/officeDocument/2006/relationships/hyperlink" Target="https://advance.lexis.com/api/document?collection=cases-ca&amp;id=urn:contentItem:5F81-VJX1-F5T5-M49D-00000-00&amp;context=" TargetMode="External" /><Relationship Id="rId821" Type="http://schemas.openxmlformats.org/officeDocument/2006/relationships/hyperlink" Target="https://advance.lexis.com/api/document?collection=cases-ca&amp;id=urn:contentItem:5F7T-S781-F900-G0VB-00000-00&amp;context=" TargetMode="External" /><Relationship Id="rId822" Type="http://schemas.openxmlformats.org/officeDocument/2006/relationships/hyperlink" Target="https://advance.lexis.com/api/document?collection=cases-ca&amp;id=urn:contentItem:5F8W-M4B1-FG68-G46X-00000-00&amp;context=" TargetMode="External" /><Relationship Id="rId823" Type="http://schemas.openxmlformats.org/officeDocument/2006/relationships/hyperlink" Target="https://advance.lexis.com/api/document?collection=cases-ca&amp;id=urn:contentItem:5F8W-M4C1-JWXF-20JD-00000-00&amp;context=" TargetMode="External" /><Relationship Id="rId824" Type="http://schemas.openxmlformats.org/officeDocument/2006/relationships/hyperlink" Target="https://advance.lexis.com/api/document?collection=cases-ca&amp;id=urn:contentItem:5F8T-N3T1-JGHR-M1TY-00000-00&amp;context=" TargetMode="External" /><Relationship Id="rId825" Type="http://schemas.openxmlformats.org/officeDocument/2006/relationships/hyperlink" Target="https://advance.lexis.com/api/document?collection=cases-ca&amp;id=urn:contentItem:5F7T-S7J1-JGBH-B2B4-00000-00&amp;context=" TargetMode="External" /><Relationship Id="rId826" Type="http://schemas.openxmlformats.org/officeDocument/2006/relationships/hyperlink" Target="https://advance.lexis.com/api/document?collection=cases-ca&amp;id=urn:contentItem:5F7T-S751-JBM1-M2J2-00000-00&amp;context=" TargetMode="External" /><Relationship Id="rId827" Type="http://schemas.openxmlformats.org/officeDocument/2006/relationships/hyperlink" Target="https://advance.lexis.com/api/document?collection=cases-ca&amp;id=urn:contentItem:5F8T-N3T1-JGHR-M1XS-00000-00&amp;context=" TargetMode="External" /><Relationship Id="rId828" Type="http://schemas.openxmlformats.org/officeDocument/2006/relationships/hyperlink" Target="https://advance.lexis.com/api/document?collection=cases-ca&amp;id=urn:contentItem:5F8T-N3V1-JTGH-B1H3-00000-00&amp;context=" TargetMode="External" /><Relationship Id="rId829" Type="http://schemas.openxmlformats.org/officeDocument/2006/relationships/hyperlink" Target="https://advance.lexis.com/api/document?collection=cases-ca&amp;id=urn:contentItem:5F7T-S731-F60C-X12F-00000-00&amp;context=" TargetMode="External" /><Relationship Id="rId83" Type="http://schemas.openxmlformats.org/officeDocument/2006/relationships/hyperlink" Target="https://advance.lexis.com/api/document?collection=cases-ca&amp;id=urn:contentItem:5F7T-S7C1-F7ND-G048-00000-00&amp;context=" TargetMode="External" /><Relationship Id="rId830" Type="http://schemas.openxmlformats.org/officeDocument/2006/relationships/hyperlink" Target="https://advance.lexis.com/api/document?collection=cases-ca&amp;id=urn:contentItem:5F81-VJV1-DXWW-2323-00000-00&amp;context=" TargetMode="External" /><Relationship Id="rId831" Type="http://schemas.openxmlformats.org/officeDocument/2006/relationships/hyperlink" Target="https://advance.lexis.com/api/document?collection=cases-ca&amp;id=urn:contentItem:5F81-VJV1-DYFH-X4JD-00000-00&amp;context=" TargetMode="External" /><Relationship Id="rId832" Type="http://schemas.openxmlformats.org/officeDocument/2006/relationships/hyperlink" Target="https://advance.lexis.com/api/document?collection=cases-ca&amp;id=urn:contentItem:5F7T-S7H1-F4GK-M37K-00000-00&amp;context=" TargetMode="External" /><Relationship Id="rId833" Type="http://schemas.openxmlformats.org/officeDocument/2006/relationships/hyperlink" Target="https://advance.lexis.com/api/document?collection=cases-ca&amp;id=urn:contentItem:5F7T-S7J1-FGCG-S05B-00000-00&amp;context=" TargetMode="External" /><Relationship Id="rId834" Type="http://schemas.openxmlformats.org/officeDocument/2006/relationships/hyperlink" Target="https://advance.lexis.com/api/document?collection=cases-ca&amp;id=urn:contentItem:5F81-VJX1-F22N-X244-00000-00&amp;context=" TargetMode="External" /><Relationship Id="rId835" Type="http://schemas.openxmlformats.org/officeDocument/2006/relationships/header" Target="header142.xml" /><Relationship Id="rId836" Type="http://schemas.openxmlformats.org/officeDocument/2006/relationships/header" Target="header143.xml" /><Relationship Id="rId837" Type="http://schemas.openxmlformats.org/officeDocument/2006/relationships/footer" Target="footer142.xml" /><Relationship Id="rId838" Type="http://schemas.openxmlformats.org/officeDocument/2006/relationships/footer" Target="footer143.xml" /><Relationship Id="rId839" Type="http://schemas.openxmlformats.org/officeDocument/2006/relationships/header" Target="header144.xml" /><Relationship Id="rId84" Type="http://schemas.openxmlformats.org/officeDocument/2006/relationships/hyperlink" Target="https://advance.lexis.com/api/document?collection=cases-ca&amp;id=urn:contentItem:5K6Y-81T1-F361-M3RV-00000-00&amp;context=" TargetMode="External" /><Relationship Id="rId840" Type="http://schemas.openxmlformats.org/officeDocument/2006/relationships/footer" Target="footer144.xml" /><Relationship Id="rId841" Type="http://schemas.openxmlformats.org/officeDocument/2006/relationships/hyperlink" Target="https://advance.lexis.com/api/document?collection=cases-ca&amp;id=urn:contentItem:5F7T-S7C1-F7ND-G040-00000-00&amp;context=" TargetMode="External" /><Relationship Id="rId842" Type="http://schemas.openxmlformats.org/officeDocument/2006/relationships/hyperlink" Target="https://advance.lexis.com/api/document?collection=cases-ca&amp;id=urn:contentItem:5F7T-S761-JCBX-S0HJ-00000-00&amp;context=" TargetMode="External" /><Relationship Id="rId843" Type="http://schemas.openxmlformats.org/officeDocument/2006/relationships/hyperlink" Target="https://advance.lexis.com/api/document?collection=cases-ca&amp;id=urn:contentItem:5F7T-S721-F956-S1WB-00000-00&amp;context=" TargetMode="External" /><Relationship Id="rId844" Type="http://schemas.openxmlformats.org/officeDocument/2006/relationships/hyperlink" Target="https://advance.lexis.com/api/document?collection=cases-ca&amp;id=urn:contentItem:5F7T-S761-F81W-21W4-00000-00&amp;context=" TargetMode="External" /><Relationship Id="rId845" Type="http://schemas.openxmlformats.org/officeDocument/2006/relationships/hyperlink" Target="https://advance.lexis.com/api/document?collection=cases-ca&amp;id=urn:contentItem:5F7T-S751-JNS1-M1X4-00000-00&amp;context=" TargetMode="External" /><Relationship Id="rId846" Type="http://schemas.openxmlformats.org/officeDocument/2006/relationships/hyperlink" Target="https://advance.lexis.com/api/document?collection=cases-ca&amp;id=urn:contentItem:5F7T-S7B1-JSRM-608P-00000-00&amp;context=" TargetMode="External" /><Relationship Id="rId847" Type="http://schemas.openxmlformats.org/officeDocument/2006/relationships/hyperlink" Target="https://advance.lexis.com/api/document?collection=cases-ca&amp;id=urn:contentItem:5F7T-S711-JB2B-S0W5-00000-00&amp;context=" TargetMode="External" /><Relationship Id="rId848" Type="http://schemas.openxmlformats.org/officeDocument/2006/relationships/hyperlink" Target="https://advance.lexis.com/api/document?collection=cases-ca&amp;id=urn:contentItem:5F7T-S731-FFFC-B0PJ-00000-00&amp;context=" TargetMode="External" /><Relationship Id="rId849" Type="http://schemas.openxmlformats.org/officeDocument/2006/relationships/hyperlink" Target="https://advance.lexis.com/api/document?collection=cases-ca&amp;id=urn:contentItem:5F7T-S711-F5KY-B0P4-00000-00&amp;context=" TargetMode="External" /><Relationship Id="rId85" Type="http://schemas.openxmlformats.org/officeDocument/2006/relationships/hyperlink" Target="https://advance.lexis.com/api/document?collection=legislation-ca&amp;id=urn:contentItem:5F41-1FG1-FBN1-21B4-00000-00&amp;context=" TargetMode="External" /><Relationship Id="rId850" Type="http://schemas.openxmlformats.org/officeDocument/2006/relationships/hyperlink" Target="https://advance.lexis.com/api/document?collection=cases-ca&amp;id=urn:contentItem:5F7T-S701-JGPY-X1P1-00000-00&amp;context=" TargetMode="External" /><Relationship Id="rId851" Type="http://schemas.openxmlformats.org/officeDocument/2006/relationships/hyperlink" Target="https://advance.lexis.com/api/document?collection=cases-ca&amp;id=urn:contentItem:5F8T-N3T1-JFKM-651D-00000-00&amp;context=" TargetMode="External" /><Relationship Id="rId852" Type="http://schemas.openxmlformats.org/officeDocument/2006/relationships/hyperlink" Target="https://advance.lexis.com/api/document?collection=cases-ca&amp;id=urn:contentItem:5F7T-S7B1-JCJ5-2033-00000-00&amp;context=" TargetMode="External" /><Relationship Id="rId853" Type="http://schemas.openxmlformats.org/officeDocument/2006/relationships/hyperlink" Target="https://advance.lexis.com/api/document?collection=cases-ca&amp;id=urn:contentItem:5F7T-S6T1-K054-G10J-00000-00&amp;context=" TargetMode="External" /><Relationship Id="rId854" Type="http://schemas.openxmlformats.org/officeDocument/2006/relationships/hyperlink" Target="https://advance.lexis.com/api/document?collection=cases-ca&amp;id=urn:contentItem:5F7T-S6T1-F528-G0XR-00000-00&amp;context=" TargetMode="External" /><Relationship Id="rId855" Type="http://schemas.openxmlformats.org/officeDocument/2006/relationships/hyperlink" Target="https://advance.lexis.com/api/document?collection=cases-ca&amp;id=urn:contentItem:5F7T-S731-JC0G-63HG-00000-00&amp;context=" TargetMode="External" /><Relationship Id="rId856" Type="http://schemas.openxmlformats.org/officeDocument/2006/relationships/hyperlink" Target="https://advance.lexis.com/api/document?collection=cases-ca&amp;id=urn:contentItem:5F7T-S761-JS5Y-B1J8-00000-00&amp;context=" TargetMode="External" /><Relationship Id="rId857" Type="http://schemas.openxmlformats.org/officeDocument/2006/relationships/hyperlink" Target="https://advance.lexis.com/api/document?collection=cases-ca&amp;id=urn:contentItem:5F7T-S741-F1H1-21RG-00000-00&amp;context=" TargetMode="External" /><Relationship Id="rId858" Type="http://schemas.openxmlformats.org/officeDocument/2006/relationships/hyperlink" Target="https://advance.lexis.com/api/document?collection=cases-ca&amp;id=urn:contentItem:5F7T-S721-F06F-2327-00000-00&amp;context=" TargetMode="External" /><Relationship Id="rId859" Type="http://schemas.openxmlformats.org/officeDocument/2006/relationships/hyperlink" Target="https://advance.lexis.com/api/document?collection=cases-ca&amp;id=urn:contentItem:5F7T-S751-JP4G-61JG-00000-00&amp;context=" TargetMode="External" /><Relationship Id="rId86" Type="http://schemas.openxmlformats.org/officeDocument/2006/relationships/hyperlink" Target="https://advance.lexis.com/api/document?collection=cases-ca&amp;id=urn:contentItem:5F8T-N3V1-FC1F-M49J-00000-00&amp;context=" TargetMode="External" /><Relationship Id="rId860" Type="http://schemas.openxmlformats.org/officeDocument/2006/relationships/hyperlink" Target="https://advance.lexis.com/api/document?collection=cases-ca&amp;id=urn:contentItem:5F7T-S741-F528-G273-00000-00&amp;context=" TargetMode="External" /><Relationship Id="rId861" Type="http://schemas.openxmlformats.org/officeDocument/2006/relationships/header" Target="header145.xml" /><Relationship Id="rId862" Type="http://schemas.openxmlformats.org/officeDocument/2006/relationships/header" Target="header146.xml" /><Relationship Id="rId863" Type="http://schemas.openxmlformats.org/officeDocument/2006/relationships/footer" Target="footer145.xml" /><Relationship Id="rId864" Type="http://schemas.openxmlformats.org/officeDocument/2006/relationships/footer" Target="footer146.xml" /><Relationship Id="rId865" Type="http://schemas.openxmlformats.org/officeDocument/2006/relationships/header" Target="header147.xml" /><Relationship Id="rId866" Type="http://schemas.openxmlformats.org/officeDocument/2006/relationships/footer" Target="footer147.xml" /><Relationship Id="rId867" Type="http://schemas.openxmlformats.org/officeDocument/2006/relationships/hyperlink" Target="https://advance.lexis.com/api/document?collection=cases-ca&amp;id=urn:contentItem:5NMS-1461-JN6B-S32T-00000-00&amp;context=" TargetMode="External" /><Relationship Id="rId868" Type="http://schemas.openxmlformats.org/officeDocument/2006/relationships/hyperlink" Target="https://advance.lexis.com/api/document?collection=legislation-ca&amp;id=urn:contentItem:5TBM-3RM1-F7VM-S13S-00000-00&amp;context=" TargetMode="External" /><Relationship Id="rId869" Type="http://schemas.openxmlformats.org/officeDocument/2006/relationships/hyperlink" Target="https://advance.lexis.com/api/document?collection=legislation-ca&amp;id=urn:contentItem:5F41-1FG1-FC1F-M0TW-00000-00&amp;context=" TargetMode="External" /><Relationship Id="rId87" Type="http://schemas.openxmlformats.org/officeDocument/2006/relationships/hyperlink" Target="https://advance.lexis.com/api/document?collection=cases-ca&amp;id=urn:contentItem:5F7T-S6T1-JT99-20W6-00000-00&amp;context=" TargetMode="External" /><Relationship Id="rId870" Type="http://schemas.openxmlformats.org/officeDocument/2006/relationships/hyperlink" Target="https://advance.lexis.com/api/document?collection=cases-ca&amp;id=urn:contentItem:5F8T-N3V1-FH4C-X253-00000-00&amp;context=" TargetMode="External" /><Relationship Id="rId871" Type="http://schemas.openxmlformats.org/officeDocument/2006/relationships/hyperlink" Target="https://advance.lexis.com/api/document?collection=cases-ca&amp;id=urn:contentItem:5J17-BK31-F5T5-M24B-00000-00&amp;context=" TargetMode="External" /><Relationship Id="rId872" Type="http://schemas.openxmlformats.org/officeDocument/2006/relationships/hyperlink" Target="https://advance.lexis.com/api/document?collection=cases-ca&amp;id=urn:contentItem:5F8T-N3V1-FC1F-M497-00000-00&amp;context=" TargetMode="External" /><Relationship Id="rId873" Type="http://schemas.openxmlformats.org/officeDocument/2006/relationships/hyperlink" Target="https://advance.lexis.com/api/document?collection=cases-ca&amp;id=urn:contentItem:5F8T-N3V1-FH4C-X247-00000-00&amp;context=" TargetMode="External" /><Relationship Id="rId874" Type="http://schemas.openxmlformats.org/officeDocument/2006/relationships/hyperlink" Target="https://advance.lexis.com/api/document?collection=cases-ca&amp;id=urn:contentItem:5K2F-CNC1-JKPJ-G2X7-00000-00&amp;context=" TargetMode="External" /><Relationship Id="rId875" Type="http://schemas.openxmlformats.org/officeDocument/2006/relationships/hyperlink" Target="https://advance.lexis.com/api/document?collection=cases-ca&amp;id=urn:contentItem:5F7T-S7P1-JG02-S3YS-00000-00&amp;context=" TargetMode="External" /><Relationship Id="rId876" Type="http://schemas.openxmlformats.org/officeDocument/2006/relationships/hyperlink" Target="https://advance.lexis.com/api/document?collection=cases-ca&amp;id=urn:contentItem:5G68-9741-FCYK-21KH-00000-00&amp;context=" TargetMode="External" /><Relationship Id="rId877" Type="http://schemas.openxmlformats.org/officeDocument/2006/relationships/hyperlink" Target="https://advance.lexis.com/api/document?collection=cases-ca&amp;id=urn:contentItem:5H07-H3W1-F06F-21SP-00000-00&amp;context=" TargetMode="External" /><Relationship Id="rId878" Type="http://schemas.openxmlformats.org/officeDocument/2006/relationships/hyperlink" Target="https://advance.lexis.com/api/document?collection=cases-ca&amp;id=urn:contentItem:5N4W-1P91-JTGH-B52Y-00000-00&amp;context=" TargetMode="External" /><Relationship Id="rId879" Type="http://schemas.openxmlformats.org/officeDocument/2006/relationships/hyperlink" Target="https://advance.lexis.com/api/document?collection=cases-ca&amp;id=urn:contentItem:5F8T-N3V1-FH4C-X1XK-00000-00&amp;context=" TargetMode="External" /><Relationship Id="rId88" Type="http://schemas.openxmlformats.org/officeDocument/2006/relationships/hyperlink" Target="https://advance.lexis.com/api/document?collection=cases-ca&amp;id=urn:contentItem:5F7T-S7H1-JFKM-62CF-00000-00&amp;context=" TargetMode="External" /><Relationship Id="rId880" Type="http://schemas.openxmlformats.org/officeDocument/2006/relationships/hyperlink" Target="https://advance.lexis.com/api/document?collection=cases-ca&amp;id=urn:contentItem:5F8P-SFD1-FG12-61H8-00000-00&amp;context=" TargetMode="External" /><Relationship Id="rId881" Type="http://schemas.openxmlformats.org/officeDocument/2006/relationships/hyperlink" Target="https://advance.lexis.com/api/document?collection=cases-ca&amp;id=urn:contentItem:5F7T-S7F1-JBT7-X2X7-00000-00&amp;context=" TargetMode="External" /><Relationship Id="rId882" Type="http://schemas.openxmlformats.org/officeDocument/2006/relationships/hyperlink" Target="https://advance.lexis.com/api/document?collection=cases-ca&amp;id=urn:contentItem:5M4Y-47R1-JC5P-G440-00000-00&amp;context=" TargetMode="External" /><Relationship Id="rId883" Type="http://schemas.openxmlformats.org/officeDocument/2006/relationships/hyperlink" Target="https://advance.lexis.com/api/document?collection=cases-ca&amp;id=urn:contentItem:5K2W-7K31-F06F-212R-00000-00&amp;context=" TargetMode="External" /><Relationship Id="rId884" Type="http://schemas.openxmlformats.org/officeDocument/2006/relationships/hyperlink" Target="https://advance.lexis.com/api/document?collection=cases-ca&amp;id=urn:contentItem:5F8T-N3V1-FH4C-X24N-00000-00&amp;context=" TargetMode="External" /><Relationship Id="rId885" Type="http://schemas.openxmlformats.org/officeDocument/2006/relationships/hyperlink" Target="https://advance.lexis.com/api/document?collection=cases-ca&amp;id=urn:contentItem:5M7G-Y311-JJ1H-X0NJ-00000-00&amp;context=" TargetMode="External" /><Relationship Id="rId886" Type="http://schemas.openxmlformats.org/officeDocument/2006/relationships/hyperlink" Target="https://advance.lexis.com/api/document?collection=cases-ca&amp;id=urn:contentItem:5KJ3-BM81-JBDT-B4J6-00000-00&amp;context=" TargetMode="External" /><Relationship Id="rId887" Type="http://schemas.openxmlformats.org/officeDocument/2006/relationships/hyperlink" Target="https://advance.lexis.com/api/document?collection=cases-ca&amp;id=urn:contentItem:5GBN-SKJ1-JXNB-637B-00000-00&amp;context=" TargetMode="External" /><Relationship Id="rId888" Type="http://schemas.openxmlformats.org/officeDocument/2006/relationships/hyperlink" Target="https://advance.lexis.com/api/document?collection=cases-ca&amp;id=urn:contentItem:5F8P-SFB1-DYFH-X28S-00000-00&amp;context=" TargetMode="External" /><Relationship Id="rId889" Type="http://schemas.openxmlformats.org/officeDocument/2006/relationships/header" Target="header148.xml" /><Relationship Id="rId89" Type="http://schemas.openxmlformats.org/officeDocument/2006/relationships/hyperlink" Target="https://advance.lexis.com/api/document?collection=cases-ca&amp;id=urn:contentItem:5F8N-K701-JJ1H-X3FG-00000-00&amp;context=" TargetMode="External" /><Relationship Id="rId890" Type="http://schemas.openxmlformats.org/officeDocument/2006/relationships/header" Target="header149.xml" /><Relationship Id="rId891" Type="http://schemas.openxmlformats.org/officeDocument/2006/relationships/footer" Target="footer148.xml" /><Relationship Id="rId892" Type="http://schemas.openxmlformats.org/officeDocument/2006/relationships/footer" Target="footer149.xml" /><Relationship Id="rId893" Type="http://schemas.openxmlformats.org/officeDocument/2006/relationships/header" Target="header150.xml" /><Relationship Id="rId894" Type="http://schemas.openxmlformats.org/officeDocument/2006/relationships/footer" Target="footer150.xml" /><Relationship Id="rId895" Type="http://schemas.openxmlformats.org/officeDocument/2006/relationships/hyperlink" Target="https://advance.lexis.com/api/document?collection=cases-ca&amp;id=urn:contentItem:5K2W-7K31-F06F-212D-00000-00&amp;context=" TargetMode="External" /><Relationship Id="rId896" Type="http://schemas.openxmlformats.org/officeDocument/2006/relationships/hyperlink" Target="https://advance.lexis.com/api/document?collection=legislation-ca&amp;id=urn:contentItem:5F41-1FG1-FC1F-M13K-00000-00&amp;context=" TargetMode="External" /><Relationship Id="rId897" Type="http://schemas.openxmlformats.org/officeDocument/2006/relationships/hyperlink" Target="https://advance.lexis.com/api/document?collection=legislation-ca&amp;id=urn:contentItem:5F41-1FH1-JSRM-606Y-00000-00&amp;context=" TargetMode="External" /><Relationship Id="rId898" Type="http://schemas.openxmlformats.org/officeDocument/2006/relationships/hyperlink" Target="https://advance.lexis.com/api/document?collection=legislation-ca&amp;id=urn:contentItem:5XXV-FXF1-DYV0-G54V-00000-00&amp;context=" TargetMode="External" /><Relationship Id="rId899" Type="http://schemas.openxmlformats.org/officeDocument/2006/relationships/hyperlink" Target="https://advance.lexis.com/api/document?collection=cases-ca&amp;id=urn:contentItem:5F7T-S7P1-JSJC-X1VH-00000-00&amp;context=" TargetMode="External" /><Relationship Id="rId9" Type="http://schemas.openxmlformats.org/officeDocument/2006/relationships/footer" Target="footer3.xml" /><Relationship Id="rId90" Type="http://schemas.openxmlformats.org/officeDocument/2006/relationships/hyperlink" Target="https://advance.lexis.com/api/document?collection=cases-ca&amp;id=urn:contentItem:5F7T-S6Y1-JPP5-215W-00000-00&amp;context=" TargetMode="External" /><Relationship Id="rId900" Type="http://schemas.openxmlformats.org/officeDocument/2006/relationships/hyperlink" Target="https://advance.lexis.com/api/document?collection=cases-ca&amp;id=urn:contentItem:5F7T-S7F1-DXWW-23ST-00000-00&amp;context=" TargetMode="External" /><Relationship Id="rId901" Type="http://schemas.openxmlformats.org/officeDocument/2006/relationships/hyperlink" Target="https://advance.lexis.com/api/document?collection=cases-ca&amp;id=urn:contentItem:5F7T-S7K1-JKHB-62PP-00000-00&amp;context=" TargetMode="External" /><Relationship Id="rId902" Type="http://schemas.openxmlformats.org/officeDocument/2006/relationships/hyperlink" Target="https://advance.lexis.com/api/document?collection=cases-ca&amp;id=urn:contentItem:5F7T-V3Y1-JX3N-B43D-00000-00&amp;context=" TargetMode="External" /><Relationship Id="rId903" Type="http://schemas.openxmlformats.org/officeDocument/2006/relationships/hyperlink" Target="https://advance.lexis.com/api/document?collection=cases-ca&amp;id=urn:contentItem:5F8T-N3R1-FBV7-B0B8-00000-00&amp;context=" TargetMode="External" /><Relationship Id="rId904" Type="http://schemas.openxmlformats.org/officeDocument/2006/relationships/hyperlink" Target="https://advance.lexis.com/api/document?collection=cases-ca&amp;id=urn:contentItem:5F7T-V401-FC6N-X21R-00000-00&amp;context=" TargetMode="External" /><Relationship Id="rId905" Type="http://schemas.openxmlformats.org/officeDocument/2006/relationships/hyperlink" Target="https://advance.lexis.com/api/document?collection=cases-ca&amp;id=urn:contentItem:5F8T-N3V1-JF75-M3W4-00000-00&amp;context=" TargetMode="External" /><Relationship Id="rId906" Type="http://schemas.openxmlformats.org/officeDocument/2006/relationships/hyperlink" Target="https://advance.lexis.com/api/document?collection=cases-ca&amp;id=urn:contentItem:5F8T-N3P1-F7ND-G1JX-00000-00&amp;context=" TargetMode="External" /><Relationship Id="rId907" Type="http://schemas.openxmlformats.org/officeDocument/2006/relationships/hyperlink" Target="https://advance.lexis.com/api/document?collection=cases-ca&amp;id=urn:contentItem:5F7D-YKB1-F5KY-B0G8-00000-00&amp;context=" TargetMode="External" /><Relationship Id="rId908" Type="http://schemas.openxmlformats.org/officeDocument/2006/relationships/hyperlink" Target="https://advance.lexis.com/api/document?collection=cases-ca&amp;id=urn:contentItem:5F8T-N3V1-JTGH-B16T-00000-00&amp;context=" TargetMode="External" /><Relationship Id="rId909" Type="http://schemas.openxmlformats.org/officeDocument/2006/relationships/hyperlink" Target="https://advance.lexis.com/api/document?collection=cases-ca&amp;id=urn:contentItem:5GCC-XVB1-JSXV-G04C-00000-00&amp;context=" TargetMode="External" /><Relationship Id="rId91" Type="http://schemas.openxmlformats.org/officeDocument/2006/relationships/hyperlink" Target="https://advance.lexis.com/api/document?collection=cases-ca&amp;id=urn:contentItem:5F7T-S761-JS5Y-B1BM-00000-00&amp;context=" TargetMode="External" /><Relationship Id="rId910" Type="http://schemas.openxmlformats.org/officeDocument/2006/relationships/hyperlink" Target="https://advance.lexis.com/api/document?collection=cases-ca&amp;id=urn:contentItem:5F7T-S7J1-JYYX-6267-00000-00&amp;context=" TargetMode="External" /><Relationship Id="rId911" Type="http://schemas.openxmlformats.org/officeDocument/2006/relationships/hyperlink" Target="https://advance.lexis.com/api/document?collection=cases-ca&amp;id=urn:contentItem:5F7T-S7K1-JNY7-X4HB-00000-00&amp;context=" TargetMode="External" /><Relationship Id="rId912" Type="http://schemas.openxmlformats.org/officeDocument/2006/relationships/hyperlink" Target="https://advance.lexis.com/api/document?collection=cases-ca&amp;id=urn:contentItem:5F8T-N3V1-JTGH-B16H-00000-00&amp;context=" TargetMode="External" /><Relationship Id="rId913" Type="http://schemas.openxmlformats.org/officeDocument/2006/relationships/hyperlink" Target="https://advance.lexis.com/api/document?collection=cases-ca&amp;id=urn:contentItem:5F8T-N3V1-JF75-M3M1-00000-00&amp;context=" TargetMode="External" /><Relationship Id="rId914" Type="http://schemas.openxmlformats.org/officeDocument/2006/relationships/hyperlink" Target="https://advance.lexis.com/api/document?collection=cases-ca&amp;id=urn:contentItem:5F82-DK61-JT99-23N5-00000-00&amp;context=" TargetMode="External" /><Relationship Id="rId915" Type="http://schemas.openxmlformats.org/officeDocument/2006/relationships/hyperlink" Target="https://advance.lexis.com/api/document?collection=cases-ca&amp;id=urn:contentItem:5F8W-M4C1-JKHB-64JJ-00000-00&amp;context=" TargetMode="External" /><Relationship Id="rId916" Type="http://schemas.openxmlformats.org/officeDocument/2006/relationships/hyperlink" Target="https://advance.lexis.com/api/document?collection=cases-ca&amp;id=urn:contentItem:5F7T-S7N1-F06F-24KM-00000-00&amp;context=" TargetMode="External" /><Relationship Id="rId917" Type="http://schemas.openxmlformats.org/officeDocument/2006/relationships/hyperlink" Target="https://advance.lexis.com/api/document?collection=cases-ca&amp;id=urn:contentItem:5F16-93C1-F2MB-S1CG-00000-00&amp;context=" TargetMode="External" /><Relationship Id="rId918" Type="http://schemas.openxmlformats.org/officeDocument/2006/relationships/hyperlink" Target="https://advance.lexis.com/api/document?collection=cases-ca&amp;id=urn:contentItem:5F8T-N3V1-JTGH-B19J-00000-00&amp;context=" TargetMode="External" /><Relationship Id="rId919" Type="http://schemas.openxmlformats.org/officeDocument/2006/relationships/hyperlink" Target="https://advance.lexis.com/api/document?collection=cases-ca&amp;id=urn:contentItem:5F82-DK01-JS0R-255H-00000-00&amp;context=" TargetMode="External" /><Relationship Id="rId92" Type="http://schemas.openxmlformats.org/officeDocument/2006/relationships/hyperlink" Target="https://advance.lexis.com/api/document?collection=cases-ca&amp;id=urn:contentItem:5F7T-S771-FG68-G0WS-00000-00&amp;context=" TargetMode="External" /><Relationship Id="rId920" Type="http://schemas.openxmlformats.org/officeDocument/2006/relationships/hyperlink" Target="https://advance.lexis.com/api/document?collection=cases-ca&amp;id=urn:contentItem:5F8W-M4B1-F361-M3NK-00000-00&amp;context=" TargetMode="External" /><Relationship Id="rId921" Type="http://schemas.openxmlformats.org/officeDocument/2006/relationships/numbering" Target="numbering.xml" /><Relationship Id="rId922" Type="http://schemas.openxmlformats.org/officeDocument/2006/relationships/styles" Target="styles.xml" /><Relationship Id="rId93" Type="http://schemas.openxmlformats.org/officeDocument/2006/relationships/header" Target="header16.xml" /><Relationship Id="rId94" Type="http://schemas.openxmlformats.org/officeDocument/2006/relationships/header" Target="header17.xml" /><Relationship Id="rId95" Type="http://schemas.openxmlformats.org/officeDocument/2006/relationships/footer" Target="footer16.xml" /><Relationship Id="rId96" Type="http://schemas.openxmlformats.org/officeDocument/2006/relationships/footer" Target="footer17.xml" /><Relationship Id="rId97" Type="http://schemas.openxmlformats.org/officeDocument/2006/relationships/header" Target="header18.xml" /><Relationship Id="rId98" Type="http://schemas.openxmlformats.org/officeDocument/2006/relationships/footer" Target="footer18.xml" /><Relationship Id="rId99" Type="http://schemas.openxmlformats.org/officeDocument/2006/relationships/hyperlink" Target="https://advance.lexis.com/api/document?collection=cases-ca&amp;id=urn:contentItem:5F7T-S771-JSJC-X05W-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Maxwell's Plumbing and Heating Ltd. v. British Columbia, [2016] B.C.J. No. 1243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115051103</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