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Sonmor (Guardian ad Litem of) v. Williams, [2006] B.C.J. No. 1744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Preston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25, 2006.</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31, 2006.</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M001776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1744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1153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152 A.C.W.S. (3d) 544</w:t>
      </w:r>
    </w:p>
    <w:p>
      <w:pPr>
        <w:spacing w:before="120" w:line="260" w:lineRule="atLeast"/>
        <w:rPr>
          <w:lang w:val="en-US" w:eastAsia="en-US" w:bidi="ar-SA"/>
        </w:rPr>
      </w:pPr>
      <w:r>
        <w:rPr>
          <w:rFonts w:ascii="arial" w:eastAsia="arial" w:hAnsi="arial" w:cs="arial"/>
          <w:color w:val="000000"/>
          <w:sz w:val="20"/>
          <w:lang w:val="en-US" w:eastAsia="en-US" w:bidi="ar-SA"/>
        </w:rPr>
        <w:t>Between Bradley Steven Sonmor, an infant by his Guardian ad Litem, Frances Sonmor, Plaintiff, and Dawn Philipa Williams,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25" style="position:absolute;z-index:2516582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0" w:name="Keywords"/>
      <w:bookmarkEnd w:id="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Stopping — Application by the defendant, Williams, to dismiss the plaintiff Sonmor's claim for damages arising from a motor vehicle accident allowed — The defendant's vehicle collided with the plaintiff's mountain bike in an intersection — The plaintiff had failed to stop at a stop sign and was 100 per cent at fault in the accident.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 w:name="Case Summary"/>
            <w:bookmarkEnd w:id="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Williams, to summarily dismiss the plaintiff Sonmor's claim for damages arising from a motor vehicle accident -- In 1998, the defendant's vehicle collided with the plantiff, who was on a mountain bike, at an intersection -- The defendant claimed that her view was obscured by a hill and a parked dump truck and that the plaintiff failed to stop at a stop sign -- The plaintiff claimed that the defendant had been speeding -- HELD: Application allowed -- The essential factual elements were not in dispute; there was no evidence that the defendant had been traveling at an excessive rate of speed -- There was no evidence to support the claim -- The plaintiff had failed to stop at a stop sign and was 100 per cent at fault in the accident. </w:t>
            </w:r>
            <w:r>
              <w:rPr>
                <w:lang w:val="en-US" w:eastAsia="en-US" w:bidi="ar-SA"/>
              </w:rPr>
              <w:cr/>
            </w:r>
          </w:p>
          <w:p>
            <w:pPr>
              <w:rPr>
                <w:lang w:val="en-US" w:eastAsia="en-US" w:bidi="ar-SA"/>
              </w:rPr>
            </w:pPr>
          </w:p>
        </w:tc>
      </w:tr>
    </w:tbl>
    <w:p>
      <w:pPr>
        <w:jc w:val="both"/>
        <w:rPr>
          <w:lang w:val="en-US" w:eastAsia="en-US" w:bidi="ar-SA"/>
        </w:rPr>
      </w:pPr>
      <w:bookmarkStart w:id="2" w:name="Legislation Cited"/>
      <w:bookmarkEnd w:id="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26" style="position:absolute;z-index:2517094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r>
        <w:rPr>
          <w:lang w:val="en-US" w:eastAsia="en-US" w:bidi="ar-SA"/>
        </w:rPr>
        <w:cr/>
      </w:r>
    </w:p>
    <w:p>
      <w:pPr>
        <w:keepNext/>
        <w:spacing w:before="240" w:line="340" w:lineRule="atLeast"/>
        <w:rPr>
          <w:lang w:val="en-US" w:eastAsia="en-US" w:bidi="ar-SA"/>
        </w:rPr>
      </w:pPr>
      <w:bookmarkStart w:id="3" w:name="Counsel"/>
      <w:bookmarkEnd w:id="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27" style="position:absolute;z-index:2517606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Julie K. Lamb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William R. Chalcraft</w:t>
      </w:r>
      <w:r>
        <w:rPr>
          <w:lang w:val="en-US" w:eastAsia="en-US" w:bidi="ar-SA"/>
        </w:rPr>
        <w:cr/>
      </w:r>
    </w:p>
    <w:p>
      <w:pPr>
        <w:spacing w:after="240"/>
        <w:rPr>
          <w:lang w:val="en-US" w:eastAsia="en-US" w:bidi="ar-SA"/>
        </w:rPr>
      </w:pPr>
      <w:bookmarkStart w:id="4" w:name="Judgment"/>
      <w:bookmarkEnd w:id="4"/>
      <w:r>
        <w:pict>
          <v:line id="_x0000_s1028" style="position:absolute;z-index:25181081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5" w:name="PRESTON J."/>
            <w:bookmarkEnd w:id="5"/>
            <w:r>
              <w:rPr>
                <w:rFonts w:ascii="arial" w:eastAsia="arial" w:hAnsi="arial" w:cs="arial"/>
                <w:b/>
                <w:color w:val="000000"/>
                <w:sz w:val="30"/>
                <w:lang w:val="en-US" w:eastAsia="en-US" w:bidi="ar-SA"/>
              </w:rPr>
              <w:t>PRESTON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under Rule 18A for dismissal of the plaintiff's claim for damages in a motor vehicle accident. The issues are whether the matter is suitable for determination under Rule 18A and, if so, whether the defendant was responsible in whole or, in part, for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motor vehicle accident took place on April 19, 1998 at the intersection of Field Road and Cameo Road in Wilson Creek near Sechelt, B.C. The defendant, Ms. Williams, was the owner and driver of a 1981 Volkswagen Rabbit motor vehicle. She collided with the 16-year-old plaintiff, Mr. Sonmor, who was riding a mountain bike.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happened at dusk on a clear dry day. It was still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nature of the T-intersection where the accident took place is crucial to an understanding of the accident. Cameo Road, a minor residential Road, which travels in an east-west direction, intersects Field Road, which travels in a north-south direction. Cameo Road enters Field Road from the west, and does not extend to the east of Field Road. Field Road is the larger of the two roads. It has a downgrade of approximately 9% for vehicles travelling southbound from the crest of a small hill approximately 100 metres north of the T-intersection. Cameo Road has a slight downgrade of 3.5 - 5% as one proceeds in an easterly direction to the intersection with Field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a stop sign on Cameo Road for traffic approaching the intersection. The stop sign is located approximately 5 metres from the west edge of Field Road. At the time that the accident took place there was a dump truck parked on the north edge of Cameo Road facing west. The back of the dump truck was 5.9 metres from the west edge of Field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Sonmor was riding his bicycle on Cameo Road toward the intersection. Ms. Williams was operating her motor vehicle in a southerly direction on Field Road approaching the intersection. Ms. Williams' view of the cyclist was obscured by a small hill covered with vegetation and by the dump truck. Mr. Sonmor's view of Ms. Williams' vehicle was similarly obscured. As Ms. Williams proceeded south, she would not have been able to see Mr. Sonmor and his bicycle until he emerged from behind the dump truck. At the point where he would have half-emerged from behind the dump truck, he would be approximately 6 metres from the edge of Field Road. He would have been approximately beside the stop sign that required him to stop before proceeding onto Field Road. Mr. Sonmor deposed that he was travelling at a jogging speed, and that when he saw the vehicle, he thought that it was far enough away that he could pass in front of it and he sprinted onto Field Road intending to turn left and proceed north up Field Road. He did not stop at the stop sign. This estimate of the vehicle's distance was incorrect. The vehicle collided with him approximately in the middle of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Williams and the two passengers in her vehicle testified that she was proceeding at approximately the speed limit of 50 kph immediately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initial contact between the vehicle and Mr. Sonmor and his bicycle took place on the front of the vehicle approximately 7 centimetres in from the right-hand edge of the vehicle. Mr. Sonmor was thrown over the vehicle and came to rest some distance south of the intersection. The vehicle came to a stop approximately 22 metres south of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Accident Reconstruction Reports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Both parties commissioned accident reconstruction reports. I am satisfied that both reports are of only very limited value in determining fault. Both reports rely to some extent on the coefficient of friction of the roadway on Field Road. Neither engineer measured the coefficient of friction. Mr. Fricker, the accident reconstruction engineer retained on behalf of Mr. Sonmor, did not even visit the accident site. Both relied upon ranges of values for the time it takes people to react to hazards. Ms. Williams' reaction time is unknown.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Brown, the engineer who submitted a report on behalf of Ms. Williams, calculated the relative speeds of the vehicles on the basis of the assumed trajectory of Mr. Sonmor's body between impact with the front of the car and impact with the roof of the car. Such a calculation is unlikely to be conclusive.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Fricker's assumptions are subject to the same difficulties as those that form the basis of Mr. Brown's report. Mr. Fricker's conclusion, relied upon by Mr. Sonmor, is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order to avoid the collision, Ms. Williams had to either steer around Mr. Sonmor, or slow down enough for him to pass by in front of her. If she was travelling above the 50 km/h speed limit, she would have reduced or eliminated her opportunity to avoid the collision by braking.</w:t>
      </w:r>
    </w:p>
    <w:p>
      <w:pPr>
        <w:spacing w:before="120" w:line="260" w:lineRule="atLeast"/>
        <w:ind w:left="720"/>
        <w:rPr>
          <w:lang w:val="en-US" w:eastAsia="en-US" w:bidi="ar-SA"/>
        </w:rPr>
      </w:pPr>
      <w:r>
        <w:rPr>
          <w:rFonts w:ascii="arial" w:eastAsia="arial" w:hAnsi="arial" w:cs="arial"/>
          <w:color w:val="000000"/>
          <w:sz w:val="20"/>
          <w:lang w:val="en-US" w:eastAsia="en-US" w:bidi="ar-SA"/>
        </w:rPr>
        <w:t>Based on the damage to the Williams Volkswagen, Mr. Sonmor was hit somewhere on the right side at its front end. If, as Mr. Brown writes, the distance from the right corner to the centre of the Rabbit was 0.73 m, and the length of Sonmor's bike was 1.5 m with Sonmor sitting 0.9 m from the front, then Sonmor had to move 1.33 to 2.06 m further to clear the front end of the Volkswagen. At 25 km/h this would have required 0.19 to .30 s [seconds].</w:t>
      </w:r>
    </w:p>
    <w:p>
      <w:pPr>
        <w:spacing w:before="120" w:line="260" w:lineRule="atLeast"/>
        <w:ind w:left="720"/>
        <w:rPr>
          <w:lang w:val="en-US" w:eastAsia="en-US" w:bidi="ar-SA"/>
        </w:rPr>
      </w:pPr>
      <w:r>
        <w:rPr>
          <w:rFonts w:ascii="arial" w:eastAsia="arial" w:hAnsi="arial" w:cs="arial"/>
          <w:color w:val="000000"/>
          <w:sz w:val="20"/>
          <w:lang w:val="en-US" w:eastAsia="en-US" w:bidi="ar-SA"/>
        </w:rPr>
        <w:t>The Olson study on perception-response provides a range of perception-reaction times for unalerted drivers (Olson, 1989). Mr. Brown used 1.1 seconds, which is the median value of the data. The study showed that about ninety percent of people will perceive and respond between 0.75 and 1.5 seconds.</w:t>
      </w:r>
    </w:p>
    <w:p>
      <w:pPr>
        <w:spacing w:before="120" w:line="260" w:lineRule="atLeast"/>
        <w:ind w:left="720"/>
        <w:rPr>
          <w:lang w:val="en-US" w:eastAsia="en-US" w:bidi="ar-SA"/>
        </w:rPr>
      </w:pPr>
      <w:r>
        <w:rPr>
          <w:rFonts w:ascii="arial" w:eastAsia="arial" w:hAnsi="arial" w:cs="arial"/>
          <w:color w:val="000000"/>
          <w:sz w:val="20"/>
          <w:lang w:val="en-US" w:eastAsia="en-US" w:bidi="ar-SA"/>
        </w:rPr>
        <w:t>If Ms. Williams was travelling at 57 to 76 km/h, as her stopping distance indicates was possible, then it is possible to calculate, for a given perception-response time, whether there would have been enough time for Sonmor to pass by if she had instead being travelling at 50 km/h.</w:t>
      </w:r>
    </w:p>
    <w:p>
      <w:pPr>
        <w:spacing w:before="120" w:line="260" w:lineRule="atLeast"/>
        <w:ind w:left="720"/>
        <w:rPr>
          <w:lang w:val="en-US" w:eastAsia="en-US" w:bidi="ar-SA"/>
        </w:rPr>
      </w:pPr>
      <w:r>
        <w:rPr>
          <w:rFonts w:ascii="arial" w:eastAsia="arial" w:hAnsi="arial" w:cs="arial"/>
          <w:color w:val="000000"/>
          <w:sz w:val="20"/>
          <w:lang w:val="en-US" w:eastAsia="en-US" w:bidi="ar-SA"/>
        </w:rPr>
        <w:t>For example, if her speed at impact was actually 56.3 km/h, and she took 1.5 s to perceive and respond to Mr. Sonmor, then she must have perceived Sonmor 23.46 m from the point-of-impact. If she perceived Sonmor 23.46 m away, but had instead been travelling at 50 km/h, she would have had 1.69 seconds until she reached the point-of-impact. If Sonmor only needed to clear 1.33 m (requiring .19 s), he would have passed by before Williams reached the point-of-impact.</w:t>
      </w:r>
    </w:p>
    <w:p>
      <w:pPr>
        <w:spacing w:before="120" w:line="260" w:lineRule="atLeast"/>
        <w:ind w:left="720"/>
        <w:rPr>
          <w:lang w:val="en-US" w:eastAsia="en-US" w:bidi="ar-SA"/>
        </w:rPr>
      </w:pPr>
      <w:r>
        <w:rPr>
          <w:rFonts w:ascii="arial" w:eastAsia="arial" w:hAnsi="arial" w:cs="arial"/>
          <w:color w:val="000000"/>
          <w:sz w:val="20"/>
          <w:lang w:val="en-US" w:eastAsia="en-US" w:bidi="ar-SA"/>
        </w:rPr>
        <w:t>The above example is the minimum speed at which Ms. Williams compromised her chance to avoid collision. At any speed above 56.3 km/h, the chances increase that the collision would have been avoided if Williams had instead been travelling at 50 km/h.</w:t>
      </w:r>
    </w:p>
    <w:p>
      <w:pPr>
        <w:spacing w:before="120" w:line="260" w:lineRule="atLeast"/>
        <w:ind w:left="720"/>
        <w:rPr>
          <w:lang w:val="en-US" w:eastAsia="en-US" w:bidi="ar-SA"/>
        </w:rPr>
      </w:pPr>
      <w:r>
        <w:rPr>
          <w:rFonts w:ascii="arial" w:eastAsia="arial" w:hAnsi="arial" w:cs="arial"/>
          <w:color w:val="000000"/>
          <w:sz w:val="20"/>
          <w:lang w:val="en-US" w:eastAsia="en-US" w:bidi="ar-SA"/>
        </w:rPr>
        <w:t>If Williams was going 70.0 km/h or more, the collision was avoidable at 50 km/h per our regardless of what her perception-response time was.</w:t>
      </w:r>
    </w:p>
    <w:p>
      <w:pPr>
        <w:spacing w:before="120" w:line="260" w:lineRule="atLeast"/>
        <w:ind w:left="720"/>
        <w:rPr>
          <w:lang w:val="en-US" w:eastAsia="en-US" w:bidi="ar-SA"/>
        </w:rPr>
      </w:pPr>
      <w:r>
        <w:rPr>
          <w:rFonts w:ascii="arial" w:eastAsia="arial" w:hAnsi="arial" w:cs="arial"/>
          <w:color w:val="000000"/>
          <w:sz w:val="20"/>
          <w:lang w:val="en-US" w:eastAsia="en-US" w:bidi="ar-SA"/>
        </w:rPr>
        <w:t>If Williams was travelling at 60.6 km/h, there is a fifty percent likelihood that she would have been able to avoid the collision had she been going 50 km/h instead.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Fricker had not inspected Ms. Williams' vehicle. His calculations imply more precision to her later recollection of her actions during the collision than I think they should bear. His analysis is dependant on a coefficient of friction taken from a book rather than measured at the scene. He makes the assumption that the plaintiff's perception/reaction time was within a certain range of measured perception/reaction times for a test population. The precision of the numbers he derives from his analysis lends a patina of precision to his conclusions that, because of the lack of connection of his assumptions to the facts of the accident, obscures their speculative nature.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Sonmor relies upon Mr. Fricker's accident reconstruction report and some extrapolations from Mr. Brown's report to prove that Ms. Williams was exceeding the speed limit of 50 km/h. That body of evidence is insufficient to the task. Ms. Williams and the two passengers in her vehicle depose that she was travelling at the speed limit or below.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no basis for finding that Ms. Williams was speeding and was, for that reason, contributorily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uncontroverted evidence is that Mr. Sonmor travelled onto Field Road in front of Ms. Williams' vehicle without stopping at a stop sign that required him to do so. He miscalculated the proximity of her vehicle to him. He "sprinted" in an attempt to clear Ms. Williams' lane of travel before her vehicle collided with him. He was visible to Ms. Williams for less than one and one-half seconds before the collision took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basis of those facts, I conclude that the Mr. Sonmor is 100% responsible for the collision and his resulting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am satisfied that it is not unjust to dispose of this matter under Rule 18A. Except for the speed of the Ms. Williams' vehicle, with which I have already dealt, the essential facts are not in dispute.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Williams is entitled to her costs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PRESTON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Strachan (Guardian ad Litem of) v. Reynolds, [2006] B.C.J. No. 484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30,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C994119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484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362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C.C.L.T. (3d) 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148 A.C.W.S. (3d) 734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510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Travis Michael Strachan, an infant by his mother and Guardian Ad Litem, Karen Anne Strachan and the said, Karen Anne Strachan, plaintiffs, and Dr. Margaret L. Reynolds, Dr. Owen I. Yoshida and Kelowna General Hospital,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Damages — General damages — For personal injuries — Cost of future care — Application by defendants for leave to re-open evidence and argument allowed in part — Defendants established that continued receipt of benefits by plaintiff was not contemplated in initial assessment of damages for cost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 Measure of damages — Deductions — Collateral benefits — Government benefits — Application by defendants for leave to re-open evidence and argument allowed in part — Defendants established that continued receipt of benefits by plaintiff was not contemplated in initial assessment of damages for cost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Trials — Re-opening hearing — Additional evidence after hearing — Application by defendants for leave to re-open evidence and argument allowed in part — Defendants established that continued receipt of benefits by plaintiff was not contemplated in initial assessment of damages for cost of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 w:name="Case Summary_0"/>
            <w:bookmarkEnd w:id="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doctor, Reynolds, and his employer, Kelowna General Hospital, for leave to re-open evidence and argument with regard to the issue of the costs of future care of the infant plaintiff, Strachan -- Plaintiffs successfully sued applicants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brain injury during child's birth -- Cost of future care award was based on evidence that child would not attend school and that benefits would cease upon judgment -- Applicants paid plaintiffs an advance on judgment that included provision for cost of future care from the first date of trial -- Applicants sought to adduce evidence that child attended public school and continued to receive nursing support services and benefits throughout trial and thereafter -- Applicants argued for reduction of child's future care cost award and recalculation of damages -- Applicants submitted that double recovery via payment for costs that were not incurred by plaintiffs resulted in injustice -- Child's mother deposed that family had experienced trouble accessing advance on judgment from trustees and that child attended school to provide mother a respite from constant care-giving -- She deposed that child did not benefit from school, was frequently absent, and spent majority of time being treated -- HELD: Application allowed in part -- It was highly doubtful that the child would attend school throughout his remaining life expectancy -- It was impractical for the Court to monitor the child's progress in order to constantly revisit the amount set -- However, it was unfair to let the original assessment stand -- Damages were re-assessed on the basis that the child would attend school on a halftime basis -- Benefits received after the date on which the judgment was paid constituted double recovery and would result in a miscarriage of justice if the applicants were not permitted to adduce the relevant evidence and to deduct the benefits from the award for costs of future care -- Applicants permitted to adduce new evidence that future care costs award should be reduced to account for benefits provided until the date of cessation.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 w:name="Counsel_0"/>
      <w:bookmarkEnd w:id="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L.A.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Reynolds: C.L. Khanna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Kelowna General Hospital: R.J. Harper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 w:name="Judgment_0"/>
      <w:bookmarkEnd w:id="9"/>
      <w:r>
        <w:pict>
          <v:line id="_x0000_s1032" style="position:absolute;z-index:25176166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31, 2006.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 w:name="HOOD J."/>
            <w:bookmarkEnd w:id="10"/>
            <w:r>
              <w:rPr>
                <w:rFonts w:ascii="arial" w:eastAsia="arial" w:hAnsi="arial" w:cs="arial"/>
                <w:b/>
                <w:color w:val="000000"/>
                <w:sz w:val="30"/>
                <w:lang w:val="en-US" w:eastAsia="en-US" w:bidi="ar-SA"/>
              </w:rPr>
              <w:t>HOOD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involving the infant Plaintiff suffering catastrophic injuries, as a result of brain injury, during his birth on January 23,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nature of the application on behalf of the Defendant, Dr. Reynolds, which is supported by the Defendant Hospital, is set out in Ms. Khanna's written submission,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Nature of Application</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Dr. Reynolds, applies for leave to re-open both evidence and argument in respect of the trial in this action with regard to the issue of the costs of future care, for the purpose of: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Adducing evidence that</w:t>
      </w:r>
      <w:r>
        <w:rPr>
          <w:rFonts w:ascii="arial" w:eastAsia="arial" w:hAnsi="arial" w:cs="arial"/>
          <w:color w:val="000000"/>
          <w:sz w:val="20"/>
          <w:lang w:val="en-US" w:eastAsia="en-US" w:bidi="ar-SA"/>
        </w:rPr>
        <w:t xml:space="preserve"> Travis Strachan has been attending public school </w:t>
      </w:r>
      <w:r>
        <w:rPr>
          <w:rFonts w:ascii="arial" w:eastAsia="arial" w:hAnsi="arial" w:cs="arial"/>
          <w:color w:val="000000"/>
          <w:sz w:val="20"/>
          <w:u w:val="single"/>
          <w:lang w:val="en-US" w:eastAsia="en-US" w:bidi="ar-SA"/>
        </w:rPr>
        <w:t>since September 2004 and has received and continues to receive, at no cost to him or his family, direct nursing support services and benefits under the At Home Program/ through the MCFD for Children and Family Development, since September 2003</w:t>
      </w:r>
      <w:r>
        <w:rPr>
          <w:rFonts w:ascii="arial" w:eastAsia="arial" w:hAnsi="arial" w:cs="arial"/>
          <w:color w:val="000000"/>
          <w:sz w:val="20"/>
          <w:lang w:val="en-US" w:eastAsia="en-US" w:bidi="ar-SA"/>
        </w:rPr>
        <w: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Advancing argument that, </w:t>
      </w:r>
      <w:r>
        <w:rPr>
          <w:rFonts w:ascii="arial" w:eastAsia="arial" w:hAnsi="arial" w:cs="arial"/>
          <w:color w:val="000000"/>
          <w:sz w:val="20"/>
          <w:u w:val="single"/>
          <w:lang w:val="en-US" w:eastAsia="en-US" w:bidi="ar-SA"/>
        </w:rPr>
        <w:t>based on the evidence relied upon in this application</w:t>
      </w:r>
      <w:r>
        <w:rPr>
          <w:rFonts w:ascii="arial" w:eastAsia="arial" w:hAnsi="arial" w:cs="arial"/>
          <w:color w:val="000000"/>
          <w:sz w:val="20"/>
          <w:lang w:val="en-US" w:eastAsia="en-US" w:bidi="ar-SA"/>
        </w:rPr>
        <w:t xml:space="preserve">, Travis Strachan's future care cost award should be </w:t>
      </w:r>
      <w:r>
        <w:rPr>
          <w:rFonts w:ascii="arial" w:eastAsia="arial" w:hAnsi="arial" w:cs="arial"/>
          <w:color w:val="000000"/>
          <w:sz w:val="20"/>
          <w:u w:val="single"/>
          <w:lang w:val="en-US" w:eastAsia="en-US" w:bidi="ar-SA"/>
        </w:rPr>
        <w:t>reduced to account for the past and future benefits provided by the MCFD for Children and Family Development and to account for the fact that he has been attending school</w:t>
      </w: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defendant also requests that, based on the new evidence, the Judgment rendered with respect to costs of future care be set aside and damages be re-calculated in light of the new evidence.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submitted that, in light of the evidence of Ms. Laurie Christiansen, allowing the Reasons for Judgment and the Additional Reasons for Judgment to stand regarding the cost of future care and schooling would, absent a re-opening of both evidence and argument, lead to a miscarriage of justice. </w:t>
      </w:r>
      <w:r>
        <w:rPr>
          <w:rFonts w:ascii="arial" w:eastAsia="arial" w:hAnsi="arial" w:cs="arial"/>
          <w:color w:val="000000"/>
          <w:sz w:val="20"/>
          <w:u w:val="single"/>
          <w:lang w:val="en-US" w:eastAsia="en-US" w:bidi="ar-SA"/>
        </w:rPr>
        <w:t>The new evidence contradicts the findings of fact that Travis would not go to school and that government benefits would not continue after judgment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to be noted that the new evidence sought to be adduced pertains to, and contradicts, the findings of fact that Travis would not go to school, and that government benefits would not continue after Judgment. The evidence seemingly is confined to those two complaints and is based on subsequent developments.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application on behalf of the Defendant Hospital is stated in similar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Specifically, the Hospital seeks to </w:t>
      </w:r>
      <w:r>
        <w:rPr>
          <w:rFonts w:ascii="arial" w:eastAsia="arial" w:hAnsi="arial" w:cs="arial"/>
          <w:color w:val="000000"/>
          <w:sz w:val="20"/>
          <w:u w:val="single"/>
          <w:lang w:val="en-US" w:eastAsia="en-US" w:bidi="ar-SA"/>
        </w:rPr>
        <w:t>adduce evidence that the infant plaintiff has been attending public school since September 2004, that he has continued to receive</w:t>
      </w:r>
      <w:r>
        <w:rPr>
          <w:rFonts w:ascii="arial" w:eastAsia="arial" w:hAnsi="arial" w:cs="arial"/>
          <w:color w:val="000000"/>
          <w:sz w:val="20"/>
          <w:lang w:val="en-US" w:eastAsia="en-US" w:bidi="ar-SA"/>
        </w:rPr>
        <w:t>, at no cost to him or his family, direct nursing support services from the government and benefits under the At Home Program, and to argue based on this evidence, the award of future cost of care should be reduced to account for past and future benefits and care provided by government programs.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Both applications are stated in the terms set out in the Notices of Motion. I will set out the issues in a precise manner since on occasion defence counsel have referred to the Palliative Care Program, for which Travis is not eligible, and the Canuck Place Program which is a free and discretionary program, which may be available to Travis on occasion, although, again, he is not eligible for the program. I have already dealt with these programs, which involve different considerations, and need not again refer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observe also that one might conclude from Ms. Khanna's written submission, and cases referred to, that we are here dealing only with an application to adduce evidence of post-Judgment conduct evidencing that my findings of fact that Travis would not attend school, and that government benefits would not continue after the Judgment, were wrong, and should be corrected on the basis of the new evidence pertaining to the new findings. For example, see para. 9 of the "Nature of Application" set out in part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new evidence contradicts the findings of fact that Travis would not go to school and that government benefits would not continue after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examples are contained in paras. 10 and 11, 34, 43, 44 and 45 of counsel's written submission:</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at trial regarding the continuation of funding of Travis Strachan's future care cost was that public funding had covered many of his care requirements in the past. Your Lordship was not satisfied that public funding would continue in the future. In addition, Your Lordship accepted the evidence that Travis Strachan would not attend school.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 evidence supporting the defendants' request that the trial be re-opened is to the contrary, as it establishes that provincial funding for care requirements has continued, despite an award duplicating these costs. The new evidence also establishes that Travis Strachan has been attending school.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submitted that the new evidence demonstrates that developments following Judgment are "materially different from presumed findings relating to future events". Subsequent developments include the continuation of government funding for future costs of care and Travis Strachan attending school. A miscarriage of justice will occur if these "subsequent developments" are not taken into account by reducing the award for future cost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 submitted that it would be a miscarriage of justice to require the defendants to pay for specific future care costs when the factual basis for those costs (i.e., that government benefits would cease upon an award being made and that Travis Strachan would not attend school) has been demonstrated to be untrue. This is precisely the type of miscarriage of justice which is required to be addressed through the jurisdiction to re-open the trial to hear evidence and argument, as confirmed in Clayton and Lin v. Tang. The evidence relied upon by this defendant is objective evidence, not a mere or vague recollection advanced ex post facto to avoid judgment. It establishes beyond any doubt that the benefits from the Nursing Support Program, the At Home Program and Canuck Place have continued despite an award. In addition it establishes that Travis Strachan has been attending school. In the circumstances, the only way to ensure that the final decision is based on accurate facts and to avoid a miscarriage of justice is to grant leave to re-open and to vary the decision regarding costs of future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under the title "Conclusion":</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submitted that the evidence clearly establishes that benefits from the Nursing Support Services Program and the At Home Program, through the MCFD of Children and Family Development and Canuck Place have continued despite an award. In addition it establishes that Travis Strachan has been attending school.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the Court's decision is incorrect on the issue of the measure of damages because it assesses damages on the assumption that government benefits would cease upon Judgment and Travis Strachan would not attend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other hand, reference is made in Ms. Khanna's written submission to the fact that Travis was receiving benefits from the Ministry of Children and Family Development (MCFD) since the trial which commenced in September 2003, and leave is sought to adduce that evidence. In her oral submissions, Ms. Khanna referred to the fact that since the trial the Plaintiffs have had "double payment" for some 27 months. She said that she wanted the case opened to hear this evidence "because the Plaintiffs say that they should keep the payments they received during the 27 months". Her stated purpose is to show that the Defendants should not have to pay the Plaintiffs for the care provided by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her written submission, Ms. Harper emphasizes an application to adduce evidence that the Plaintiffs have received benefits from MCFD over the 27 months since the trial. She points out that it was held that Travis' needs should not be assessed on the basis that government funding would continue, that the evidence of the two experts indicated that MCFD funding would cease if Travis recovered a judgment for the future costs of care against the Defendants, that it was also held that the costs of future care should not be assessed on the basis that Travis would attend school, and finally, that it was specifically found at trial that the funding for the costs of future care would commence from the first day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her final submission in written argument, Ms. Harper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submitted that this Court has an unfettered discretion to re-open the trial as the order has not yet been entered. The paramount consideration on such an application is the avoidance of injustice. It is submitted that ordering the defendants to pay the costs of care dating from the first day of trial when those costs have not and will not be incurred up to this point amounts to such an injustice and clearly results in double recovery to the plaintiffs. There appears to be no dispute about the extent to which his care costs have been publically funded to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Ms. Harper dealt with the fact that Travis attended school, and continued to receive benefits after Judgment, her fundamental point in oral submission was that the Defendants were seeking to adduce evidence that the Plaintiffs had received benefits over the 27 month period, although those costs had not been incurred by the Plaintiffs, i.e., they were paid by the government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these circumstances, I will proceed on the basis that there are three issues, as outlined below, and I will deal with each one separately; although it seems that issue #2 may be subsumed in issue #3.</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narrow issues then, in accordance with counsels' submissions, are whether leave should be granted to re-open the trial and to call new evidence directed to the three issues: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Travis Strachan has been attending public school since September 2004;</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Travis continued to receive benefits after Judgment, and after receiving an advance on the Judgment, including $708,200 for the future costs of care, on September 28, 2004;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has received, and continues to receive, at no cost to him or his family, direct nursing support services under the Nursing Support Services Program and benefits under the At Home Program for 27 months, since the trial commencing in September 2003; and to advance argument that Travis Strachan's future care cost award should be reduced to account for the fact that he has been attending school, and to account for the past and future benefit provided by the MCFD.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are two aspects to the third issue in that the Defendants seek a reduction in the cost of future care for both the past benefits received over the last 27 months, and for future benefits yet to be received. It will be seen that the evidence at trial was that MCFD's practice was to discontinue benefits under the At Home Program and the Nursing Support Services Program, when a child received an award for future costs of care that duplicated the services and benefits which the child had been receiving under the programs; thus freeing up monies badly needed by other children and their families. This was the evidence of the two experts, Ms. Landy for the Plaintiffs, and Ms. Mageau for the Defendants, the latter having obtained MCFD's policy in this regard from MCFD's Ms. Perkin. This was also the evidence of Ms. Perkin, and the subject matter of her letter dated August 26, 2005, to Mrs. Strachan, to which I will refer in a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asked whether the policy and practice was an answer to the Defendants' claims, Ms. Khanna said that it was not an answer to the claim pertaining to benefits received over the past 27 months. This, in my view, is the primary issue within issue #3, that is, relating to the past benefits paid by MCFD over the past 27 months. It seems, again accepting MCFD evidence, while the cut-off date apparently has not been disclosed as yet, that Travis' entitlement to any future benefits will end on his receipt of the future care cost component of his Judgment, which the Defendants seem to say occurred on September 28, 2004 when $1.5 million was advanced to the Plaintiffs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not clear to me why MCFD continued to fund the Plaintiffs in the circumstances. Ms. Perkin's letter of August 26, 2005, yet to be referred to, suggests that there may have been a lack of communication between the Plaintiffs and MCFD; that at that time MCFD was not aware of the receipt of these monies by the Plaintiffs. The Defendants say that they learned that MCFD was continuing to fund the Plaintiffs in September 2005. On the other hand, it may be that it was thought that the Plaintiffs did not receive sufficient costs of future care funds from the Defendants, in the advance, to enable MCFD to safely discontinue paying benefits. I will deal with the point further when dealing with issue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will be seen that Ms. Perkin makes it clear in her affidavit, yet to be referred to, that Travis now is not eligible to receive direct nursing care, or At Home Program medical benefits, and that neither will be continued by MCFD. As I have said, I again accept MCFD's evidence and I assume that MCFD will stop the benefits, or is in the process of doing so, pursuant to its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No doubt MCFD will appreciate the difficulties I face. If for some reason MCFD continues to fund Travis, after he has received the future care component, or at least a portion of it sufficient to meet his needs, and to replace MCFD benefits until a balance is forthcoming, it will be of no benefit to the Plaintiffs. The benefit will go to the Defendants, since the duplicating government funding will be deducted from the Plaintiffs' award for costs of future care against the Defendants. Thus, there is some urgency with regard to the date when MCFD funding ceases. While I do not anticipate any problems if this occurs, other considerations may come into play which require submissions and the parties are given leave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may be of some assistance at this point to set out a brief chronology. The trial of the action commenced on September 8, 2003 and ended on January 13, 2004. Reasons for Judgment were handed down on July 9, 2004, primarily with regard to the Defendants' liability, but also with regard to the cost of future care in general terms. Notices of Appeal were filed by Dr. Reynolds and the Hospital on August 5, 2004. While both liability and damages were appealed, it was common ground that the Defendants were only appealing that portion of the Judgment pertaining to the costs of future care. On August 31, 2004, counsel for the Defendant, Dr. Reynolds, supported by counsel for the Hospital, requested by written Memorandum that the Court clarify several issues, particularly with regard to certain items under the future cost of care award, so that defence counsel could calculate the future costs of care. On November 29, 2004, in response to my Memorandum of October 21, 2004, counsel for the Defendants provided me with a list of outstanding matters that remained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hearing oral submissions by counsel on whether or not I should consider the matters raised, I concluded that I should do so, and on January 11, 2005, counsel were able to appear before me for that purpose. On March 17, 2005, Additional Reasons for Judgment were handed down on the matters raised by counsel, and in particular, the cost of future care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August 26, 2005, MCFD wrote to the Plaintiff, Karen Anne Strachan, the following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Mrs. Karen Strachan: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MCFD of Children and Family Development, Children and Youth With Special Needs Program Eligibility.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you will be receiving a third party damage award on behalf of your son. Program eligibility is subject to reassessment and children or parents who are in receipt of third party funding for services that would be duplicated by the Children and Youth With Special Needs (CYSN) program may not be eligible for continuing benefits.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notify my office when you receive the future care component of your settlement. Your benefits through the At Home Program, Nursing Support Services and/or other programs for CYSN will terminate at that time. If you would like to request a review of the decision to terminate benefits, please provide a copy of the award or settlement to my office at the address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call me at (250)387-1828 if you have any questions or concerns.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Sincerely,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Susanne Perkin,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Director,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Children and Young Special Needs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letter was written five months after the Additional Reasons for Judgment were handed down. There is no evidence before me as to when MCFD learned that the Plaintiffs were in receipt of a portion of the future care component of their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September 2004 the Defendants, in exchange for a stay of execution, advanced the Plaintiffs $1.5 million which included a portion of the future costs of care component in the amount of $706,867.49. The advance on the Judgment was provided on the undertaking that if the Court of Appeal reduced the future cost of care below that amount, the excess amount would be repaid. Subsequently, the repayment undertaking was altered and it was agreed that in addition to the agreed upon heads of damage, the non-pecuniary damage, costs and disbursements, counsel for the Plaintiff could disperse $500,000 of the funds representing damages for costs of future care; these funds not being subject to the repayment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I understood it, this left some $200,000 remaining in counsel for the Plaintiff's trust account, pending resolution of the remaining issues between the parties. The only issues remaining by then were the amount of the investment management fee and the tax gross-up. Those issues were resolved by settlement between the parties, which was confirmed by a court order the parties obtained before me on January 11, 2006, the date fixed for a hearing of the issues, and I am told that the order will be signed once these Reasons are available.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DISPOSITION OF THE ISSUES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Reasons for Judgment I had the following to say at para. 638: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present time, an agency called Resource Ability provides registered nurses who care for Travis three days a week during the daytime hours, allowing Mrs. Strachan to work part-time. For the fall, the in-home hours have been reduced on the assumption that Travis will be attending pre-school for ten hours a week and the nurse will attend there. Mrs. Strachan feels that she is being forced into sending Travis to pre-school and is, rightly, concerned about his susceptibility to colds and other infections. Some doctors support her. They also say that the evidence is that Travis will not obtain any educational or social benefits from going to school. The purpose for his attending school apparently is to allow his family to obtain respite through a publicly funded school system. I agree with Mr. Smith, that Travis' costs should not be calculated on the basis that he will be attending the school in order to obtain the public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held then, on the evidence, including Mrs. Strachan's reasoned preference, that the cost of care should not be assessed on the basis that Travis would attend school in order to obtain respite through the publicly funded system. The evidence which counsel now seeks to adduce on this issue is that Travis has been attending public school since September 2004, about two months after Reasons for Judgment were handed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 regard to the second issue, the trial report of the Defendant's expert, Ms. L.M. Mageau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Travis' at home benefits, as well as his support through nursing support services in his home, and his additional respite funding from MCFD for Children and Family,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be affected by third party funding. Susan Perkins, policy analyst for "Child and Youth With Special Needs Division", Victoria, states in regard to the At Home Program "Each situation is assessed individually. A family in receipt of At Home Program benefits is </w:t>
      </w:r>
      <w:r>
        <w:rPr>
          <w:rFonts w:ascii="arial" w:eastAsia="arial" w:hAnsi="arial" w:cs="arial"/>
          <w:color w:val="000000"/>
          <w:sz w:val="20"/>
          <w:u w:val="single"/>
          <w:lang w:val="en-US" w:eastAsia="en-US" w:bidi="ar-SA"/>
        </w:rPr>
        <w:t>obligated</w:t>
      </w:r>
      <w:r>
        <w:rPr>
          <w:rFonts w:ascii="arial" w:eastAsia="arial" w:hAnsi="arial" w:cs="arial"/>
          <w:color w:val="000000"/>
          <w:sz w:val="20"/>
          <w:lang w:val="en-US" w:eastAsia="en-US" w:bidi="ar-SA"/>
        </w:rPr>
        <w:t xml:space="preserve"> to notify the MCFD of Children and Family Development of any settlement or award. The details of the award or settlement are then reviewed".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Reasons for Judgment I had the following to say about the availability of government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[636]</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At the present time Travis' nursing care is provided through government funding. </w:t>
            </w:r>
            <w:r>
              <w:rPr>
                <w:rFonts w:ascii="arial" w:eastAsia="arial" w:hAnsi="arial" w:cs="arial"/>
                <w:color w:val="000000"/>
                <w:sz w:val="18"/>
                <w:u w:val="single"/>
                <w:lang w:val="en-US" w:eastAsia="en-US" w:bidi="ar-SA"/>
              </w:rPr>
              <w:t>Both Ms. Landy and Ms. Mageau said that such funding would cease</w:t>
            </w:r>
            <w:r>
              <w:rPr>
                <w:rFonts w:ascii="arial" w:eastAsia="arial" w:hAnsi="arial" w:cs="arial"/>
                <w:color w:val="000000"/>
                <w:sz w:val="18"/>
                <w:lang w:val="en-US" w:eastAsia="en-US" w:bidi="ar-SA"/>
              </w:rPr>
              <w:t xml:space="preserve"> if Travis had other resources provided by judgment of the Court. Ms. Mageau's recommendation was therefore made on the basis that government benefits would </w:t>
            </w:r>
            <w:r>
              <w:rPr>
                <w:rFonts w:ascii="arial" w:eastAsia="arial" w:hAnsi="arial" w:cs="arial"/>
                <w:color w:val="000000"/>
                <w:sz w:val="18"/>
                <w:u w:val="single"/>
                <w:lang w:val="en-US" w:eastAsia="en-US" w:bidi="ar-SA"/>
              </w:rPr>
              <w:t>not</w:t>
            </w:r>
            <w:r>
              <w:rPr>
                <w:rFonts w:ascii="arial" w:eastAsia="arial" w:hAnsi="arial" w:cs="arial"/>
                <w:color w:val="000000"/>
                <w:sz w:val="18"/>
                <w:lang w:val="en-US" w:eastAsia="en-US" w:bidi="ar-SA"/>
              </w:rPr>
              <w:t xml:space="preserve"> continue.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Mageau had communicated with Ms. Perkin and ascertained MCFD's policy, to which she and Ms. Landy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[637]</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defendants apparently assert as well that Travis will continue to be eligible for funds from the palliative care program, even though Dr. Hahn says that Travis no longer meets any medical definition of palliative. The defendants rely on the assertion by Ms. Mageau that the palliative care program has no administrative review process to remove recipients who no longer qualify. Hence, her position is that Travis will always be entitled to the funds. I would not determine that Travis is entitled to these public funds on that basis. They could be withdrawn at any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need not deal with the At Home Program issue. </w:t>
            </w:r>
            <w:r>
              <w:rPr>
                <w:rFonts w:ascii="arial" w:eastAsia="arial" w:hAnsi="arial" w:cs="arial"/>
                <w:color w:val="000000"/>
                <w:sz w:val="18"/>
                <w:u w:val="single"/>
                <w:lang w:val="en-US" w:eastAsia="en-US" w:bidi="ar-SA"/>
              </w:rPr>
              <w:t>I am satisfied that there is no guarantee that the government may not terminate or cut back public funds</w:t>
            </w:r>
            <w:r>
              <w:rPr>
                <w:rFonts w:ascii="arial" w:eastAsia="arial" w:hAnsi="arial" w:cs="arial"/>
                <w:color w:val="000000"/>
                <w:sz w:val="18"/>
                <w:lang w:val="en-US" w:eastAsia="en-US" w:bidi="ar-SA"/>
              </w:rPr>
              <w:t>. In this regard I agree with Mr. Smith that it is for the defendants to establish that in effect the public funds are guarantees. It is not for the plaintiffs to "prove the negative". In any event, the Court simply cannot assume the funds are available.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[650]</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onus is on the defendants to satisfy me that even after Judgment comes down, Travis will be entitled to funds through the At Home Program, the Palliative Care Program and through Canuck Place, and over his estimated ten year life span. The defendants have not been able to satisfy me that this is the case. Canuck Place provides free services within their discretion. Travis is not eligible under the Palliative Care Program, and under the Home Program, accordingly to Ms. Landy, Travis will not be entitled to any benefits in light of his award, and according to Ms. Mageau, it is a policy decision. Both are probably giving hearsay evidence.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 never easy to assess damages in cases where the injuries are so catastrophic, where the injured party's condition will deteriorate so that his condition one month may be dramatically different from his condition on the next month, when there are so many variables to consider, some of which may not be predictable or capable of precise determination, while others are controlled entirely by third parties. In this case, Mr. Samtani's double recovery argument is simply a matter of evidence. The defendants have not established that the funds will always be available and that there, in fact, will be double recovery.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was the evidence then of both experts, Ms. Mageau and Ms. Landy, that government funding would cease if Travis had other resources provided by the Judgment of the Court. In other words, if there is duplication, if Travis's award for his future care needs duplicate benefits received from MCFD, the benefits are stopped. In this regard, Ms. Mageau knew, and testified, that it was unlikely that Travis would be eligible to receive funds from the At Home Program once he received his Judgment; that MCFD would make that decision; that such decisions are made on a case-by-case consideration. In this regard she had this to say in cross-examination at p. 267:</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 in giving evidence to Ms. Khanna, you talked about the services provided to Travis by the At Home Program. Do you recall that?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acknowledge in your report, as I understand it, that if Travis received a judgment from this court, he cannot -- he will likely not be eligible to receive those funds from the At Home Program anymore?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a decision that Victoria will make; that's correct. I will have no part in it. But it is a decision that would be made case by case in Victoria.</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And so in your report you have not assumed that any of -- any of the money he now gets from the At Home Program will continue; correct?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same applies to the nursing respite for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She doesn't assume that they will be paid, is what you're saying?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SMITH: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She doesn't assume they will be paid.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SMITH:</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have costed out on the basis that they won't be and funds will be needed to replace those funds; correct?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same applies to the nursing respite program?</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nursing respite program is not affected by any funding if it's needed in school. So if he needed a nurse at school, it would not be affected. At home it would; not at school.</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Okay.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it has to do with his right to learn. And I have not considered that, but he would be allowed to get that. Say for the four hours if he decided to go to school, a nurse would be provided by the MCFD of Education, fully paid for.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Well, I'm going to come to that, Ms. Mageau. But in relation to the nursing support in the home, you have quite properly calculated Travis's [sic] needs on the assumption that this court is going to have to provide the funds?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this point Ms. Khanna said that on the evidence before me I was not satisfied that the government benefits would continue after Judgment was obtained; that I accordingly awarded judgment for all of the costs covered by the government funding. However, despite my findings, MCFD has continued to fund the child after Judgment. The Defendants now want the Court to re-open the trial so that reliable evidence can be called pertaining to that issue. That evidence is that MCFD has continued to pay the benefits to Travis for the past 27 months, not just after Judgment. She then referred to this evidence, saying that she wanted the Court to hear it because the Plaintiffs were taking the position that they should be entitled to keep the payments they had received from MCFD over the past 27 months. She submitted that it was unjust if the Defendants had to pay the Plaintiffs for the care provided by the government, which constitutes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this point I observe that this evidence, like the evidence pertaining to the first issue, really should not be in dispute. Travis has gone to school since about two months after Reasons for Judgment were handed down, and MCFD has continued to pay the benefits it paid prior to trial. This is the evidence of the Defendants' witness, Ms. Laurie Christensen, a registered nurse, who is the nursing support services co-ordinator for the Interior Health Authority under a service contract with MCFD, and, it seems, the evidence is common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turn now to Ms. Perkin's affidavit. The evidence of the two experts is confirmed, or corroborated, by that of Ms. Susan Perkin in her affidavit sworn on November 24, 2005. Ms. Perkin is the director of the Children and Youth with Special Needs Branch ("CYSN Branch") of MCFD of the province of British Columbia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Ms. Perkin says that the policy governing eligibility for benefits, under the At Home Program, the Nursing Support Services Program and similar programs which were referred to in my Reasons for Judgment dated July 9, 2004, is established by the CYSN Branch under her direction. She says that the programs are discretionary programs and are not statutorily guaranteed. These programs are subject to changes in government policy, changes in government priorities, and changes in the government budget. The current policy for those programs is under a specific priority policy review of recipients of third party awards and settlements in response to the Fullerton (Guardian ad litem of) v Delair decision of this Court, which is reported at </w:t>
      </w:r>
      <w:hyperlink r:id="rId18" w:history="1">
        <w:r>
          <w:rPr>
            <w:rFonts w:ascii="arial" w:eastAsia="arial" w:hAnsi="arial" w:cs="arial"/>
            <w:i/>
            <w:color w:val="0077CC"/>
            <w:sz w:val="20"/>
            <w:u w:val="single"/>
            <w:shd w:val="clear" w:color="auto" w:fill="FFFFFF"/>
            <w:lang w:val="en-US" w:eastAsia="en-US" w:bidi="ar-SA"/>
          </w:rPr>
          <w:t>[2005] B.C.J. No. 276</w:t>
        </w:r>
      </w:hyperlink>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2005 BCSC 204</w:t>
        </w:r>
      </w:hyperlink>
      <w:r>
        <w:rPr>
          <w:rFonts w:ascii="arial" w:eastAsia="arial" w:hAnsi="arial" w:cs="arial"/>
          <w:color w:val="000000"/>
          <w:sz w:val="20"/>
          <w:lang w:val="en-US" w:eastAsia="en-US" w:bidi="ar-SA"/>
        </w:rPr>
        <w:t>, to which I will refer in a moment. She emphasizes that the CYSN Branch expects that a Judgment or settlement for an injured Plaintiff will cover all costs of future care, including equipment, attendant care, and medical benefits. The review is at the policy analysis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a limited annual budget for the At Home Program and as a result there is a waiting list of children and their families who are eligible and need to receive At Home Program respite benefits. There is no waiting list for medical benefits. Children are eligible for benefits such as essential medical equipment and supplies. In response to cost pressures, the CYSN Branch may change the nature and amount of these benefits. For example, last year, in order to control the costs of medical supplies, a medical supply list with set annual maximums was introduced. There is a maximum number of any item that can be supplied for each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Perkin says the At Home Program budget comes out of the annual budget of MCFD which is fixed by the legislature. MCFD must allocate its available funding among various programs serving various segments of the community. Because it operates with finite resources, MCFD must allocate its budget as fairly and equitably as possible among all the populations MCFD is mandated to serve, so as to provide the maximum possible benefit to the largest number of people. Children with special needs are only one of the populations which MCFD is mandated to serve. Each of the programs has, of necessity, a limited budget derived from the overall budget provided to MCFD by the legislature.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says that there are approximately 350 children and their families on the waiting list for the At Home Program at this time. The annual budget for MCFD is insufficient to allow it to provide immediate access to all programs for children with special needs. Waiting lists for the respite and support programs are administered under a wait list policy which is intended to ensure that the wait list policy is administered as fairly and as objectively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Perkin says: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present policy (which is under the specific priority review) means that whenever a family in receipt of benefits or services from MCFD receives funding for similar benefits or services from some other source, </w:t>
      </w:r>
      <w:r>
        <w:rPr>
          <w:rFonts w:ascii="arial" w:eastAsia="arial" w:hAnsi="arial" w:cs="arial"/>
          <w:color w:val="000000"/>
          <w:sz w:val="20"/>
          <w:u w:val="single"/>
          <w:lang w:val="en-US" w:eastAsia="en-US" w:bidi="ar-SA"/>
        </w:rPr>
        <w:t>MCFD is able to discontinue benefits and services to that family and use the money which would have been directed to that family to serve other families</w:t>
      </w:r>
      <w:r>
        <w:rPr>
          <w:rFonts w:ascii="arial" w:eastAsia="arial" w:hAnsi="arial" w:cs="arial"/>
          <w:color w:val="000000"/>
          <w:sz w:val="20"/>
          <w:lang w:val="en-US" w:eastAsia="en-US" w:bidi="ar-SA"/>
        </w:rPr>
        <w:t xml:space="preserve">. There are wait lists for many services and benefits provided by MCFD. Even those services that do not have wait lists would benefit from any additional funding which can be made available to them. </w:t>
      </w:r>
      <w:r>
        <w:rPr>
          <w:rFonts w:ascii="arial" w:eastAsia="arial" w:hAnsi="arial" w:cs="arial"/>
          <w:color w:val="000000"/>
          <w:sz w:val="20"/>
          <w:u w:val="single"/>
          <w:lang w:val="en-US" w:eastAsia="en-US" w:bidi="ar-SA"/>
        </w:rPr>
        <w:t>For those programs, the demand for service is generally greater than the resources available. If the Court orders and the Defendants pay for Travis' future care expenses, the MCFD can use the money which it would have paid for future services and benefits to the Plaintiffs to provide similar services and benefits to other families in need</w:t>
      </w: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some cases (like that of Travis Strachan)</w:t>
      </w:r>
      <w:r>
        <w:rPr>
          <w:rFonts w:ascii="arial" w:eastAsia="arial" w:hAnsi="arial" w:cs="arial"/>
          <w:color w:val="000000"/>
          <w:sz w:val="20"/>
          <w:lang w:val="en-US" w:eastAsia="en-US" w:bidi="ar-SA"/>
        </w:rPr>
        <w:t xml:space="preserve"> a child suffers an injury and, as a result, becomes eligible for benefits under the At Home Program, </w:t>
      </w:r>
      <w:r>
        <w:rPr>
          <w:rFonts w:ascii="arial" w:eastAsia="arial" w:hAnsi="arial" w:cs="arial"/>
          <w:color w:val="000000"/>
          <w:sz w:val="20"/>
          <w:u w:val="single"/>
          <w:lang w:val="en-US" w:eastAsia="en-US" w:bidi="ar-SA"/>
        </w:rPr>
        <w:t>but also has a claim for damages against a person who is alleged to have injured him (in this case Doctor Reynolds and Kelowna General Hospital)</w:t>
      </w:r>
      <w:r>
        <w:rPr>
          <w:rFonts w:ascii="arial" w:eastAsia="arial" w:hAnsi="arial" w:cs="arial"/>
          <w:color w:val="000000"/>
          <w:sz w:val="20"/>
          <w:lang w:val="en-US" w:eastAsia="en-US" w:bidi="ar-SA"/>
        </w:rPr>
        <w:t xml:space="preserve">. In this type of case, the </w:t>
      </w:r>
      <w:r>
        <w:rPr>
          <w:rFonts w:ascii="arial" w:eastAsia="arial" w:hAnsi="arial" w:cs="arial"/>
          <w:color w:val="000000"/>
          <w:sz w:val="20"/>
          <w:u w:val="single"/>
          <w:lang w:val="en-US" w:eastAsia="en-US" w:bidi="ar-SA"/>
        </w:rPr>
        <w:t>MCFD provides benefits to the injured child and his family</w:t>
      </w:r>
      <w:r>
        <w:rPr>
          <w:rFonts w:ascii="arial" w:eastAsia="arial" w:hAnsi="arial" w:cs="arial"/>
          <w:color w:val="000000"/>
          <w:sz w:val="20"/>
          <w:lang w:val="en-US" w:eastAsia="en-US" w:bidi="ar-SA"/>
        </w:rPr>
        <w:t xml:space="preserve"> (subject to waiting lists and budget constraints), </w:t>
      </w:r>
      <w:r>
        <w:rPr>
          <w:rFonts w:ascii="arial" w:eastAsia="arial" w:hAnsi="arial" w:cs="arial"/>
          <w:color w:val="000000"/>
          <w:sz w:val="20"/>
          <w:u w:val="single"/>
          <w:lang w:val="en-US" w:eastAsia="en-US" w:bidi="ar-SA"/>
        </w:rPr>
        <w:t>while the claim against the wrongdoer is pending</w:t>
      </w:r>
      <w:r>
        <w:rPr>
          <w:rFonts w:ascii="arial" w:eastAsia="arial" w:hAnsi="arial" w:cs="arial"/>
          <w:color w:val="000000"/>
          <w:sz w:val="20"/>
          <w:lang w:val="en-US" w:eastAsia="en-US" w:bidi="ar-SA"/>
        </w:rPr>
        <w:t xml:space="preserve">. The MCFD does that </w:t>
      </w:r>
      <w:r>
        <w:rPr>
          <w:rFonts w:ascii="arial" w:eastAsia="arial" w:hAnsi="arial" w:cs="arial"/>
          <w:color w:val="000000"/>
          <w:sz w:val="20"/>
          <w:u w:val="single"/>
          <w:lang w:val="en-US" w:eastAsia="en-US" w:bidi="ar-SA"/>
        </w:rPr>
        <w:t>because the child and his family, as in the Strachan family, are often in desperate need of the services provided by the At Home Program and until the trial of the action there is no one else to pay for them</w:t>
      </w:r>
      <w:r>
        <w:rPr>
          <w:rFonts w:ascii="arial" w:eastAsia="arial" w:hAnsi="arial" w:cs="arial"/>
          <w:color w:val="000000"/>
          <w:sz w:val="20"/>
          <w:lang w:val="en-US" w:eastAsia="en-US" w:bidi="ar-SA"/>
        </w:rPr>
        <w:t xml:space="preserve">. Presently, the MCFD does not seek to recover the cost of those services from the wrongdoer if liability is established at trial because, at least so far as I know, the MCFD has no legal right to make such a claim. However, the </w:t>
      </w:r>
      <w:r>
        <w:rPr>
          <w:rFonts w:ascii="arial" w:eastAsia="arial" w:hAnsi="arial" w:cs="arial"/>
          <w:color w:val="000000"/>
          <w:sz w:val="20"/>
          <w:u w:val="single"/>
          <w:lang w:val="en-US" w:eastAsia="en-US" w:bidi="ar-SA"/>
        </w:rPr>
        <w:t>MCFD operates and budgets on the premise that if the liability is established at trial and the wrongdoer has the financial capacity to pay the Judgment</w:t>
      </w: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all of the post-trial care costs of the child will be paid by the wrongdoer</w:t>
      </w:r>
      <w:r>
        <w:rPr>
          <w:rFonts w:ascii="arial" w:eastAsia="arial" w:hAnsi="arial" w:cs="arial"/>
          <w:color w:val="000000"/>
          <w:sz w:val="20"/>
          <w:lang w:val="en-US" w:eastAsia="en-US" w:bidi="ar-SA"/>
        </w:rPr>
        <w:t>;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after trial, the MCFD will be able to discontinue benefits under the At Home Program for the family who succeeded in their claim for damages, thus freeing up funds for other families (including those on the waiting list for the At Home Program)</w:t>
      </w:r>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MCFD's policy and practice has been </w:t>
      </w:r>
      <w:r>
        <w:rPr>
          <w:rFonts w:ascii="arial" w:eastAsia="arial" w:hAnsi="arial" w:cs="arial"/>
          <w:color w:val="000000"/>
          <w:sz w:val="20"/>
          <w:u w:val="single"/>
          <w:lang w:val="en-US" w:eastAsia="en-US" w:bidi="ar-SA"/>
        </w:rPr>
        <w:t>to continue benefits</w:t>
      </w:r>
      <w:r>
        <w:rPr>
          <w:rFonts w:ascii="arial" w:eastAsia="arial" w:hAnsi="arial" w:cs="arial"/>
          <w:color w:val="000000"/>
          <w:sz w:val="20"/>
          <w:lang w:val="en-US" w:eastAsia="en-US" w:bidi="ar-SA"/>
        </w:rPr>
        <w:t xml:space="preserve"> under the At Home Program </w:t>
      </w:r>
      <w:r>
        <w:rPr>
          <w:rFonts w:ascii="arial" w:eastAsia="arial" w:hAnsi="arial" w:cs="arial"/>
          <w:color w:val="000000"/>
          <w:sz w:val="20"/>
          <w:u w:val="single"/>
          <w:lang w:val="en-US" w:eastAsia="en-US" w:bidi="ar-SA"/>
        </w:rPr>
        <w:t>unless the court gives a judgment ordering a wrongdoer to pay the future cost of similar services for the child in question</w:t>
      </w:r>
      <w:r>
        <w:rPr>
          <w:rFonts w:ascii="arial" w:eastAsia="arial" w:hAnsi="arial" w:cs="arial"/>
          <w:color w:val="000000"/>
          <w:sz w:val="20"/>
          <w:lang w:val="en-US" w:eastAsia="en-US" w:bidi="ar-SA"/>
        </w:rPr>
        <w:t xml:space="preserve">. Presently, the MCFD's policy and practice is under </w:t>
      </w:r>
      <w:r>
        <w:rPr>
          <w:rFonts w:ascii="arial" w:eastAsia="arial" w:hAnsi="arial" w:cs="arial"/>
          <w:color w:val="000000"/>
          <w:sz w:val="20"/>
          <w:u w:val="single"/>
          <w:lang w:val="en-US" w:eastAsia="en-US" w:bidi="ar-SA"/>
        </w:rPr>
        <w:t>specific priority policy review. This is in light of the consequences of the Judgment delivered by Mr. Justice Goepel in Fullerton v. Delair et al, Vancouver Registry No. S006446. Under that judgment and the current policy, the At Home Program is required to use its limited funds to continue paying for care and benefits for a child who has been injured by a negligent wrongdoer who has the financial capacity to pay for an award of the cost of future care. The At Home Program was not intended to benefit negligent defendants. The At Home Program, the Nursing Support Services Program and similar programs were not developed for defendants to avoid responsibility of paying damages for the cost of future care by shifting that financial burden onto these programs or on to the plaintiffs if the programs cease to exist or the benefits are less than the current level</w:t>
      </w:r>
      <w:r>
        <w:rPr>
          <w:rFonts w:ascii="arial" w:eastAsia="arial" w:hAnsi="arial" w:cs="arial"/>
          <w:color w:val="000000"/>
          <w:sz w:val="20"/>
          <w:lang w:val="en-US" w:eastAsia="en-US" w:bidi="ar-SA"/>
        </w:rPr>
        <w:t xml:space="preserve">. If benefits are paid to children who have been negligently injured by defendants who have the ability to pay, </w:t>
      </w:r>
      <w:r>
        <w:rPr>
          <w:rFonts w:ascii="arial" w:eastAsia="arial" w:hAnsi="arial" w:cs="arial"/>
          <w:color w:val="000000"/>
          <w:sz w:val="20"/>
          <w:u w:val="single"/>
          <w:lang w:val="en-US" w:eastAsia="en-US" w:bidi="ar-SA"/>
        </w:rPr>
        <w:t>it means that other families on the waiting list are deprived of much needed care and benefits</w:t>
      </w:r>
      <w:r>
        <w:rPr>
          <w:rFonts w:ascii="arial" w:eastAsia="arial" w:hAnsi="arial" w:cs="arial"/>
          <w:color w:val="000000"/>
          <w:sz w:val="20"/>
          <w:lang w:val="en-US" w:eastAsia="en-US" w:bidi="ar-SA"/>
        </w:rPr>
        <w: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understand from reading the Reasons for Judgment that the estimated life expectancy for Travis Strachan is a further ten years from trial. </w:t>
      </w:r>
      <w:r>
        <w:rPr>
          <w:rFonts w:ascii="arial" w:eastAsia="arial" w:hAnsi="arial" w:cs="arial"/>
          <w:color w:val="000000"/>
          <w:sz w:val="20"/>
          <w:u w:val="single"/>
          <w:lang w:val="en-US" w:eastAsia="en-US" w:bidi="ar-SA"/>
        </w:rPr>
        <w:t>I am unable to say that the At Home Program and, Nursing Support Services Program will continue for another 10 years or that the benefits will not go below their current levels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Perkin concludes her affidavit at para. 14, with the following responses to Ms. Christensen's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Paragraphs 8 and 9 - </w:t>
      </w:r>
      <w:r>
        <w:rPr>
          <w:rFonts w:ascii="arial" w:eastAsia="arial" w:hAnsi="arial" w:cs="arial"/>
          <w:color w:val="000000"/>
          <w:sz w:val="20"/>
          <w:u w:val="single"/>
          <w:lang w:val="en-US" w:eastAsia="en-US" w:bidi="ar-SA"/>
        </w:rPr>
        <w:t>Direct nursing care will not continue</w:t>
      </w:r>
      <w:r>
        <w:rPr>
          <w:rFonts w:ascii="arial" w:eastAsia="arial" w:hAnsi="arial" w:cs="arial"/>
          <w:color w:val="000000"/>
          <w:sz w:val="20"/>
          <w:lang w:val="en-US" w:eastAsia="en-US" w:bidi="ar-SA"/>
        </w:rPr>
        <w:t xml:space="preserve"> to be provided to Travis Strachan and his family as an award was made for it in the Reasons for Judgment of Mr. Justice Hood.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11 - </w:t>
      </w:r>
      <w:r>
        <w:rPr>
          <w:rFonts w:ascii="arial" w:eastAsia="arial" w:hAnsi="arial" w:cs="arial"/>
          <w:color w:val="000000"/>
          <w:sz w:val="20"/>
          <w:u w:val="single"/>
          <w:lang w:val="en-US" w:eastAsia="en-US" w:bidi="ar-SA"/>
        </w:rPr>
        <w:t>At Home Program benefits will not continue to be provided to Travis Strachan and his family as an award was made for it in the Reasons for Judgment of Mr. Justice Hood.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Paragraph 12 - Travis Strachan is not eligible</w:t>
      </w:r>
      <w:r>
        <w:rPr>
          <w:rFonts w:ascii="arial" w:eastAsia="arial" w:hAnsi="arial" w:cs="arial"/>
          <w:color w:val="000000"/>
          <w:sz w:val="20"/>
          <w:lang w:val="en-US" w:eastAsia="en-US" w:bidi="ar-SA"/>
        </w:rPr>
        <w:t xml:space="preserve"> to receive direct nursing care or At Home Program medical benefits.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Basically, in those paragraphs Ms. Christensen seems to suggest that the programs referred to were still available to Travis Strachan; Ms. Perkin simply is making it clear that such is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return briefly to the Fullerton decision, which came down after the decision in the case at Bar, and which was referred to by Ms. Perkin. MCFD apparently interprets the decision as saying that MCFD is required to use its limited funds to continue paying for care of and benefits to a child who has been injured by a negligent wrongdoer who has the financial capacity to pay for an award of the costs of future care. The result of this interpretation is that the tortfeasor who injured the child has no obligation to pay for the costs of future care where government funds are or may be available. The possibility that government funds will not always be available is met with a contingency allowance of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Ms. Harper pointed out, there are now two possible scenarios dealing with the costs of future care and government benefits in these cases. In the first scenario, the evidence is that the government will probably continue to fund the care and benefits. In that case the judge makes no award on the assumption that the government will provide the care and benefits. Fullerton is an example. In the second scenario, which I viewed as the better one, the Court awards all of the future care costs against the tortfeasor. The effect of the second scenario is that the government funding will terminate, leaving badly needed funds available to other children and their families who do not have a Judgment to rely on. This is MCFD's policy and practise. If MCFD continued to pay benefits in the present circumstance, there would be no advantage to the Plaintiffs because of the doctrine of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concluded also that the only way that the payment of the funds required by Travis could be guaranteed, or secured, was to order the tortfeasor to pay them. It is easy to conclude that government funding will always be there in good times; but it is not so in hard times; witness the drastic and unforeseen cuts to our healthcare system, which one can only appreciate by experiencing the impact of those cuts. This issue seems to have been resolved by the Supreme Court of Canada in Krangle, (infra), where it was held that the possibility that government funding may not always be available may be met with a contingency allowance.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It should be noted that after the trial and Reasons for Judgment were handed down in Fullerton (Guardian ad litem of) v Delair, </w:t>
      </w:r>
      <w:hyperlink r:id="rId19" w:history="1">
        <w:r>
          <w:rPr>
            <w:rFonts w:ascii="arial" w:eastAsia="arial" w:hAnsi="arial" w:cs="arial"/>
            <w:i/>
            <w:color w:val="0077CC"/>
            <w:sz w:val="20"/>
            <w:u w:val="single"/>
            <w:shd w:val="clear" w:color="auto" w:fill="FFFFFF"/>
            <w:lang w:val="en-US" w:eastAsia="en-US" w:bidi="ar-SA"/>
          </w:rPr>
          <w:t>[2005] B.C.J. No. 1920</w:t>
        </w:r>
      </w:hyperlink>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2005 BCSC 1246</w:t>
        </w:r>
      </w:hyperlink>
      <w:r>
        <w:rPr>
          <w:rFonts w:ascii="arial" w:eastAsia="arial" w:hAnsi="arial" w:cs="arial"/>
          <w:color w:val="000000"/>
          <w:sz w:val="20"/>
          <w:lang w:val="en-US" w:eastAsia="en-US" w:bidi="ar-SA"/>
        </w:rPr>
        <w:t>, Her Majesty The Queen, In Right of the Province of British Columbia, applied to be added as an intervenor in the action in order to lead evidence and make submissions on whether certain costs of the infant Plaintiff's future care should be borne by the Defendant tortfeasor or the Province. Mr. Justice Goepel found that what the Province was seeking to do was to challenge his finding that the Defendants did not have to pay for services the government makes available to the Plaintiff as the Province was submitting that the costs of the infant Plaintiff's future care should be borne by the Defendants who caused the injuries, not the taxpayer in British Columbia. The Province's application was dismissed with costs, for reasons of no concern to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While the issue, as stated by Mr. Justice Goepel, was not directly before me, it is in a sense intermingled with the issues that I have to decide, and seemingly lurks in the background of most of these cases. The issue, in my view, should be resolved by a higher Court or Courts, hopefully in the near future, in a case where the government is a party and is able to present its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Fullerton, in determining that the Defendants did not have to pay for the services the government makes available to the Plaintiffs "as they are not costs the Plaintiffs must bear" the learned judge purported to follow the decision of the Supreme Court of Canada in Krangle (Guardian ad litem of) v. Brisco, </w:t>
      </w:r>
      <w:hyperlink r:id="rId20"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2002 S.C.C. 9, in which the judgment of the Court was given by Chief Justice McLachlin. Krangle is a case where the Plaintiffs were awarded damages against the negligent Defendant tortfeasors for the infant Plaintiff's future care costs up to age 19, including damages for in-home services, special education, speech therapy and equipment and so on. The issue for the Court was whether the Krangles (the Plaintiff parents) were under a legal obligation to support their infant child after age 19. The Supreme Court of Canada affirmed the trial judgment that the plaintiff parents would incur no costs for their son's adult care, and gave them a contingency award of $80,000 representing a 5% chance that the government benefits would not be fully available in the future. I need not refer to the two Acts under which the benefits would be received other than to say that under those Acts the injured infant is not entitled to the benefits until he or she attains the age of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Reliance was also placed on the decision of the Court of Appeal in Boren v. Vancouver Resource Society For The Physically Disabled, </w:t>
      </w:r>
      <w:hyperlink r:id="rId21" w:history="1">
        <w:r>
          <w:rPr>
            <w:rFonts w:ascii="arial" w:eastAsia="arial" w:hAnsi="arial" w:cs="arial"/>
            <w:i/>
            <w:color w:val="0077CC"/>
            <w:sz w:val="20"/>
            <w:u w:val="single"/>
            <w:shd w:val="clear" w:color="auto" w:fill="FFFFFF"/>
            <w:lang w:val="en-US" w:eastAsia="en-US" w:bidi="ar-SA"/>
          </w:rPr>
          <w:t>[2003] B.C.J. No. 1547</w:t>
        </w:r>
      </w:hyperlink>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2003 BCCA 388</w:t>
        </w:r>
      </w:hyperlink>
      <w:r>
        <w:rPr>
          <w:rFonts w:ascii="arial" w:eastAsia="arial" w:hAnsi="arial" w:cs="arial"/>
          <w:color w:val="000000"/>
          <w:sz w:val="20"/>
          <w:lang w:val="en-US" w:eastAsia="en-US" w:bidi="ar-SA"/>
        </w:rPr>
        <w:t>. With great respect, I am of the opinion that Krangle and Boren arguably may be confined to their peculiar facts. I am not satisfied that they apply to the case at Bar in the circumstances. It is for this reason that I express my concern that a higher Court or Courts should resolve the apparent dilemma of the Province as to its obligations under the subject programs, with, as I have said, the Province being a party to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This brings me briefly to the affidavit of Mrs. Strachan, sworn on November 7, 2005. Mrs. Strachan describes the litigation over the amount of monies the Defendants should pay for the care of her son, as "emotionally and financially draining for my family". She notes that on October 21, 2004, a court order was granted authorizing a private trust and that the subsequent partial payment of the award was placed in that trust fund. She says that due to an ongoing dispute between the private trustees and the public guardian and trustee as to the allocation of those funds, she and her husband have not been able to set up the care regime as envisaged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Mrs. Strachan says: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Reasons for Judgment were issued, our family's finances have become more precarious and we are further in debt. We are a one income family. I was forced to quit work as I could not handle working, being responsible for Travis' night time and most day time care, moving and dealing with the ongoing problems and getting monies out of the private trust, and this litigation. We moved in January 2005 to a home more suitable to Travis and his equipment, so we no longer have any night time respite care by our neighbour. I am handling all of Travis' care needs that are not covered by respite care, dealing with Travis' health crisis, handled the search for a home suitable for Travis and the family, the move, and the need of our other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the full Judgment has not been paid, and the ongoing difficulty in getting the monies out of the private trust, I have been forced to send Travis to school to be able to get respite from caring for him. The schooling is of no benefit to him. He spends much of his time in a separate area being suctioned, medicated, getting diapered, chest physiotherapy, setting up his feeds, administering his medications, or being stretched out and cared for while at the same time being exposed in the school to germs that could severely compromise his already precarious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then goes on to refer to new complications which have arisen in Travis' care regime and how they have been dealt with, their cost and their effects on the family. She concludes with the following:</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fearful that re-opening the trial would delay the hearing of the appeal. My husband and I, as primary care givers for Travis, belief that it will be in Travis' best interest for us to focus on his needs during his very limited lifespan rather than using precious emotional, financial resources and time on litigation.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do not propose to review the applicable law in any detail, as it is fairly straightforward; I will attempt to refer only to cases referred to by counsel. Prior to the entry of an order, a judge who made the order has a discretion to set it aside, to re-open the trial, and to hear further evidence and argument. The discretion is unfettered and the trial judge is not bound by rules governing other situations such as admission of new evidence before the Court of Appeal, although those cases may give him some guidance. The judge may re-open the trial on any grounds that may appeal to his or her judgment, provided he exercises his discretion judicially. The sole principle which governs the judge in the exercise of the discretion is that a miscarriage of justice should not occur. See Bastian (Guardian ad litem of) v. Mori, </w:t>
      </w:r>
      <w:hyperlink r:id="rId22" w:history="1">
        <w:r>
          <w:rPr>
            <w:rFonts w:ascii="arial" w:eastAsia="arial" w:hAnsi="arial" w:cs="arial"/>
            <w:i/>
            <w:color w:val="0077CC"/>
            <w:sz w:val="20"/>
            <w:u w:val="single"/>
            <w:shd w:val="clear" w:color="auto" w:fill="FFFFFF"/>
            <w:lang w:val="en-US" w:eastAsia="en-US" w:bidi="ar-SA"/>
          </w:rPr>
          <w:t>[1990] B.C.J. No. 2770</w:t>
        </w:r>
      </w:hyperlink>
      <w:r>
        <w:rPr>
          <w:rFonts w:ascii="arial" w:eastAsia="arial" w:hAnsi="arial" w:cs="arial"/>
          <w:color w:val="000000"/>
          <w:sz w:val="20"/>
          <w:lang w:val="en-US" w:eastAsia="en-US" w:bidi="ar-SA"/>
        </w:rPr>
        <w:t xml:space="preserve"> (S.C.), the leading case, Clayton v. British American Securities, </w:t>
      </w:r>
      <w:hyperlink r:id="rId23" w:history="1">
        <w:r>
          <w:rPr>
            <w:rFonts w:ascii="arial" w:eastAsia="arial" w:hAnsi="arial" w:cs="arial"/>
            <w:i/>
            <w:color w:val="0077CC"/>
            <w:sz w:val="20"/>
            <w:u w:val="single"/>
            <w:shd w:val="clear" w:color="auto" w:fill="FFFFFF"/>
            <w:lang w:val="en-US" w:eastAsia="en-US" w:bidi="ar-SA"/>
          </w:rPr>
          <w:t>[1934] 3 W.W.R. 257</w:t>
        </w:r>
      </w:hyperlink>
      <w:r>
        <w:rPr>
          <w:rFonts w:ascii="arial" w:eastAsia="arial" w:hAnsi="arial" w:cs="arial"/>
          <w:color w:val="000000"/>
          <w:sz w:val="20"/>
          <w:lang w:val="en-US" w:eastAsia="en-US" w:bidi="ar-SA"/>
        </w:rPr>
        <w:t xml:space="preserve"> at 295 (B.C.C.A.), and Sykes v. Sykes </w:t>
      </w:r>
      <w:hyperlink r:id="rId24" w:history="1">
        <w:r>
          <w:rPr>
            <w:rFonts w:ascii="arial" w:eastAsia="arial" w:hAnsi="arial" w:cs="arial"/>
            <w:i/>
            <w:color w:val="0077CC"/>
            <w:sz w:val="20"/>
            <w:u w:val="single"/>
            <w:shd w:val="clear" w:color="auto" w:fill="FFFFFF"/>
            <w:lang w:val="en-US" w:eastAsia="en-US" w:bidi="ar-SA"/>
          </w:rPr>
          <w:t>(1995), 6 B.C.L.R. (3d) 296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There are numerous decisions of this Court wherein the judges have set out some of the principles of law governing when a trial judge may re-open a case after Judgment has been rendered, but before the order has been entered. See for example B.C. Gas Utility Ltd. v. Alpha Manufacturing Inc., </w:t>
      </w:r>
      <w:hyperlink r:id="rId25" w:history="1">
        <w:r>
          <w:rPr>
            <w:rFonts w:ascii="arial" w:eastAsia="arial" w:hAnsi="arial" w:cs="arial"/>
            <w:i/>
            <w:color w:val="0077CC"/>
            <w:sz w:val="20"/>
            <w:u w:val="single"/>
            <w:shd w:val="clear" w:color="auto" w:fill="FFFFFF"/>
            <w:lang w:val="en-US" w:eastAsia="en-US" w:bidi="ar-SA"/>
          </w:rPr>
          <w:t>[1999] B.C.J. No. 187</w:t>
        </w:r>
      </w:hyperlink>
      <w:r>
        <w:rPr>
          <w:rFonts w:ascii="arial" w:eastAsia="arial" w:hAnsi="arial" w:cs="arial"/>
          <w:color w:val="000000"/>
          <w:sz w:val="20"/>
          <w:lang w:val="en-US" w:eastAsia="en-US" w:bidi="ar-SA"/>
        </w:rPr>
        <w:t xml:space="preserve"> (S.C.); Cheema v. Cheema </w:t>
      </w:r>
      <w:hyperlink r:id="rId26" w:history="1">
        <w:r>
          <w:rPr>
            <w:rFonts w:ascii="arial" w:eastAsia="arial" w:hAnsi="arial" w:cs="arial"/>
            <w:i/>
            <w:color w:val="0077CC"/>
            <w:sz w:val="20"/>
            <w:u w:val="single"/>
            <w:shd w:val="clear" w:color="auto" w:fill="FFFFFF"/>
            <w:lang w:val="en-US" w:eastAsia="en-US" w:bidi="ar-SA"/>
          </w:rPr>
          <w:t>(2001), 89 B.C.L.R. (3d) 179</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2001 BCSC 298</w:t>
        </w:r>
      </w:hyperlink>
      <w:r>
        <w:rPr>
          <w:rFonts w:ascii="arial" w:eastAsia="arial" w:hAnsi="arial" w:cs="arial"/>
          <w:color w:val="000000"/>
          <w:sz w:val="20"/>
          <w:lang w:val="en-US" w:eastAsia="en-US" w:bidi="ar-SA"/>
        </w:rPr>
        <w:t xml:space="preserve">; Inmet Mining Corp. v. Homestake Canada Inc., </w:t>
      </w:r>
      <w:hyperlink r:id="rId27" w:history="1">
        <w:r>
          <w:rPr>
            <w:rFonts w:ascii="arial" w:eastAsia="arial" w:hAnsi="arial" w:cs="arial"/>
            <w:i/>
            <w:color w:val="0077CC"/>
            <w:sz w:val="20"/>
            <w:u w:val="single"/>
            <w:shd w:val="clear" w:color="auto" w:fill="FFFFFF"/>
            <w:lang w:val="en-US" w:eastAsia="en-US" w:bidi="ar-SA"/>
          </w:rPr>
          <w:t>[2002] B.C.J. No. 1078</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2002 BCSC 681</w:t>
        </w:r>
      </w:hyperlink>
      <w:r>
        <w:rPr>
          <w:rFonts w:ascii="arial" w:eastAsia="arial" w:hAnsi="arial" w:cs="arial"/>
          <w:color w:val="000000"/>
          <w:sz w:val="20"/>
          <w:lang w:val="en-US" w:eastAsia="en-US" w:bidi="ar-SA"/>
        </w:rPr>
        <w:t xml:space="preserve"> and Fullerton (Guardian Ad Litem of) v. Delair, </w:t>
      </w:r>
      <w:hyperlink r:id="rId19" w:history="1">
        <w:r>
          <w:rPr>
            <w:rFonts w:ascii="arial" w:eastAsia="arial" w:hAnsi="arial" w:cs="arial"/>
            <w:i/>
            <w:color w:val="0077CC"/>
            <w:sz w:val="20"/>
            <w:u w:val="single"/>
            <w:shd w:val="clear" w:color="auto" w:fill="FFFFFF"/>
            <w:lang w:val="en-US" w:eastAsia="en-US" w:bidi="ar-SA"/>
          </w:rPr>
          <w:t>2005 BCSC 1246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cases show that it is a wide discretion, which should be exercised judicially, with caution and sparingly. There are numerous circumstances in which the Courts have exercised their discretion to re-open (really to continue) the trial. One such circumstance is the occurrence of subsequent developments, materially different from presumed findings relating to future events, including the assessment of prospective damages in light of events after judgment ("emerging facts"); see B.C. Gas Utility Ltd. at p. 5, following Lim Poh Choo v. Camden and Islington Area Health Authorities, [1980] A.C. 174 (H.L.). This situation was described by Bennett J. in Cheema at p. 4, as where there has been a change in circumstances between the date of the Judgment and time of the application to re-open, which change goes to the very underpinning of the Judgment or finding impugned.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See also the decision of Wood J.A., speaking for himself, McEachern C.J.B.C. and Rowles J.A. in Sykes. His Lordship had this to say at para. 10, after considering the unlimited nature of the discretion, and referring to Clayton: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In my view, new evidence is not an essential prerequisite to a trial judge's exercise of the discretion to re-open</w:t>
      </w:r>
      <w:r>
        <w:rPr>
          <w:rFonts w:ascii="arial" w:eastAsia="arial" w:hAnsi="arial" w:cs="arial"/>
          <w:color w:val="000000"/>
          <w:sz w:val="20"/>
          <w:lang w:val="en-US" w:eastAsia="en-US" w:bidi="ar-SA"/>
        </w:rPr>
        <w:t xml:space="preserve">. In some cases, it maybe the only circumstance which would justify a re-opening. Indeed it may be that in many cases a re-opening would only be justified on the basis of new evidence which was not available at the time of the original trial. They will in all cases depend on the circumstances. </w:t>
      </w:r>
      <w:r>
        <w:rPr>
          <w:rFonts w:ascii="arial" w:eastAsia="arial" w:hAnsi="arial" w:cs="arial"/>
          <w:color w:val="000000"/>
          <w:sz w:val="20"/>
          <w:u w:val="single"/>
          <w:lang w:val="en-US" w:eastAsia="en-US" w:bidi="ar-SA"/>
        </w:rPr>
        <w:t>But, a discretion to re-open may also properly be exercised where the trial judge is satisfied, either because of the argument of one of the parties, or on the basis of his own reconsideration of the record, that the original judgment was in error because it overlooked or misconstrued material evidence or misapplied the law</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Sykes the appeal was allowed because the application to re-open was not based on "any perceived error in the trial judge's approach to the evidence" but "on the pragmatic decision to advance an alternative argument which could easily have been advanced at the time of the original trial". See also Braun Investment Group Inc. v. Enco Investments Corporation et al </w:t>
      </w:r>
      <w:hyperlink r:id="rId28" w:history="1">
        <w:r>
          <w:rPr>
            <w:rFonts w:ascii="arial" w:eastAsia="arial" w:hAnsi="arial" w:cs="arial"/>
            <w:i/>
            <w:color w:val="0077CC"/>
            <w:sz w:val="20"/>
            <w:u w:val="single"/>
            <w:shd w:val="clear" w:color="auto" w:fill="FFFFFF"/>
            <w:lang w:val="en-US" w:eastAsia="en-US" w:bidi="ar-SA"/>
          </w:rPr>
          <w:t>(1985), 62 B.C.L.R. 397</w:t>
        </w:r>
      </w:hyperlink>
      <w:r>
        <w:rPr>
          <w:rFonts w:ascii="arial" w:eastAsia="arial" w:hAnsi="arial" w:cs="arial"/>
          <w:color w:val="000000"/>
          <w:sz w:val="20"/>
          <w:lang w:val="en-US" w:eastAsia="en-US" w:bidi="ar-SA"/>
        </w:rPr>
        <w:t xml:space="preserve"> (S.C.), Cheema and Andersen v. Andersen </w:t>
      </w:r>
      <w:hyperlink r:id="rId29" w:history="1">
        <w:r>
          <w:rPr>
            <w:rFonts w:ascii="arial" w:eastAsia="arial" w:hAnsi="arial" w:cs="arial"/>
            <w:i/>
            <w:color w:val="0077CC"/>
            <w:sz w:val="20"/>
            <w:u w:val="single"/>
            <w:shd w:val="clear" w:color="auto" w:fill="FFFFFF"/>
            <w:lang w:val="en-US" w:eastAsia="en-US" w:bidi="ar-SA"/>
          </w:rPr>
          <w:t>(2004), 30 B.C.L.R. (4th) 189</w:t>
        </w:r>
      </w:hyperlink>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2004 BCSC 881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Courts have struggled from time to time with regard to what exactly constitutes a miscarriage of justice in these cases. I do not propose to add my thoughts on the definitive definition, even if it were possible to do so. Reference therefore must be had to the circumstances in which the Courts have found that a miscarriage of justice would occur if the trial was not re-opened, but even then, some cases suggest that the task is easier than the principles which are said to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Khanna, for the Defendant Dr. Reynolds, referred me to the definition of "miscarriage of justice" in Black's Law Dictionary, 6th ed. s.v., wherein it is stated at p. 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Miscarriage of justice. Decision or outcome of legal proceedings that is prejudicial or inconsistent with substantial rights of parties. A miscarriage of justice, warranting reversal, should be declared only when the Court, after examination of the entire cause, including the evidence, is of the opinion, that it is reasonably probable that a result more favourable to the appealing party would have been reached in the absence of the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Ms. Khanna relies on the decision of the Court of Appeal in Lin v. Tang </w:t>
      </w:r>
      <w:hyperlink r:id="rId30" w:history="1">
        <w:r>
          <w:rPr>
            <w:rFonts w:ascii="arial" w:eastAsia="arial" w:hAnsi="arial" w:cs="arial"/>
            <w:i/>
            <w:color w:val="0077CC"/>
            <w:sz w:val="20"/>
            <w:u w:val="single"/>
            <w:shd w:val="clear" w:color="auto" w:fill="FFFFFF"/>
            <w:lang w:val="en-US" w:eastAsia="en-US" w:bidi="ar-SA"/>
          </w:rPr>
          <w:t>(1997), 37 B.C.L.R. (3d) 325</w:t>
        </w:r>
      </w:hyperlink>
      <w:r>
        <w:rPr>
          <w:rFonts w:ascii="arial" w:eastAsia="arial" w:hAnsi="arial" w:cs="arial"/>
          <w:color w:val="000000"/>
          <w:sz w:val="20"/>
          <w:lang w:val="en-US" w:eastAsia="en-US" w:bidi="ar-SA"/>
        </w:rPr>
        <w:t xml:space="preserve"> (C.A.), for some guidance. There, Huddart J.A., speaking for herself and Donald J.A., and Southin J.A. suggest that what must be considered is whether or not there has been a serious miscarriage of justice. In this regard the headnote for the majority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the court had not been persuaded that a serious miscarriage of justice had probably occurred. The concept of a miscarriage of justice was a difficult one and was not simply unfairness as viewed by the party who perceives himself the victim of an unfair process. </w:t>
      </w:r>
      <w:r>
        <w:rPr>
          <w:rFonts w:ascii="arial" w:eastAsia="arial" w:hAnsi="arial" w:cs="arial"/>
          <w:color w:val="000000"/>
          <w:sz w:val="20"/>
          <w:u w:val="single"/>
          <w:lang w:val="en-US" w:eastAsia="en-US" w:bidi="ar-SA"/>
        </w:rPr>
        <w:t>To constitute a miscarriage of justice, the procedural blemish must be such as to make the judicial procedure at issue not a judicial procedure at all</w:t>
      </w:r>
      <w:r>
        <w:rPr>
          <w:rFonts w:ascii="arial" w:eastAsia="arial" w:hAnsi="arial" w:cs="arial"/>
          <w:color w:val="000000"/>
          <w:sz w:val="20"/>
          <w:lang w:val="en-US" w:eastAsia="en-US" w:bidi="ar-SA"/>
        </w:rPr>
        <w:t>. However, there was not such blemish here. There was nothing objectively unfair about the process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these facts, a reasonable well-informed member of the public would not see any unfairness or miscarriage of justice </w:t>
      </w:r>
      <w:r>
        <w:rPr>
          <w:rFonts w:ascii="arial" w:eastAsia="arial" w:hAnsi="arial" w:cs="arial"/>
          <w:color w:val="000000"/>
          <w:sz w:val="20"/>
          <w:u w:val="single"/>
          <w:lang w:val="en-US" w:eastAsia="en-US" w:bidi="ar-SA"/>
        </w:rPr>
        <w:t>in the absence of objective evidence that the judgment was clearly wrong in the facts</w:t>
      </w:r>
      <w:r>
        <w:rPr>
          <w:rFonts w:ascii="arial" w:eastAsia="arial" w:hAnsi="arial" w:cs="arial"/>
          <w:color w:val="000000"/>
          <w:sz w:val="20"/>
          <w:lang w:val="en-US" w:eastAsia="en-US" w:bidi="ar-SA"/>
        </w:rPr>
        <w:t>. In that case, the deliberate decision not to defend might be forgiven in order to prevent a miscarriage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Lim, Madam Justice Southin dissented, being in favour of a test much less stringent than that applied by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Before turning to the submissions, it should be stated that the onus of proof on the applicant goes further than simply establishing, on a balance of probabilities, that an injustice has occurred. In this regard Mr. Justice Braidwood, when in this Court, had this to say in Dudas (Guardian ad litem of) v. Munros , </w:t>
      </w:r>
      <w:hyperlink r:id="rId31" w:history="1">
        <w:r>
          <w:rPr>
            <w:rFonts w:ascii="arial" w:eastAsia="arial" w:hAnsi="arial" w:cs="arial"/>
            <w:i/>
            <w:color w:val="0077CC"/>
            <w:sz w:val="20"/>
            <w:u w:val="single"/>
            <w:shd w:val="clear" w:color="auto" w:fill="FFFFFF"/>
            <w:lang w:val="en-US" w:eastAsia="en-US" w:bidi="ar-SA"/>
          </w:rPr>
          <w:t>[1993] B.C.J. No. 2035</w:t>
        </w:r>
      </w:hyperlink>
      <w:r>
        <w:rPr>
          <w:rFonts w:ascii="arial" w:eastAsia="arial" w:hAnsi="arial" w:cs="arial"/>
          <w:color w:val="000000"/>
          <w:sz w:val="20"/>
          <w:lang w:val="en-US" w:eastAsia="en-US" w:bidi="ar-SA"/>
        </w:rPr>
        <w:t xml:space="preserve"> (S.C.)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deciding whether or not to re-open a case, the governing considerations are: </w:t>
      </w: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xml:space="preserve">, would a miscarriage of justice probably occur without a rehearing; and </w:t>
      </w:r>
      <w:r>
        <w:rPr>
          <w:rFonts w:ascii="arial" w:eastAsia="arial" w:hAnsi="arial" w:cs="arial"/>
          <w:color w:val="000000"/>
          <w:sz w:val="20"/>
          <w:u w:val="single"/>
          <w:lang w:val="en-US" w:eastAsia="en-US" w:bidi="ar-SA"/>
        </w:rPr>
        <w:t>second</w:t>
      </w:r>
      <w:r>
        <w:rPr>
          <w:rFonts w:ascii="arial" w:eastAsia="arial" w:hAnsi="arial" w:cs="arial"/>
          <w:color w:val="000000"/>
          <w:sz w:val="20"/>
          <w:lang w:val="en-US" w:eastAsia="en-US" w:bidi="ar-SA"/>
        </w:rPr>
        <w:t>, would a rehearing probably produce a change of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And at para. 8, following the decision of Spencer J. in Vance v. Vance </w:t>
      </w:r>
      <w:hyperlink r:id="rId32" w:history="1">
        <w:r>
          <w:rPr>
            <w:rFonts w:ascii="arial" w:eastAsia="arial" w:hAnsi="arial" w:cs="arial"/>
            <w:i/>
            <w:color w:val="0077CC"/>
            <w:sz w:val="20"/>
            <w:u w:val="single"/>
            <w:shd w:val="clear" w:color="auto" w:fill="FFFFFF"/>
            <w:lang w:val="en-US" w:eastAsia="en-US" w:bidi="ar-SA"/>
          </w:rPr>
          <w:t>(1981), 34 B.C.L.R. 209</w:t>
        </w:r>
      </w:hyperlink>
      <w:r>
        <w:rPr>
          <w:rFonts w:ascii="arial" w:eastAsia="arial" w:hAnsi="arial" w:cs="arial"/>
          <w:color w:val="000000"/>
          <w:sz w:val="20"/>
          <w:lang w:val="en-US" w:eastAsia="en-US" w:bidi="ar-SA"/>
        </w:rPr>
        <w:t xml:space="preserve"> (S.C.) at 211: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onus is] upon the applicant to satisfy [the Court] on the balance of probabilities that a miscarriage of justice would probably occur without the rehearing and that the evidence or argument he now wishes to present would probably change the result of the trial. That is not to say that at this stage the applicant must satisfy me that a change in the result would be inevitable.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her written submission, Ms. Khanna refers to B.C. Gas Ltd., and the proposition to which I referred earlier, that the occurrence of subsequent developments materially different from presumed findings, relating to future events, including the assessment of prospective damages in light of events after Judgment, are circumstances in which the Court generally exercises its discretion in favour of re-opening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She submitted that the new evidence demonstrates that developments following the Judgment are "materially different from presumed findings relating to future events". They include the continuation of government funding for future costs of care after Judgment and Travis Strachan attending school. According to Ms. Khanna, a miscarriage of justice will occur if these "subsequent developments" are not taken into account by reducing the award for future costs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At para. 41 of her written argument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miscarriage of justice occurs where a court makes legally and or factually incorrect findings, irrespective of why or how such an outcome occurred, and irrespective of failings in the presentation of either the law or the facts at trial. While the objective of finality is a worthwhile objective, it can only be achieved at the point in time when the Court becomes functus, i.e., when the final order is entered. Until the Court becomes functus, it is its duty to render judgments on the basis of factually correct findings and on the basis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She went on to emphasize that it would be a miscarriage of justice to require the Defendants to pay for specific future care costs when the factual basis of those costs, (i.e., that government benefits would cease upon an award being made, and that Travis Strachan would not attend school) have been demonstrated to be untrue. This is precisely the type of miscarriage of justice which is required to be addressed through the jurisdiction to re-open the trial to hear fresh evidence and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submitted that the evidence relied upon by the Defendant, Dr. Reynolds, is objective evidence, not a mere or vague recollection advanced ex post facto to avoid judgment. It establishes beyond any doubt that the benefits from the Nursing Support Services Program and the At Home Program in fact have continued despite an award, and that Travis Strachan has been attending school. In the circumstances, the only way to ensure that the final decision is based on accurate facts and to avoid a miscarriage of justice is to grant leave to re-open and vary the decision regarding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Khanna argued that the Court's decision is incorrect on the issue of the measure of damages because it assesses damages on the assumption that government benefits would cease upon Judgment, and that Travis Strachan would not attend school. Clayton says that if the Defendants can show facts which differ from what a trial judge said they were, then his findings are objectively "wrong". The Court's decision on these two issues being incorrect, the Court's determination of the damages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Harper adopted the submissions made by Ms. Khanna. Ms. Harper's fundamental point is that the evidence the Defendants seek to adduce is that the future care costs have not been incurred by the Plaintiffs for the past 27 months. The basis for the Court's award have not been incurred by the Plaintiffs over the past 27 months, since the Judgment and the payment of a portion of the Judgment to the Plaintiffs in September 2004; and Travis has attended school, as he has a right to do, regardless of any third party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Ms. Harper referred me to a number of cases for the proposition that the paramount consideration on such an application is the avoidance of an injustice: Hide-Away Resort Ltd. v. Van der Wall </w:t>
      </w:r>
      <w:hyperlink r:id="rId33" w:history="1">
        <w:r>
          <w:rPr>
            <w:rFonts w:ascii="arial" w:eastAsia="arial" w:hAnsi="arial" w:cs="arial"/>
            <w:i/>
            <w:color w:val="0077CC"/>
            <w:sz w:val="20"/>
            <w:u w:val="single"/>
            <w:shd w:val="clear" w:color="auto" w:fill="FFFFFF"/>
            <w:lang w:val="en-US" w:eastAsia="en-US" w:bidi="ar-SA"/>
          </w:rPr>
          <w:t>(1999), 29 C.E.L.R. (N.S.) 235</w:t>
        </w:r>
      </w:hyperlink>
      <w:r>
        <w:rPr>
          <w:rFonts w:ascii="arial" w:eastAsia="arial" w:hAnsi="arial" w:cs="arial"/>
          <w:color w:val="000000"/>
          <w:sz w:val="20"/>
          <w:lang w:val="en-US" w:eastAsia="en-US" w:bidi="ar-SA"/>
        </w:rPr>
        <w:t xml:space="preserve"> (B.C.S.C.), I.C.B.C. v. Dommasch </w:t>
      </w:r>
      <w:hyperlink r:id="rId34" w:history="1">
        <w:r>
          <w:rPr>
            <w:rFonts w:ascii="arial" w:eastAsia="arial" w:hAnsi="arial" w:cs="arial"/>
            <w:i/>
            <w:color w:val="0077CC"/>
            <w:sz w:val="20"/>
            <w:u w:val="single"/>
            <w:shd w:val="clear" w:color="auto" w:fill="FFFFFF"/>
            <w:lang w:val="en-US" w:eastAsia="en-US" w:bidi="ar-SA"/>
          </w:rPr>
          <w:t>(1978), 8 B.C.L.R. 241</w:t>
        </w:r>
      </w:hyperlink>
      <w:r>
        <w:rPr>
          <w:rFonts w:ascii="arial" w:eastAsia="arial" w:hAnsi="arial" w:cs="arial"/>
          <w:color w:val="000000"/>
          <w:sz w:val="20"/>
          <w:lang w:val="en-US" w:eastAsia="en-US" w:bidi="ar-SA"/>
        </w:rPr>
        <w:t xml:space="preserve"> (S.C.), and Tiwana v. Popove </w:t>
      </w:r>
      <w:hyperlink r:id="rId35" w:history="1">
        <w:r>
          <w:rPr>
            <w:rFonts w:ascii="arial" w:eastAsia="arial" w:hAnsi="arial" w:cs="arial"/>
            <w:i/>
            <w:color w:val="0077CC"/>
            <w:sz w:val="20"/>
            <w:u w:val="single"/>
            <w:shd w:val="clear" w:color="auto" w:fill="FFFFFF"/>
            <w:lang w:val="en-US" w:eastAsia="en-US" w:bidi="ar-SA"/>
          </w:rPr>
          <w:t>(1988), 23 B.C.L.R. (2d) 392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Hide-Away Resort, the Plaintiff at trial was awarded damages for trespass against the Defendants, including a sum of remediation in relation to material placed on their property. Prior to trial the Plaintiff had settled with the contractors who had placed the materials on the property at the direction of the Defendants, and after Judgment it became apparent that a significant amount of the remedial work had in fact already been done by the contractors. The learned trial judge re-opened the case to allow further evidence on this issue, and reduced the amount of damages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Tiwana, after Reasons for Judgment were given in a personal injury case, the Plaintiff was examined by a specialist and had surgery on his sciatic nerve. He then applied to re-open the trial to call evidence from the specialist as to a disc protrusion the specialist had discovered which was caused by the motor vehicle accident. The learned trial judge allowed the Plaintiff to re-open the trial on the basis that there would be a miscarriage of justice if the Plaintiff was not allowed to adduce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Harper said that there are a number of authorities which deal with the admissibility of fresh evidence on an appeal where circumstances have changed between the trial and the hearing of the appeal. She submitted that reference to those decisions is useful on the present application, as the test for the admissibility of such fresh evidence is narrower than in the circumstances of this application. This is true, and while different considerations come into play in the appeal cases, it would seem that the circumstances in which courts of appeal allow fresh evidence, for example, subsequent events which falsify the original Judgment or finding, are basically the same. She then referred me to four cases as examples of circumstances where fresh evidence has been allowed on appeal, relating to post-trial events, including the death of a Plaintiff after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McCann v. Sheppard, [1973] 2 All E.R. 881 (C.A.), the Plaintiff was awarded damages for loss of future earnings, loss of amenities and expectation of life. Prior to the appeal the plaintiff died, and the Court of Appeal heard evidence of his death and of his involvement with pain killing drugs as a result of his injuries. Where the death occurred so soon after the assessment of damages on the basis of an expectation of long years of suffering and loss of future earnings, the Court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would affront common sense to disregard a supervening event which </w:t>
      </w:r>
      <w:r>
        <w:rPr>
          <w:rFonts w:ascii="arial" w:eastAsia="arial" w:hAnsi="arial" w:cs="arial"/>
          <w:color w:val="000000"/>
          <w:sz w:val="20"/>
          <w:u w:val="single"/>
          <w:lang w:val="en-US" w:eastAsia="en-US" w:bidi="ar-SA"/>
        </w:rPr>
        <w:t>falsified the basis of the award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observe also that in McCann, Lord Denning M.R., with whom the other judges were in basic agreement, had this to say at p. 885: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rule in accident cases is that the sum of damages falls to be assessed once and for all at the time of the hearing; and this court will be slow to admit evidence of subsequent events to vary it. It will not normally do so after the time for appeal has expired without an appeal being entered because the proceedings are then at an end. They have reached finality. But if notice of appeal has been entered in time - and pending the appeal, </w:t>
      </w:r>
      <w:r>
        <w:rPr>
          <w:rFonts w:ascii="arial" w:eastAsia="arial" w:hAnsi="arial" w:cs="arial"/>
          <w:color w:val="000000"/>
          <w:sz w:val="20"/>
          <w:u w:val="single"/>
          <w:lang w:val="en-US" w:eastAsia="en-US" w:bidi="ar-SA"/>
        </w:rPr>
        <w:t>a supervening event occurs such as to falsify the previous assessment</w:t>
      </w:r>
      <w:r>
        <w:rPr>
          <w:rFonts w:ascii="arial" w:eastAsia="arial" w:hAnsi="arial" w:cs="arial"/>
          <w:color w:val="000000"/>
          <w:sz w:val="20"/>
          <w:lang w:val="en-US" w:eastAsia="en-US" w:bidi="ar-SA"/>
        </w:rPr>
        <w:t xml:space="preserve"> - then the court will be more ready to admit fresh evidence - because, until the appeal is heard and determined, the proceedings are still pending. Finality has not been reached. It is in every case a matter for the discretion of the court. In Mulholland v. Mitchell (infra), Lord Wilberforce gave helpful guidance as to the way in which the discretion should be exercised. The case seems to me to come within the words that </w:t>
      </w:r>
      <w:r>
        <w:rPr>
          <w:rFonts w:ascii="arial" w:eastAsia="arial" w:hAnsi="arial" w:cs="arial"/>
          <w:color w:val="000000"/>
          <w:sz w:val="20"/>
          <w:u w:val="single"/>
          <w:lang w:val="en-US" w:eastAsia="en-US" w:bidi="ar-SA"/>
        </w:rPr>
        <w:t>"it would affront common sense" if we shut our eyes to the fact of death</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Cory v. Marsh </w:t>
      </w:r>
      <w:hyperlink r:id="rId36" w:history="1">
        <w:r>
          <w:rPr>
            <w:rFonts w:ascii="arial" w:eastAsia="arial" w:hAnsi="arial" w:cs="arial"/>
            <w:i/>
            <w:color w:val="0077CC"/>
            <w:sz w:val="20"/>
            <w:u w:val="single"/>
            <w:shd w:val="clear" w:color="auto" w:fill="FFFFFF"/>
            <w:lang w:val="en-US" w:eastAsia="en-US" w:bidi="ar-SA"/>
          </w:rPr>
          <w:t>(1993), 77 B.C.L.R. (2d) 248</w:t>
        </w:r>
      </w:hyperlink>
      <w:r>
        <w:rPr>
          <w:rFonts w:ascii="arial" w:eastAsia="arial" w:hAnsi="arial" w:cs="arial"/>
          <w:color w:val="000000"/>
          <w:sz w:val="20"/>
          <w:lang w:val="en-US" w:eastAsia="en-US" w:bidi="ar-SA"/>
        </w:rPr>
        <w:t xml:space="preserve"> (C.A.), the Court of Appeal similarly allowed evidence of the death of the wife after trial and reduced her award for costs of future care. Mr. Justice Gibbs noted that to refuse the fresh evidence, which evidence "falsified" the assessment, would be a gross affront to common sense. His Lordship, speaking for himself, Chief Justice McEachern and Wood J.A. on the point, referred with approval to the decision of the Ontario Court of Appeal in Mercer v. Sijan (infra). He also observed that the discretion was to be exercised by balancing the competing considerations of the public interest in the finality of litigation and the affront to common sense involved in the Court shutting its eyes to a fact which falsifies the assessment. It seems to me that it would follow that to do so would create an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Monahan Estate v. Nelson </w:t>
      </w:r>
      <w:hyperlink r:id="rId37" w:history="1">
        <w:r>
          <w:rPr>
            <w:rFonts w:ascii="arial" w:eastAsia="arial" w:hAnsi="arial" w:cs="arial"/>
            <w:i/>
            <w:color w:val="0077CC"/>
            <w:sz w:val="20"/>
            <w:u w:val="single"/>
            <w:shd w:val="clear" w:color="auto" w:fill="FFFFFF"/>
            <w:lang w:val="en-US" w:eastAsia="en-US" w:bidi="ar-SA"/>
          </w:rPr>
          <w:t>(2000), 76 B.C.L.R. (3d) 109</w:t>
        </w:r>
      </w:hyperlink>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2000 BCCA 297</w:t>
        </w:r>
      </w:hyperlink>
      <w:r>
        <w:rPr>
          <w:rFonts w:ascii="arial" w:eastAsia="arial" w:hAnsi="arial" w:cs="arial"/>
          <w:color w:val="000000"/>
          <w:sz w:val="20"/>
          <w:lang w:val="en-US" w:eastAsia="en-US" w:bidi="ar-SA"/>
        </w:rPr>
        <w:t>, the Plaintiff died after trial, but before Judgment, and the trial judge refused to allow the case to be re-opened on the basis that damages should not be affected by the act of the Court in reserving Judgment. On appeal, all three judges allowed the evidence of the death to be heard and reduced the award of damages; although Newbury J.A. dissented in the area of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Mercer v. Sijan </w:t>
      </w:r>
      <w:hyperlink r:id="rId38" w:history="1">
        <w:r>
          <w:rPr>
            <w:rFonts w:ascii="arial" w:eastAsia="arial" w:hAnsi="arial" w:cs="arial"/>
            <w:i/>
            <w:color w:val="0077CC"/>
            <w:sz w:val="20"/>
            <w:u w:val="single"/>
            <w:shd w:val="clear" w:color="auto" w:fill="FFFFFF"/>
            <w:lang w:val="en-US" w:eastAsia="en-US" w:bidi="ar-SA"/>
          </w:rPr>
          <w:t>(1976), 14 O.R. (2d) 12</w:t>
        </w:r>
      </w:hyperlink>
      <w:r>
        <w:rPr>
          <w:rFonts w:ascii="arial" w:eastAsia="arial" w:hAnsi="arial" w:cs="arial"/>
          <w:color w:val="000000"/>
          <w:sz w:val="20"/>
          <w:lang w:val="en-US" w:eastAsia="en-US" w:bidi="ar-SA"/>
        </w:rPr>
        <w:t xml:space="preserve"> (Ont. C.A.), nine months following the trial of an action for damages pursuant to a fatal accident, the Plaintiff remarried a business executive who earned substantially more than the deceased, and it was sought to introduce fresh evidence on appeal of the re-marriage and the income of the new husband. The Court of Appeal allowed the evidence and reduced the award to the widow. In doing so the Court of Appeal followed Curwen v. James, [1963] 2 All E.R. 619 (C.A.) where the assessment was reduced by reasons of a re-marriage, and Jenkins v. Richard Thomas &amp; Baldwins, [1966] 2 All E.R. 15 (C.A.), where the assessment was increased by reason of failure of the appellant to qualify for certain skilled work, the assessment of damages having been based on the assumption of such qualification.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When Ms. Harper was asked whether she had any cases on point, she referred to Coulter (Guardian Ad Litem of) v. Ball </w:t>
      </w:r>
      <w:hyperlink r:id="rId39" w:history="1">
        <w:r>
          <w:rPr>
            <w:rFonts w:ascii="arial" w:eastAsia="arial" w:hAnsi="arial" w:cs="arial"/>
            <w:i/>
            <w:color w:val="0077CC"/>
            <w:sz w:val="20"/>
            <w:u w:val="single"/>
            <w:shd w:val="clear" w:color="auto" w:fill="FFFFFF"/>
            <w:lang w:val="en-US" w:eastAsia="en-US" w:bidi="ar-SA"/>
          </w:rPr>
          <w:t>(2000), 39 B.C.L.R. (4th) 82</w:t>
        </w:r>
      </w:hyperlink>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2005 BCCA 199</w:t>
        </w:r>
      </w:hyperlink>
      <w:r>
        <w:rPr>
          <w:rFonts w:ascii="arial" w:eastAsia="arial" w:hAnsi="arial" w:cs="arial"/>
          <w:color w:val="000000"/>
          <w:sz w:val="20"/>
          <w:lang w:val="en-US" w:eastAsia="en-US" w:bidi="ar-SA"/>
        </w:rPr>
        <w:t>, wherein the Court of Appeal was asked to admit fresh evidence in circumstances where the trial judge had awarded damages for the cost of future care on the basis that the Plaintiff would live in a supervised living environment, with an attendant for four hours per day and a team of other practitioners which had been working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appeal, the Defendant sought to introduce fresh evidence on developments which had occurred after the completion of the trial. The Plaintiff did not voluntarily go into the supervised living home proposed at trial, but only entered a supervised living facility as part of the terms of the probation order following a guilty plea to a criminal offence. The fresh evidence sought to be adduced was that he was resistant to a supervised living environment and it was unlikely that he would in fact live there. The Court of Appeal allowed the new evidence and set aside this portion of the award, on the basis that the evidence of events after the trial raised serious doubt that the Plaintiff would voluntarily live in a supervised environment, remitting this aspect of damages to the trial judge for reassessment.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Coulter was an appeal where the standard of review was that the appeal court should not interfere with the trial judge's finding of fact unless there is a palpable and overriding error. The Court found that a number of the trial judges' findings amounted to a palpable and overriding error, including her conclusion that the Plaintiff would voluntarily reside in a supervised living environment, which the Court of Appeal found could not be supported by the evidence and had to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Court of Appeal noted that if there were any doubt on the question it was removed by the fresh evidence with respect to the Plaintiff's post-trial conduct and attitude. The case may not be as authoritative on the point as suggested then, because the additional evidence was not necessary given the Court of Appeal's conclusion that the trial judge's finding that the Plaintiff would voluntarily reside in a supervised living environment amounted to a palpable and overriding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Harper submitted that Coulter was similar to the case at Bar; that the circumstances envisaged by the Court in making the award for loss of future care have not occurred to this point, for whatever reason. She said that it would be an injustice for the Defendants to have to pay for the costs of future care which have not been incurred by the Plaintiffs and for the expenses that are not incurred as a result of the fact that Travis Strachan is going to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turn finally to the submissions of Ms. Wong, counsel for the Plaintiffs. Her primary point is contained in para. 2 of her written submissions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Travis requires constant monitoring by highly experienced and trained attendant care staff at all times. The actual respite care will be at the discretion of Mr. and Mrs. Strachan (Additional Reasons for Judgment, para. 12-15). Due to an on-going dispute between the private trustees and the public guardian and trustee as to allocation of the partial payment of the award that is in trust, the parents have had to go further into debt. Ms. Strachan has had to quit her job as she could not handle working, being responsible for Travis' night time and most daytime care, moving the household, and dealing with this litigation at the trial and appeal level, and they have been forced to send Travis to school, exposing him to further germs. (affidavit #1 of Karen Strachan).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Wong reviewed MCFD's present policy that if a judgment against the tortfeasor does not cover the costs of care, the At Home and other programs will pay them. The programs are not intended to benefit the tortfeasor. Susan Perkin makes it clear that Travis Strachan is not eligible to receive direct nursing care or At Home Program benefits, and that the care and benefits will not continue to be provided to him because an award was made for the future care items in the Reasons for Judgment. She emphasised that the Court found there was no guarantee the government may not terminate or cut-back public funds, and that in any event, the Court could not simply assume the funds are available. She said that the Court's views are confirmed in the affidavit of Ms. Perkin.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Wong emphasised that where a family in receipt of benefits or services from MCFD receives funding for similar benefits or services from a tortfeasor, MCFD is able to discontinue benefits and services to that family and use the money to serve other families. Here, benefits were provided to Travis Strachan while his claims were pending because such families are in desperate need of the benefits and services provided by the MCFD program, and until the trial of the action, there is no one else to pay for them. Ms. Wong argued; that MCGFD operates on the premise that if liability is established at trial, and the wrongdoer has the financial capacity to pay the Judgment, all the post-trial care costs of the child will be paid by the wrongdoer and after trial MCFD will be able to discontinue benefits under the At Home Program and other programs, and thus free up funds for other families, including those on the waiting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Wong referred to Ms. Perkin's letter to Karen Strachan, and to the fact that the government programs were terminated when she received the future care component of the Judgment. When asked what amount was withheld from the Judgment, she said that because the Judgment was being appealed, and because of a dispute between the private trustees and the public guardian and trustees, the Plaintiffs could not "draw down" the capital they required to set up the care program for Travis as envisaged by the Court. Some funds had been released recently, but not enough. She says that the family bears the burden of caring for Travis and "making up the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pause to observe at this point that the fact that there is an on-going dispute between the Plaintiffs' private trustees and the public guardian and trustee, as to the allocation of trust monies, is not relevant. First, this has nothing to do with the Defendants. Second, during the period of time in question, MCFD was funding Travis' needs. In addition, it seems to me that the reason why Travis was being sent to school is irrelevant. For all the Court knows, Mrs. Strachan may simply have changed her mind about Travis attending school, the respite involved, and the benefits thereof. Only the fact that he started going to school shortly after the Judgment came down, on his mother's instructions, and has continued to do so to the present, contrary to the presumed finding that he would not do so,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Wong relied on Clayton, submitting that the Defendants were trying to re-establish a broken down portion of their case with the aid of the evidence of Ms. Christensen, pointing out that while she was an employee under a contract of service with MCFD, the policy governing eligibility for benefits under the various programs are established under the CYSN Branch of MCFD, under the direction of Ms. Perkin. I am unable to agree with counsel's description of what the Defendants are trying to do in this case. It is pretty clear that they are attempting to right wrongs which they say are clearly evidenced by subsequent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Wong also relied on Lim, citing the same passages as counsel for the Defendant, Dr. Reynolds, to the point that a miscarriage of justice is not simply unfairness, as viewed by the party who perceives himself the victim of an unfair process; that it is a procedural matter and that the blemish must be such as to make the judicial procedure not a judicial procedure at all. The Defendants, she says, have not proven that it would be a miscarriage of justice to allow the order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Wong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not relying on a procedural error. Their complaint is more along the lines that they are victim of an unfair process - that as the trial judge has ordered them to pay the post-trial care costs of the child they negligently injured, they cannot shift the financial burden for the costs of future care onto the At Home Program, Nursing Support Services, and similar programs. Nor can they shift the financial burden onto the plaintiffs if the program ceased to exist or the benefits are less than the current level. However, the At Home Program was not intended to benefit negligent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reasonable, well-informed member of the public would not say there was a miscarriage of justice knowing the medical fragility and greatly reduced life span of Travis, his intensive care needs as found by the trial judge, the emotional, financial and time strain on Travis' primary caregivers from the on-going litigation at this level and from the appeals on damages filed by the negligent defendants, the 350 families on the waiting list for services from the At Home Program, the discretionary nature of the At Home Program and Nursing Support Services, the specific priority review of the programs in light of third party settlement and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Again, I am unable to agree with these submissions. The Defendants' claims are that a miscarriage of justice will occur in the event that the subsequent developments, the continuation of government funding for future costs of care after Judgment, Travis attending school and double recovery by the Plaintiffs, are not taken into consideration by the Court by reducing the award for future costs of care. There is, of course, no satisfactory answer to the plight of Travis and his family. However, the law requires the Defendants to fund the Plaintiffs only for the costs that the Plaintiffs must bear as a result of Travis' injuries, and the law does not countenance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Counsel also relied on Townsen v. Kroppmans, </w:t>
      </w:r>
      <w:hyperlink r:id="rId40" w:history="1">
        <w:r>
          <w:rPr>
            <w:rFonts w:ascii="arial" w:eastAsia="arial" w:hAnsi="arial" w:cs="arial"/>
            <w:i/>
            <w:color w:val="0077CC"/>
            <w:sz w:val="20"/>
            <w:u w:val="single"/>
            <w:shd w:val="clear" w:color="auto" w:fill="FFFFFF"/>
            <w:lang w:val="en-US" w:eastAsia="en-US" w:bidi="ar-SA"/>
          </w:rPr>
          <w:t>[2004] 1 S.C.R. 315</w:t>
        </w:r>
      </w:hyperlink>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2004 SCC 10</w:t>
        </w:r>
      </w:hyperlink>
      <w:r>
        <w:rPr>
          <w:rFonts w:ascii="arial" w:eastAsia="arial" w:hAnsi="arial" w:cs="arial"/>
          <w:color w:val="000000"/>
          <w:sz w:val="20"/>
          <w:lang w:val="en-US" w:eastAsia="en-US" w:bidi="ar-SA"/>
        </w:rPr>
        <w:t xml:space="preserve"> at paras. 19, 20 and 23, as a case on point. The cost of future care award is by its nature notional and not a precise accounting exercise to determine the strict minimum to cover the Plaintiff's losses. The trial judge took into account the variability in the stability of Travis' medical condition and care needs, and his need for immediate detection and care of his reactive airway disease that is permanent and will deteriorate over time. At para. 19, Madam Justice Deschamps giving the judgment of the Court, had this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damages are assessed and not calculated. Since it is impossible to calculate the exact amount of money that will be needed in the future, courts have to rely on actuarial evidence: Andrews v. Grand &amp; Toy Alberta Ltd., </w:t>
      </w:r>
      <w:hyperlink r:id="rId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at 236 and 237. Actuarial evidence is itself based on experience and not on individual circumstances. Future costs and loss of future earnings are amounts that estimated because, by definition, they are not yet incurred or earned. Although this hypothesis may seek to simulate reality, it remains notional. Courts can only provide the victim with an adequate amount to cover the loss caused by the defendant. There is no assurance that the amount will cover the actual costs of care that become incurred, nor is the defendant guaranteed that he or she is not disbursing more than the strict minimum that becomes necessary to cover the victim's loss. In assessing damages courts do not take into consideration what victims actually do with the award. The fact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respondent here had to wait for almost five years before management fees were assessed creates an a typical situation, but these exceptional circumstances should not justify departure of the usual rules. Notional amounts cannot be mixed with actual amounts when assessing future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Wong pointed out that as future costs are notional, the Plaintiffs likewise cannot return to Court to have Travis' increased medication costs and care needs reassessed; observing that since the Reasons for Judgment were handed down, Travis' care regime has become further complicated and he has required different medications for infections.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Counsel submitted that it is time for this litigation to end, referring again to Townsen at para. 20 where Madam Justice Deschamps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Secondly, damages are awarded in a lump sum in order to respect the principle of finality: Andrews supra, at p. 236. According to this principle, there has to be a clean break between the parties. </w:t>
      </w:r>
      <w:r>
        <w:rPr>
          <w:rFonts w:ascii="arial" w:eastAsia="arial" w:hAnsi="arial" w:cs="arial"/>
          <w:color w:val="000000"/>
          <w:sz w:val="20"/>
          <w:u w:val="single"/>
          <w:lang w:val="en-US" w:eastAsia="en-US" w:bidi="ar-SA"/>
        </w:rPr>
        <w:t>It would be inconsistent with the principle of finality to authorize repeatedly revisiting the amount assessed as full and fair compensation at trial whenever new evidence became available</w:t>
      </w:r>
      <w:r>
        <w:rPr>
          <w:rFonts w:ascii="arial" w:eastAsia="arial" w:hAnsi="arial" w:cs="arial"/>
          <w:color w:val="000000"/>
          <w:sz w:val="20"/>
          <w:lang w:val="en-US" w:eastAsia="en-US" w:bidi="ar-SA"/>
        </w:rPr>
        <w:t xml:space="preserve">. During the prospective period for which damages are awarded, the hypothesis may prove overly pessimistic for a period but overstated for another period. </w:t>
      </w:r>
      <w:r>
        <w:rPr>
          <w:rFonts w:ascii="arial" w:eastAsia="arial" w:hAnsi="arial" w:cs="arial"/>
          <w:color w:val="000000"/>
          <w:sz w:val="20"/>
          <w:u w:val="single"/>
          <w:lang w:val="en-US" w:eastAsia="en-US" w:bidi="ar-SA"/>
        </w:rPr>
        <w:t>The award should not be reassessed every time reality reveals a discrepancy with the forecast. Therefore, monitoring the respondent's use of the award, or adjusting it with her changing circumstances would create more uncertainty than the present rule</w:t>
      </w:r>
      <w:r>
        <w:rPr>
          <w:rFonts w:ascii="arial" w:eastAsia="arial" w:hAnsi="arial" w:cs="arial"/>
          <w:color w:val="000000"/>
          <w:sz w:val="20"/>
          <w:lang w:val="en-US" w:eastAsia="en-US" w:bidi="ar-SA"/>
        </w:rPr>
        <w:t>, would undermine the purpose of a statutory discount rate, and would improperly interfere with the third principle of damages relevant to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Finally, counsel submitted that to contemplate reducing the award of costs of future care in this case would be contrary to the goal of compensation under the costs of future care head of damages, as described in Townsen at para. 23 where Madam Justice Deschamps said, with reference to an award for costs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head of damages is aimed at ensuring an adequate level of care to a person injured as a result of tortious conduct. </w:t>
      </w:r>
      <w:r>
        <w:rPr>
          <w:rFonts w:ascii="arial" w:eastAsia="arial" w:hAnsi="arial" w:cs="arial"/>
          <w:color w:val="000000"/>
          <w:sz w:val="20"/>
          <w:u w:val="single"/>
          <w:lang w:val="en-US" w:eastAsia="en-US" w:bidi="ar-SA"/>
        </w:rPr>
        <w:t>To reduce those damages would defeat the very purpose of ensuring decent care and full compensation to a victim ... . The goal of compensation is to provide the plaintiff with the means to be placed in the position she would have been in had the defendant not committed a tort against her</w:t>
      </w:r>
      <w:r>
        <w:rPr>
          <w:rFonts w:ascii="arial" w:eastAsia="arial" w:hAnsi="arial" w:cs="arial"/>
          <w:color w:val="000000"/>
          <w:sz w:val="20"/>
          <w:lang w:val="en-US" w:eastAsia="en-US" w:bidi="ar-SA"/>
        </w:rPr>
        <w:t>. The plaintiff's future actions do not alter the court's duty to meet this objective.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Those statements, of course, must be read in their context, and the context of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Counsel also referred to the decision of the South Australia Supreme Court in Chakravarti v. Advertiser's Newspapers Ltd. (1998), 72 S.A.S.R. 361 (S.C.) at p. 372, per Doyle C.G. and Perry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our opinion, it is </w:t>
      </w:r>
      <w:r>
        <w:rPr>
          <w:rFonts w:ascii="arial" w:eastAsia="arial" w:hAnsi="arial" w:cs="arial"/>
          <w:color w:val="000000"/>
          <w:sz w:val="20"/>
          <w:u w:val="single"/>
          <w:lang w:val="en-US" w:eastAsia="en-US" w:bidi="ar-SA"/>
        </w:rPr>
        <w:t>not enough to say</w:t>
      </w:r>
      <w:r>
        <w:rPr>
          <w:rFonts w:ascii="arial" w:eastAsia="arial" w:hAnsi="arial" w:cs="arial"/>
          <w:color w:val="000000"/>
          <w:sz w:val="20"/>
          <w:lang w:val="en-US" w:eastAsia="en-US" w:bidi="ar-SA"/>
        </w:rPr>
        <w:t xml:space="preserve"> that matters relevant to the assessment of damages </w:t>
      </w:r>
      <w:r>
        <w:rPr>
          <w:rFonts w:ascii="arial" w:eastAsia="arial" w:hAnsi="arial" w:cs="arial"/>
          <w:color w:val="000000"/>
          <w:sz w:val="20"/>
          <w:u w:val="single"/>
          <w:lang w:val="en-US" w:eastAsia="en-US" w:bidi="ar-SA"/>
        </w:rPr>
        <w:t>may have changed since trial, or that further evidence will enable a confident finding of fact to be made about a matter that otherwise would be the subject of inferences, or even worse, of speculation. More than that must be shown to justify the reception of further evidence</w:t>
      </w:r>
      <w:r>
        <w:rPr>
          <w:rFonts w:ascii="arial" w:eastAsia="arial" w:hAnsi="arial" w:cs="arial"/>
          <w:color w:val="000000"/>
          <w:sz w:val="20"/>
          <w:lang w:val="en-US" w:eastAsia="en-US" w:bidi="ar-SA"/>
        </w:rPr>
        <w:t xml:space="preserve">. The need for a more restrictive approach than that arises from the public interest in there being an end to litigation, and from the need, as a matter of practical justice, to </w:t>
      </w:r>
      <w:r>
        <w:rPr>
          <w:rFonts w:ascii="arial" w:eastAsia="arial" w:hAnsi="arial" w:cs="arial"/>
          <w:color w:val="000000"/>
          <w:sz w:val="20"/>
          <w:u w:val="single"/>
          <w:lang w:val="en-US" w:eastAsia="en-US" w:bidi="ar-SA"/>
        </w:rPr>
        <w:t>put an end</w:t>
      </w:r>
      <w:r>
        <w:rPr>
          <w:rFonts w:ascii="arial" w:eastAsia="arial" w:hAnsi="arial" w:cs="arial"/>
          <w:color w:val="000000"/>
          <w:sz w:val="20"/>
          <w:lang w:val="en-US" w:eastAsia="en-US" w:bidi="ar-SA"/>
        </w:rPr>
        <w:t xml:space="preserve"> at some point to the process of factual enquiry.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observe that usually what more is shown is the fact that a subsequent development or event has falsified the basic assumption made by the Trial Judge which is under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observe, as well, that in the preceding paragraph in Chakravarti, the Court said, in relation to a liberal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essence of that approach is that usually fresh evidence will not be admitted if it bears on </w:t>
      </w:r>
      <w:r>
        <w:rPr>
          <w:rFonts w:ascii="arial" w:eastAsia="arial" w:hAnsi="arial" w:cs="arial"/>
          <w:color w:val="000000"/>
          <w:sz w:val="20"/>
          <w:u w:val="single"/>
          <w:lang w:val="en-US" w:eastAsia="en-US" w:bidi="ar-SA"/>
        </w:rPr>
        <w:t>an area of uncertainty in which the trial judge has made an estimate, but that usually fresh evidence will be admitted if a basic assumption underlying the trial judge's approach has been falsified</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in Chakravarti also noted on more than one occasion that the case before them was not one in which some event had occurred which "falsifies an assumption upon which the trial judge's assessment was made". Rather, the evidence that was sought to be led did no more than provide a basis for a specific finding on a matter in which the judge had to make a prospective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Finally, counsel referred to the decision of Lord Pearce in Murphy v. Stone-Wallwork (Charlton) Ltd., [1969] 1 W.L.R. 1023 (H.L.) at p. 1027 with respect to the need for damages to be assessed at the trial once and for 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Our courts have adopted the principle that damages are assessed at the trial once and for all. If later the plaintiff suffers a greater loss from an accident than was anticipated at the trial, he cannot come back for more. Nor can the defendant come back if the loss is less than was anticipated. </w:t>
      </w:r>
      <w:r>
        <w:rPr>
          <w:rFonts w:ascii="arial" w:eastAsia="arial" w:hAnsi="arial" w:cs="arial"/>
          <w:color w:val="000000"/>
          <w:sz w:val="20"/>
          <w:u w:val="single"/>
          <w:lang w:val="en-US" w:eastAsia="en-US" w:bidi="ar-SA"/>
        </w:rPr>
        <w:t>Thus, the assessment of damages for the future is necessarily compounded of prophecy and calculation. The court must do the best it can to reach what seems to be the right figure on a reasonable balance of the probabilities</w:t>
      </w:r>
      <w:r>
        <w:rPr>
          <w:rFonts w:ascii="arial" w:eastAsia="arial" w:hAnsi="arial" w:cs="arial"/>
          <w:color w:val="000000"/>
          <w:sz w:val="20"/>
          <w:lang w:val="en-US" w:eastAsia="en-US" w:bidi="ar-SA"/>
        </w:rPr>
        <w:t xml:space="preserve">, avoiding undue optimism and undue pessimism. </w:t>
      </w:r>
      <w:r>
        <w:rPr>
          <w:rFonts w:ascii="arial" w:eastAsia="arial" w:hAnsi="arial" w:cs="arial"/>
          <w:color w:val="000000"/>
          <w:sz w:val="20"/>
          <w:u w:val="single"/>
          <w:lang w:val="en-US" w:eastAsia="en-US" w:bidi="ar-SA"/>
        </w:rPr>
        <w:t>Although periodic payments and a right of recourse whenever circumstances change might seem an attractive solution of the difficulty, yet they, too, have serious drawbacks such as an unending possibility of litigation which, in the view of the law, have hitherto been held to outweigh the disadvantages of an assessment of damages once and for all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Murphy the case was conducted by both sides at the trial, and Judgment was given, on the assumption that the employment of the Plaintiff by the Defendant would continue up to his retirement age, unless in the meantime some further deterioration of his condition incapacitated him for work in their employment. However, after the Judgment the Defendant discharged the Plaintiff. The Plaintiff then sought to adduce fresh evidence as to the discharge which occurred after the Judgment. It was found that the assumption that the Plaintiff would continue to be employed was falsified by the act of the Defendant in discharging him, although done in good faith. In the headnote it is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general principle was that damages were assessed at the trial once and for all, though the plaintiff might finally suffer greater loss than was anticipated, an appellant court had power, in exceptional cases, to hear evidence of something which had altered the effect of an order of the court below since it was made, if the particular exigencies of justice clearly outweighed the general undesirability of doing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Reference may also be had to the decision of the House of Lords in Mulholland v. Mitchell, [1971] A.C. 666 (H.L.) generally, and the opinion of Lord Wilberforce particularly, at pp. 679 and 680.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pause to observe at this point that the principles annunciated in these cases cannot be questioned. For example, finality of judgment is most important; damages are assessed at trial once and for all. While exceptional circumstances are required to reopen a trial, the principles are not absolute. As was said in Murphy, when dealing with Court of Appeal jurisdiction, the Court has power to hear evidence of something which has altered the effect of an order of the Court since it was made, "if the particular exigencies of justice clearly outweigh the general undesirability of doing so"; or, as was said in Mulholland at p. 680, if to refuse to allow the fresh evidence would affront common sense, or a sense of justice. The discretion will be exercised positively where these situations arise. It is a matter of discretion and degree. Additionally, in the case at Bar, we are no longer dealing with the assessment of future costs of care. Rather, we are dealing with the actual costs, in light of actual developments which have occurred after the completion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her reply, Ms. Khanna said that the Defendants' application is based on new evidence that only came to light in September 2005. She emphasised that Ms. Wong's submissions do not address the issue of why the Plaintiffs are entitled to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 is a problem between the private trustee and the public guardian and trustee with regard to funding . The Defendants advanced the bulk of the award monies approximately 14 months ago, assuming that the monies would be used to provide the care for Travis which the Court ordered. The point is that the Plaintiffs have not paid for Travis' care over the last 27 months. All of his care was covered by MCFD's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reply Ms. Harper said that there were two possible scenarios in cases like the present dealing with the costs of future care and government benefits. In the first scenario, the evidence is that the government probably will continue to fund the care and benefits. In that case the judge makes no award on the assumption that the government will provide the care and benefits. As discussed above, Fullerton is an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 second scenario, which is the result for this case, the Court awards all of the future care costs against the tortfeasor. The effect of that, according to Ms. Mageau and Ms. Perkin, is that the government funding will terminate. At trial, what the Defendants did was to apply for the first scenario. They did not succeed, as the Court adopted the second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Counsel submitted that there was no dispute at the trial about the effect of the evidence before the Court, or as to the approach taken by the Court, the calculation of the entire future costs of care on the basis that government funding should not be factored into it. So there was no inconsistency between the evidence of Ms. Mageau and what the defence believed Ms. Perkin's evidence would be. Ms. Mageau proceeded on the assumption that if the award in the Judgment was for the future costs of care up to a point, funding by the government would cease. The Defendants are here because this is not the way things turned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Finally, Ms. Harper said that despite the Judgment and the payment of $1.5 million to the Plaintiff shortly after the Reasons were handed down, the government programs continued and MCFD has paid a significant amount of the cost relating to Travis' care and has continued to fund his equipment supplies, medications, food and so on for a period slightly in excess of one quarter of his total life expectancy. The fundamental difficulty is to pay the Plaintiffs now for those costs would be seen by the average person as an injustice.</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this case Travis Strachan suffered catastrophic injuries at birth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MCFD, in accordance with its policy, stepped in and funded the benefits, services, medications, equipment and so on, required by the child and his family, while the claims against the tortfeasors were pending. MCFD does this because usually the child and his family, as in the case of the Strachan family, are often in desperate need of the services provided by the At Home and other programs, and until the trial of the action there is no one else to pay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MCFD operates its budget on the premise that if liability is established at trial, and the tortfeasor has the financial capacity to pay the Judgment, all of the post-trial care costs of the child will be paid by the wrongdoer. As a result, after trial, MCFD will be able to discontinue benefits under the At Home Program for those families who succeed in their claims for damages against the tortfeasor, thus freeing up funds for other families trying to access the At Home Program and who are unable to fund the expensive cost of future care of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Obviously the programs are not set up so as to allow negligent wrongdoers, who have the financial capacity to pay for an award for the cost of future care, to escape responsibility for their conduct. Rather, they are set up for the benefit of injured children and their families and to provide them with funds which enable them to live as normal a life as is possible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Defendants say that they are not liable to the Plaintiffs for the future costs of care of the child over the past 27 months because those costs have been paid by MCFD. The Plaintiffs have suffered no loss and they cannot recover these costs from both MCFD and the Defendants. The law does not permit double recovery. The Defendants therefore seek an order that the Plaintiffs' award of future cost of care against them be reduced to account for the duplicating benefits and care provided by the government programs over the past 27 months. They also seek similar orders pertaining to damages awarded to the infant Plaintiff on the basis that he would not be attending school, and on the basis that government funding would end with the Judgment.</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seemed to me initially that I should grant the order for leave to reopen the trial, adduce new evidence and advance arguments on that evidence, with respect to this issue. It seemed obvious that a rehearing, based on the actual fact that Travis had been attending school since September 2004 to the present time, a period of about 16 months, would change the trial finding or result. It also seemed obvious that there would be a miscarriage of justice if the Defendants were not allowed to adduce this evidence and deduct from the award for costs of future care the additional costs which the Plaintiffs would have recovered had Travis not gone to school over the 16 months. However, to do so would only cover the additional costs over the past 16 months, but would not deal fairly with the future costs of care over the remainder of Travis' 10 year life span.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What has caused me concern is that the subsequent event in this case, that is, Travis going to school, is not as certain and permanent as the subsequent event in some of the cases referred to, for example, the death of the Plaintiff in Cory, the re-marriage to a person of means in Mercer, and the resolve not to live in a supervised living environment in Coulter. In this case, the event of necessity is tied to Travis' deteriorating condition, and its eventual change is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her affidavit, Ms. Christensen reviews Travis' attendance at school and the nursing hours he received during the period of time from September 2003 to the present. She makes it clear in her affidavit that Travis was frequently absent from school due to his medical condition, and when there was a concern about infection from other children, and that this state of affairs will probably continue. I am satisfied, as well, given Travis' projected deteriorating condition, that it is highly doubtful that he will be able to go to school throughout his life remaining expectancy, approximately eight years and six months. Thus, when the day comes when he can no longer go to school for any appreciable time, the positions of the parties will be reversed, if the damages are fixed on the basis that Travis will (always) attend school. It seems to me, therefore, that a decision that Travis will always attend school may be just as wrong as a decision that he will always stay at home. In this regard I am satisfied that it is more likely than not that Travis will be able to go to school in his early years, as demonstrated in part to date, but that in subsequent years he will not be able to go to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Because of this, and because the Court cannot or will not monitor Travis' progress, and continue to revisit the amount set, I considered leaving the original assessment stand. However, I have decided it would be unfair to do so. In my view it would be unfair to the Plaintiffs to reassess the damages, for the rest of Travis' life, on the basis that he would attend school; that it would be equally unfair to the Defendants to assess the damages on the basis that Travis will not attend school for the rest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Doing the best I can, on the evidence before me, I find that the damages should be assessed for the whole ten years, including the previous 16 months, on the basis that Travis will attend school 50% of the time and he will remain at home 50% of the time. In this perhaps unique situation, if counsel insist on making submissions pertaining to Travis' attendance at school since September 2004, and to the basis for the reassessment of the damages in the circumstances, leave is granted to do so.</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will deal with this issue as though there were no third issue, although it will be seen that Issue 2 is probably academic.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There is no doubt that at the trial the evidence was, and the Court found, that government funding would cease if Travis had other resources provided by a Judgment of the Court; although the timing then was unknown. There is no doubt that if and when Travis receives the future care component of his Judgment, as was envisaged by the parties and the Court, the cessation of the government funding will be triggered. The problem is that I am not satisfied on the evidence before me that the event has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All the Court knows is that a portion of the future care component was advanced, for disbursement, on September 28, 2004, which is believed to be in the amount of $500,000 and that the future costs of care award is under appeal. Specifically, it is not known whether the amount advanced in September 2004 sufficiently replaced the government funding then, and by now 16 months later, and will do so up to the hearing of the appeal, so that the government funding could be safely terminated. This may not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any event, I am not prepared to find that Travis has received his future care component, as was envisaged by the experts and the Court at trial, and exercise my discretion to re-open the trial on that issue. However, it is a matter of evidence. If I am wrong, and there is determinative evidence available, and, absent an agreement by counsel, leave is granted to adduce the new evidence, hopefully by affidavit, on the date when the Plaintiffs have effectively received the loss of future care component of the award, or a sufficient amount as described above; and to advance argument that any duplicating payments received from the MCFD after that date are to be deducted from the Plaintiffs' award for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goes without saying that any monies received from the government after that date which duplicates the cost of future care awarded against the Defendants, constitutes double recovery. In fact, because of the delay, all similar monies received before that date constitute double recovery. The monies received after the date falsify the original basis of the assessment of the damages, and result in a miscarriage of justice if the Defendants are not allowed to adduce the necessary evidence, and to deduct from the award for costs of future care, those funds received from the government after the subject date.</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This issue has caused me some concerns; one being whether it is more a matter for appeal than a proper subject matter for an application for leave to re-open the trial, adduce new evidence, and advance argument on the new evidence that Travis' future care cost award should be reduced to account for the past benefits provided by MCFD. I have concluded that the latter proceeding is appropriate. If I am wrong then the Court of Appeal can deal directly with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Defence counsel say that the new evidence which they wish to adduce is that the government benefits have continued, at no cost to the Plaintiffs, since trial in September 2003. At trial it was known by the parties and the Court that MCFD was funding Travis. It was also known, or at least assumed, that MCFD would probably continue to do so, especially since no funds were forthcoming from the Defendants, until Travis obtained Judgment against the Defendants, that is, until he received the future care component of his Judgment. I have already dealt with the effect of the advance of a portion of the future care costs on September 28,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Much of the submissions of defence counsel focused on the new evidence contradicting the Court's findings of fact that Travis would not go to school and that government benefits would not continue after Judgment. While it is true that in my Reasons I opined that I was not satisfied that government funding would always be available to Travis, this was said in a general and different context, that of government cut-backs or abandonment of the programs, and so on. I did not state anything to the effect that the benefits which Travis was receiving would cease for any new circumstance other than Travis receiving his future care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real complaint is that in my Additional Reasons for Judgment, which were handed down on March 17, 2005, some eight months after the initial Reasons for Judgment were handed down, I ordered the Defendants to pay the costs of care from the first day of trial, rather than the date of Judgment. In doing so I overlooked the material fact that it was assumed at trial that MCFD would probably continue to fund Travis until he received his cost of future care award from the Defendants; and at that time it was known that payment would be delayed. This immediately created a situation of double recovery from the trial date, and which would continue until Travis received his monies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Dealing with the specific point, Ms. Khanna said that she wanted the Court to re-open the trial and hear this new evidence because the Plaintiffs were taking the position that they "should keep the government payments made during the 27 month period". The Defendants should not have to pay for future care already provided by the government. To that end, the Defendants wanted to show what had occurred since the trial, circumstances which the Court can take into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Harper made similar submissions, although they were not limited to the factual basis that the government benefits would cease upon an award being made. Her fundamental point was that the evidence the Defendants seek to adduce is that the costs the Defendants were ordered to pay from the first day of trial were not incurred by the Plaintiff over the 27 month period; that ordering the Defendants to pay the costs of care from the first day of trial, when those costs have not been incurred up to this point, amounts to an injustice and clearly results in double recovery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Counsel's primary complaint then is that the Defendants were ordered to pay the future costs of care from the first day of trial. In this regard in a better world, and in the ordinary course of events, the following would have occurred: the Judgment for the future costs of care would be included in the Reasons for Judgment dated July 9, 2004. The Defendants would be ordered to pay the cost of future care from the date of the Judgment, not the date of trial. The Defendants would pay the Plaintiffs the future costs at that time, and there would be no double recovery. In the case at Bar, there have been some delays as a result of which prospective double recovery has become actual double recovery. However, the Plaintiffs have never been without funding and the end result will be that they will continue to be funded by the Defendants in place of MCFD. There was no prejudice to the Plaintiffs by the delays because they were always funded.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It will be clear that the immediate triggering of double recovery from the first day of trial was not envisaged when the order was made later, on March 17, 2005, when the Additional Reasons for Judgment were handed down. Earlier, at trial, the Court had assumed that there would be no double recovery; although the subsequent timing involving delay was not known. I therefore grant leave to re-open and to adduce the new evidence referred to and to advance argument based on that evidence, that Travis' future care costs award should be reduced to account for the benefits provided by MCFD until they are stopped; a finding which I can and do make on the evidence before me, on the basis that to ignore the double recovery would result in a miscarriage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Before leaving this issue, I point out that there is another route or way in which the Defendants can succeed without referring to any extent to fresh evidence. In this regard it may be said that the finding in the Additional Reasons for Judgment that the Defendants must pay the future costs of care from the first day of trial was in error, because it overlooked or misconstrued material evidence before the Court at trial, when it was assumed that MCFD would continue to fund Travis until he received his cost of future care award from the Defendants whenever that occurred; thus creating a post-trial situation of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Sykes, Wood, J.A., in the passage earlier quoted, said that new evidence was not essential to a trial judge's exercise of the discretion to re-open. The discretion properly may be exercised where the trial judge is satisfied either because of the argument of one of the parties, or on the basis of his own reconsideration of the record, that the original judgment was in error, because it overlooked or misconstrued material evidence or misapplied the law. I am satisfied, as I have indicated, that in these circumstances my order to pay the future costs of care from day one of the trial was in error; that a miscarriage of justice would occur if that error was not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One more observation I wish to make is that generally speaking, I am assuming that it may not be necessary for counsel to lead further evidence, and that if it is necessary, it can be in the form of an affidavit, or that further submissions will be necessary. However, in the somewhat extraordinary circumstances of this case, counsel have leave to appear before me if they feel that a more extensive procedure, within reason, is necessary. If that is the case, counsel should initially briefly set out their intentions or positions on a preliminary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Counsel may also address the question of costs before me, or if it is not necessary to appear before me again, by brief written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HOOD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March 31,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With respect to my Reasons for Judgment released March 6, 2006, it has been brought to my attention that the name of counsel for the Defendant, Dr. Reynolds was erroneously stated as "H. Khanna". Counsel's name should read "C.L. Khanna".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 w:history="1">
        <w:r>
          <w:rPr>
            <w:rFonts w:ascii="arial" w:eastAsia="arial" w:hAnsi="arial" w:cs="arial"/>
            <w:b/>
            <w:bCs/>
            <w:i/>
            <w:color w:val="0077CC"/>
            <w:kern w:val="32"/>
            <w:sz w:val="28"/>
            <w:szCs w:val="32"/>
            <w:u w:val="single"/>
            <w:shd w:val="clear" w:color="auto" w:fill="FFFFFF"/>
            <w:lang w:val="en-US" w:eastAsia="en-US" w:bidi="ar-SA"/>
          </w:rPr>
          <w:t>Strata Plan LMS 3851 v. Homer Street Development Limited Partnership, [2009] B.C.J. No. 545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S76792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545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378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176 A.C.W.S. (3d) 646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3851, Chong Ping Wong and others, Plaintiffs, and Homer Street Development Limited Partnership, (formerly Cressy (Homer) Limited Partnership) and others, Defendants, and O'Neill Hotels &amp; Resorts Ltd. and others, John C. O'Neill,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4"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 w:name="Keywords_1"/>
      <w:bookmarkEnd w:id="11"/>
      <w:r>
        <w:rPr>
          <w:rFonts w:ascii="arial" w:eastAsia="arial" w:hAnsi="arial" w:cs="arial"/>
          <w:b/>
          <w:color w:val="000000"/>
          <w:sz w:val="20"/>
          <w:lang w:val="en-US" w:eastAsia="en-US" w:bidi="ar-SA"/>
        </w:rPr>
        <w:t>Civil litigation — Civil procedure — Judgments and orders — Amendment, rescission and variation — Matters not adjudicated — Motion by defendants to have allegations not argued by plaintiffs dismissed in formal judgment allowed in part — Plaintiffs' claim based on allegation that defendants made three statements amounting to misrepresentation — Plaintiff's Second Further Amended Statement alleged fraudulent misrepresentation but plaintiffs only pled negligent misrepresentation at trial — Plaintiff's claim was dismissed with respect to two statements — Allegations that were explicitly or impliedly dismissed would be dismissed in formal judgment — Allegations for which their dismissal would prejudice plaintiff in further actions or were better canvassed with respect to further allegations were not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 w:name="Case Summary_1"/>
            <w:bookmarkEnd w:id="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defendants to have allegations explicitly or impliedly dismissed in reasons dismissed in the formal judgment. The defendants were developers and the plaintiffs were investors. The plaintiffs alleged that three statements made by the defendants amounted to fraud. The plaintiffs' claim was dismissed with respect to defendants' claim that hotel occupancy was as high as 78 per cent and that demand for luxury hotels exceeded supply as these statements were found to have been true. The defendants were found liable for a claim that tourism was the number one growth industry in Vancouver. The plaintiffs initially based claim on both fraudulent and negligent misrepresentation but did not argue fraudulent misrepresentation at trial. The defendants' argued that the fact that the plaintiffs failed to argue fraud at trial should not deprive them of their right to have that issue dismissed.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 w:name="Holdings of Court"/>
            <w:bookmarkEnd w:id="13"/>
            <w:r>
              <w:rPr>
                <w:rFonts w:ascii="arial" w:eastAsia="arial" w:hAnsi="arial" w:cs="arial"/>
                <w:color w:val="000000"/>
                <w:sz w:val="20"/>
                <w:lang w:val="en-US" w:eastAsia="en-US" w:bidi="ar-SA"/>
              </w:rPr>
              <w:t>HELD: Motion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only reference to fraud at trial was with respect to alleged misrepresentations after 1999, which were the subject of a further action. It was not always appropriate to dismiss claims not made in pleadings so the provision sought by the defendants had to be canvassed one at a time. The plaintiff's allegations that the projections made by the defendants were not in good faith was dismissed as the reasons expressly stated that the defendants had honestly believed the projections. Whether this would amount to a dismissal of claims of fraud would require further submissions. The reasons also found that the projections did not fall under s. 59 of the Real Estate Act, as claimed by the plaintiff, so a provision was inserted to reflect that finding. The plaintiffs' claim that the defendants had breached the Sale Agreements was not dismissed as this would be prejudicial to the plaintiffs' right to claim the same damages for the construction and operation of the hotel. The claims against the strata corporation were not advanced by the plaintiffs, so were dismissed. The claims that the defendants had breached their duty to disclose were not dismissed as it was more relevant to matters that occurred after 1999. The plaintiffs' allegations about fraud with respect to a marketing brochure had been made but not withdrawn, so were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 w:name="Legislation Cited_0"/>
      <w:bookmarkEnd w:id="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5"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Real Estate Act, R.S.B.C. 1979, c. 356, s. 56, s. 59, s. 73, s. 75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 w:name="Counsel_1"/>
      <w:bookmarkEnd w:id="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B.W. Dixon, S.T.C. Warnett.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Homer Street Development: G.N. Corson.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defendants/Third parties, OHR and OHR Grand: D.G.S. Rae,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 w:name="Judgment_1"/>
      <w:bookmarkEnd w:id="16"/>
      <w:r>
        <w:pict>
          <v:line id="_x0000_s1037"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 w:name="J.D. TRUSCOTT J."/>
            <w:bookmarkEnd w:id="17"/>
            <w:r>
              <w:rPr>
                <w:rFonts w:ascii="arial" w:eastAsia="arial" w:hAnsi="arial" w:cs="arial"/>
                <w:b/>
                <w:color w:val="000000"/>
                <w:sz w:val="30"/>
                <w:lang w:val="en-US" w:eastAsia="en-US" w:bidi="ar-SA"/>
              </w:rPr>
              <w:t>J.D. 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Following on my reasons for judgment of November 17, 2008 where I set out the first part of the form of judgment I am prepared to sign, and indicated that I was awaiting further submissions from the Developers on the complete form of judgment that should be entered, the Developers have now come back with submissions as to issues that they say were dismissed expressly or impliedly by my reasons for judgment of August 26, 2008 that should also be included in the formal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Developers' submissions are supported by the OHR parties and by MM&amp;R (HVS). Counsel for MM&amp;R (HVS) did not attend the hearing but indicated his support through counsel that did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first issues that the Developers allege should be formally dismissed deal with the allegations in the Second Amended Statement of Claim concerning s. 6.7 of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Section 6.7 of the disclosure statement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Developer has consulted with HVS International - Canada MM&amp;R Valuation Services, Inc. (HVS), an international hotel consultant, which has advised the Developer as follows: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hotel occupancy rate in Vancouver last year was as high as 78%;</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demand for downtown luxurious hotels is more than supply;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tourism is the number one growth industry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Developers submit that the judgment to be entered on these three issues should be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that the Developers and Directors: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fraudulently or negligently misrepresented to the Investors; and/or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expressly or impliedly warranted to the Investors; and/or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made a material false statement to the Investors pursuant to s. 59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R.S.B.C. 1979, c. 356, as amended, or s. 75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R.S.B.C. 1996, c. 397</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Developers had consulted with HVS and had been advised that the hotel occupancy rate in Vancouver last year (1995) was as high as 78% are dismissed.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that the Developers and Directors: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fraudulently or negligently misrepresented to the Investors; and/or</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expressly or impliedly warranted to the Investors; and/or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made a material false statement to the Investors pursuant to s. 59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R.S.B.C. 1979, c. 356, as amended, or s. 75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R.S.B.C. 1996, c. 397</w:t>
        </w:r>
      </w:hyperlink>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Developers had consulted with HVS and had been advised that demand for downtown luxurious hotels is more than supply are dismissed.</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that the Developers and Directors: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fraudulently misrepresented to the Investors; and/or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expressly or impliedly warranted to the Investors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Developers had consulted with HVS and had been advised that tourism is the number one growth industry in Vancouver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Second Further Amended Statement of Claim alleges as part of [paragraph] 31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Developers [and] Directors expressly or impliedly represented and warranted to the Investors and each of them,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Developers had consulted with HVS and had been advised that:</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hotel occupancy rate in Vancouver last year (1995) was as high as 78%;</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demand for downtown luxurious hotels is more than supply; and</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tourism is the number one growth industry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Paragraph 32 of the pleading states that, "The representations and warranties in the Disclosure Statement are hereinafter referred to as 'the Representations and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Paragraph 54 of the pleading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Representations and Warranties ... were made negligently in that: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Developers and the Directors knew or ought to have known that HVS had not advised and it was not true that:</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hotel occupancy rate in Vancouver last year (1995) was as high as 78%;</w:t>
      </w: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demand for downtown luxurious hotels is more than supply; and</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tourism is the number one growth industry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Paragraph 55 of the pleading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purposes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the Investors are deemed to have relied on the Representations and Warranties by virtue of s. 75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prayer for relief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Investors, and each of them claim as follows: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against each of the Developers, Directors, OHR, OHR Grand and HVS ... for damages for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mis-statement;</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against the Developers, for damages for breaches of the Sale Agreements and breaches of collateral warranties or collateral contracts;</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against the Developers and Directors, for compensation pursuant to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these three issues from s. 6.7 of the Disclosure Statement my reasons for judgment of August 26, 2008 said the following at [paragraphs] 183 - 195: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consider that the first two statements were material statements that would have assumed actual significance in the deliberations of a reasonable investor. These statements not only gave potential investors positive information on the state of the Vancouver hotel market but attributed those statements to an expert in the know - HVS.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statement that "the hotel occupancy rate in Vancouver last year was as high as 78%", attributed to HVS, is all a true statement. This was true as the competitive hotels, all top hotels, had an average occupancy rate that high as HVS had said in its opinion letter so the hotel occupancy rate in Vancouver in 1995 was as high as 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I conclude that the statement is true and fairly represents the statement of Ms. MacDonald. Even if it does not exactly reflect what HVS said, I do not find it to be materially false. The Developers and Directors are entitled to the defence under s. 59 (s. 75).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statement is untrue if demand for downtown luxurious hotels was not more than supply and/or HVS did not advise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Johnston says he thinks this information was taken from a fax from Ms. MacDonald that referred to unaccommodated demand, as well as from her opinion letter. Unaccommodated demand is demand that cannot be accommodated. Ergo, according to Mr. Johnston, demand is more than supply.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unaccommodated demand referred to in the HVS opinion letter was future unaccommodated demand in the projection period. The unaccommodated demand referred to in s. 6.7 is present unaccommodated demand. However the fax from Ms. MacDonald apparently referred to a market with over 78% annual occupancy and that was presumably in 1995, so that was a reference to present unaccommodated demand. I accept this evidence of Mr. Johnston.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this basis I conclude that the statement is true and fairly represents a statement of Ms. MacDonald.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much in evidence was said about the third statement "tourism is the number one growth industry in Vancouver". Ms. MacDonald only says that she would not have made that statement. She does not say it was not a true statement.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say that it is a false statement because I have no evidence of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falsely attributed to HVS because Ms. MacDonald says she would not have made the statement, and I have no evidence from the Developer attributing it to HVS.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in my opinion a material part of the statement that HVS advised of this, and it was false to attribute it to HVS.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Developers and Directors have no defence under s. 59 because it does not fairly represent a statement that Ms. MacDonald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the Developers and Directors are liable under s. 59 to make compensation for any loss or damage to the Investors by this material false statement attributing it to HVS.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issue of whether the alternative allegation of negligent misrepresentation with respect to the first two issues has been impliedly dismissed by my reasons for judgment, I agree with that submission as it pertains to the first two issues because I found both those statements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Turning to the submission that the express or implied alleged warranties of these issues to the Investors in [paragraph] 31 of the pleading should also be dismissed as being impliedly dismissed by my reasons for judgment, plaintiffs' counsel submits that the issue of express or implied warranties with respect to these issues was never pursued by the Plaintiffs at trial and the plaintiff does not have any intention of ever pursuing these claims as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While I agree with Plaintiffs' counsel that these claims of express or implied warranties on these issues were never pursued at trial nor in any submission of the Plaintiffs and I understood they were never intended to be advanced, they were allegations made in the pleading and they should be dismissed as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With respect to the submission that the allegation of a material false statement pursuant to s. 59 (s. 75)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should be dismissed as it relates to the first two issues, I agree that these allegations should also be dismissed in the formal judgment to go along with my agreement to include the Developers and Directors' liability for the third issue under s. 59 (s. 75) in the form of judgment that I indicated I would sign by my reasons of November 17,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significantly contentious issue is whether the formal judgment should include a dismissal of allegations of fraudulent misrepresentation with respect to these three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counsel for the Developers and Directors concedes that the Second Further Amended Statement of Claim does not specifically plead fraud for any of these representations and warranties, he points out that in the "Issues for Trial" that Plaintiffs' counsel set out in written form before trial for the benefit of the defendants and the court, and which formed the basis of a ruling I made on March 15, 2007, one of the issues set out for misrepresentations as against the Developers, Directors and OHR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Were the Developers, the Directors and OHR fraudulent or negligent in making the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OHR companies supports the Developers' submission in this regard and submits that it should be extended further to also include a dismissal of a claim that the Developers, the Directors and OHR made fraudulent misrepresentations in and by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Both counsel point out that the Issues for Trial document formed part of the Plaintiffs' opening statement and closing submissions and submit that allegations of fraudulent misrepresentation were pursued through cross-examination of witnesses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They submit that the fact that the Plaintiffs in their closing submissions only sought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Developers, Directors and OHR should not deny them the right to have the claim of fraudulent representations set out in the Issues for Trial dismissed as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Plaintiffs' counsel submits that the formal judgment should only be based on what was sought in the prayer for relief in the pleading and the prayer for relief in the Second Further Amended Statement of Claim only sought damages against the Developers, Directors and the OHR companies for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mis-statement and as against the Developers and Directors for compensation pursuant to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Further, he submits that the Issues for Trial document did not distinguish between representations allegedly made in 1996 and those allegedly made in 1999 and the allegation at trial was only with respect to negligent misrepresentations made in 1996 while fraudulent misrepresentations allegations were limited to 1999. He refers to [paragraphs] 54 and 55A of the Second Further Amended Statement of Claim in support of this distinction.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true that in the Plaintiffs' opening statement Plaintiffs' counsel under the heading "Plaintiffs' Claims" said that the claims were as set out in the pleadings and summarized below and said "see also Appendix "A" Issues for Trial - Plaintiffs' Claims". Thereafter references were made to the paragraphs in the Second 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Plaintiffs' counsel in his closing submissions set out the law of fraudulent misrepresentation or deceit, the only reference to fraudulent representation was with respect to misrepresentations made in 1999 by delivery of the HMA.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Paragraph 36A of the Second Further Amended Statement of Claim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36A. In or about April, 1999, by delivery for execution of a form of HMA containing the same projected operating results that form the basis for the Projections, OHR Grand and the Developers expressly or impliedly represented to the Investors and each of them that, as of that time, the projected operating results and the Projections derived therefrom:</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represented the best judgment of OHR Grand as to the most probable set of economic conditions and the planned course of action for the hotel operations;</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sound and reasonable and were prepared by OHR Grand in good faith, using reasonable care and skill;</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believed by OHR Grand and the Developers to be reasonable and OHR Grand and the Developers were not aware of any undisclosed facts tending to seriously undermine their accuracy.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(collectively the "April 1999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Paragraphs 36B and 36C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36B. OHR Grand and the Developers intended that the HMA, containing the same projected operating results that form the basis for the Projections, be published to the Investors, by delivery for execution, for the purpose of inducing completion of the Sale Agreements and entry into the HMA.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36C. By the terms of the HMA, OHR Grand represented that Schedule D, containing the projected operating results that form the basis of the Projections, was the Operating Plan and Budget for the first Operating Year, as defined in the HMA.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Paragraph 55A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55A. The April 1999 Representations were made by the Developers and OHR Grand knowing them to be false or without belief in their truth or recklessly not caring whether they were true or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Paragraph 55A is a pleading of fraud. The only other possible plea of fraud that I can see in the pleading is a portion of [paragraph] 49 which states:</w:t>
      </w:r>
      <w:r>
        <w:rPr>
          <w:rFonts w:ascii="arial" w:eastAsia="arial" w:hAnsi="arial" w:cs="arial"/>
          <w:sz w:val="20"/>
          <w:lang w:val="en-US" w:eastAsia="en-US" w:bidi="ar-SA"/>
        </w:rPr>
        <w:cr/>
      </w:r>
    </w:p>
    <w:p>
      <w:pPr>
        <w:numPr>
          <w:numId w:val="2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Projections were never achievable or, alternatively, were achievable only in circumstances that were unlikely to exist, as the defendants knew or ought to have known. The Projections had not been prepared in good faith, using reasonable care and skill, objectively and independently, but had been adjusted to induce the Investors to make their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which is consistent with [paragraph] 31(e) which states:</w:t>
      </w:r>
      <w:r>
        <w:rPr>
          <w:rFonts w:ascii="arial" w:eastAsia="arial" w:hAnsi="arial" w:cs="arial"/>
          <w:sz w:val="20"/>
          <w:lang w:val="en-US" w:eastAsia="en-US" w:bidi="ar-SA"/>
        </w:rPr>
        <w:cr/>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and by the Disclosure Statement, the Developers, Directors and OHR expressly or impliedly represented and warranted to the Investors and each of them,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Projections had been prepared in good faith, using reasonable care and skill, objectively and independently and had not been prepared or adjusted so as to unreasonably or artificially increase the projected returns to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disagree with Plaintiffs' counsel that the Issues for Trial did not outline fraudulent representations before 1999. The first portion of the document dealt with fraud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making representations alleged in the Second Further Amended Statement of Claim while the April 1999 representations were dealt with separately in terms of the question of fraud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However I do not believe it is appropriate to dismiss claims that were never made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the pleading does not allege any fraudulent representation prior to 1999, I am not prepared to accede to dismissal of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am however prepared to dismiss the allegation that the projections had not been prepared in good faith but had been adjusted to induce the investors to make their investments and had been prepared or adjusted so as to unreasonably or artificially increase the projected returns to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reasons of August 26, 2008 I said at [paragraph] 139 that I was satisfied the Developers and OHR honestly believed the projection and the assumptions and hypotheses to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Whether a dismissal of this allegation amounts to a dismissal of an allegation of fraud will have to await submissions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Developers also submit that a provision should be included in the judgment that dismisses the allegations in [paragraph] 36A of the Second Further Amended Statement of Claim on the basis that in [paragraph] 812 of my reasons of August 26, 2008 I said that I did not consider that Schedule D carried forward to 1999 any representations surrounding the 1996 projections nor the projections themselves because Schedule D did not purport to carry forward projections but only to declare a first year operating plan and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did point out in [paragraph] 813 that the numbers in Schedule D in the HMA in 1999 may have been the same as the numbers in the Projections in 1996 for the first operating year but a budget is different than a projection and in [paragraph] 814 that the representation by delivery of Schedule D in 1999 was that the first year operating plan and budget remained the same as had been set out originally in Schedule D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also said in [paragraph] 819 that whether Schedule D constituted a misrepresentation of the first year operating plan and budget remains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consider it would only create confusion if I include a provision as the Developers suggest when the truth of the representation in [paragraph] 36A surrounding Schedule D as a first year operating plan and budget is still outstanding and to be determined at some time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decline to include this provision at this time. This issue can be revisited when the issue of first year operating plan and budget is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next provision proposed by the Developers is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that the Projection itself, consisting of the Projected Statement of Net Income, Exhibit "A" to the Auditor's Report, the Projected Net Cash Flow at Exhibit "B", and the Notes at Exhibit "C", is a material false statement, pursuant to s. 59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At [paragraph] 196 of my reasons of August 26, 2008 I said that I did not accept that the Projection itself consisting of the Projected Statement of Net Income, Exhibit "A" to the Auditors' Report, the Projected Net Cash Flow at Exhibit "B", and the Notes at Exhibit "C", are statements within the meaning of that word in s. 59 (s. 75)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Paragraph 31(a) of the Second Further Amended Statement of Claim alleges that the Developers, Directors and OHR expressly or impliedly represented and warranted to the Investors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return on investment would be sufficient to cover each Investor's assumed 75% mortgage plus cash returns on an assumed 25% down payment of 11.5% in 1999, 10.4% in 2000, 13.1% in 2001, 11.5% in 2002 and 11.5%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This statement in [paragraph] 31(a) is defined for the purpose of the pleading as 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All of the allegations within [paragraph] 31 are defined for the purpose of the pleading as "the Representations and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Paragraph 55 of the pleading alleges that for the purposes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the Investors are deemed to have relied on the Representations and Warranties by virtue of s. 75 of that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and this would include the defined Projections in [paragraph] 31(a).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reasons of August 26, 2008 I said at [paragraph] 105 that I intended to proceed on the basis that the "Projection" or "Projections" are those financial projections in Exhibit M consisting of Exhibits "A" and "B" to the Auditors' Report together with the assumptions and hypotheses as set out in Exhibit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following [paragraph] 106 I indicated that if it was considered necessary to amend the pleading to properly define the projections at issue in order to be consistent with the evidence then I grant such an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It is in the context of defining projections in that fashion that I said in [paragraph] 196 that I did not accept that the projection itself was a statement within s. 59 (s. 75)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Because I redefined the word "Projections" for the purpose of my reasons, and because the Projection was alleged to be a material false statement under s. 59 (s. 75), and because I dismissed the allegation that the Projection itself was a statement within s. 59 (s. 75)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 am prepared to insert the provision as submitted by the Developers.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next proposed provision is one that would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that the Developers breached the Sale Agreements and/or implied term of the Sale Agreements and/or warranties or agreements collateral to the Sale Agreements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[paragraphs] 40 - 43 of the Second Further Amended Statement of Claim the following allegations are made:</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Disclosure Statement and the Representations and Warranties contained therein were incorporated by reference into each Sale Agreement and became part of each Sale Agreement.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alternatively, the Representations and Warranties constitute warranties or contracts between the Developers and each of the Investors, collateral to each of the Sale Agreements.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an implied term of each of the Sale Agreements, or alternatively of agreements collateral thereto, that the Developers would at all times act in good faith and would not take any steps, or acquiesce in any steps being taken, that would prevent the Projections from being achieved.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an implied term of each of the Sale Agreements, or alternatively of agreements collateral thereto, that the Developers would at all times use their best efforts to ensure that the Projections were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Paragraph 58 of the pleading alleges: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Developers breached the Sale Agreements, or warranties or agreements collateral thereto, in that: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returns to Investors set out in the Projections have not been achieved;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the returns to Investors set out in the Projections were not achievable;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have failed to act in good faith in that they have taken steps, or acquiesced in steps being taken that prevented the Projections from being achieved;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failed to use their best efforts to ensure that the Projections were achieved;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restaurant is not independently owned and operated.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Developers' breaches of contract the Investors and each of them, have suffered loss, damage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prayer for relief also claims damages for breach of the Sale Agreements and breaches of collateral warranties or collateral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Plaintiffs' counsel submits that the first stage did not include within its scope claims for damages for breach of the Sale Agreements or any collateral warranties or contracts and that the plaintiff Investors made clear that they were not advancing any claim for a contractual warranty from the Developers that the projections would be achieved and no such issues featured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Plaintiff's counsel points out that at [paragraph] 225 of my reasons I noted that the Investors were not attacking the projections as not having been achieved in the final result as they recognized that they were not promised any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Plaintiffs' counsel expresses concern that dismissing claims of breach of the Sale Agreements or warranties or agreements collateral to the agreements may affect remaining claims with respect to the construction and operation of the hotel which were not part of the first stage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for the Developers and counsel for the OHR companies both submit that since the allegations were made in the Second Further Amended Statement of Claim, and were not withdrawn by the Plaintiffs, they should be dismissed as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share the concern of Plaintiffs' counsel that by dismissing the allegations made with respect to the Sale Agreements and warranties or agreements collateral that this could be prejudicial to the Plaintiffs' right to claim some of the same breaches with respect to the construction and operation of the hotel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breaches of contract are alleged in [paragraph] 58 of the pleading and by way of example sub-paragraph (a) alleges that one breach is that the returns to the Investors set out in the Projections have not been achieved. That is an allegation that was not a part of the first stage but may be a part of the second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not sure whether paragraphs (b) and (c) are meant to apply to the time before 1999 or after 1999 but considering that they might also be applicable to matters after 1999 I think it would be unwise to include a term as the Developers submit. Insofar as [paragraph] 58 applies to matters that were part of the first stage, that can be revisited at a later date when the issues of construction and operation of the hotel are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next provision submitted by the Developers is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that the Developers breached fiduciary and other duties owed to the strata corporation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agree with counsel for the OHR companies and counsel for the Plaintiffs that this is a claim of the strata corporation that was not part of the first stage at trial and should not be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next provision the Developers submit should be included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that there were false declarations by the Developers and Directors in the original Disclosure Statement in 1996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Developers' counsel points out that in my reasons of August 26, 2008 I concluded that there were no false declarations by the Developer and its Directors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Plaintiffs' counsel expresses concern that such a provision could be construed to also dismiss any allegation that the 1996 declarations were false because the Disclosure Statement contained an untrue statement of material fact in Note 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Plaintiffs' counsel submits that the provision should be limited to the allegations I recited in [paragraph] 661 of my reasons that there was no disclosure in the HVS opinion letter of the future occupancy rates HVS projected for the competitive market in the projection period of 1999 - 2003 and there was no disclosure of 34.8% as the projected hotel room demand growth from 1996 to 1999 to go along with the disclosed 60% projected hotel room supply growth in the same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dismissed both those allegations as being related to projections and not to "facts" of which the declarations spoke.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Plaintiffs' closing submissions Note 2(a) was dealt with independently as a false statement of fact under s. 59 (s. 75). Following consideration of Note 2(a) in that contract the submission went on to deal with the issue of full true and plain disclosure of all material facts in the declarations to the Disclosure Statement and confined those allegations to the issue of disclosure of future occupancy rates expected for the competitive market in 1999 - 2003 and no disclosure of expected demand growth in room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No mention was made in the closing submission of any allegation that the declarations were also false because Note 2(a) was included in the Disclosure Statement as an untrue statement of material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the principle that all matters properly within the first stage should be raised there I agree that the Developers' provision should be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next provision submitted by the Developers is as follows:</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claim that the Developers, Directors, OHR, OHR Grand and HVS breached a duty to disclose to the Investors facts, circumstances and risks of which they were aware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This provision mirrors the allegation of duty to disclose as the Plaintiffs set out in [paragraph] 56 of the Second 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Plaintiffs' counsel submits that this provision would not be consistent with the fact that in the form of the order that I indicated that I would sign by my reasons of November 17, 2008, I included a finding that the budget for 1999 should have been disclosed through an amendment to the Disclosure Statement and also said that delivery of Schedule D with the HMA in 1999 constituted a representation by the Developers and the defendant OHR Grand that the first year operating plan and budget remained the same as had been set out originally in Schedule D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Plaintiffs' counsel submits that it is impossible to determine this issue of duty to disclose until the issues related to the 1999 representations are determined and they are presently left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the proposal as presented to be far too broad as I accept the concerns of the Plaintiffs' counsel. I decline to include it in the judgment at this time. This also can be revisited when the 1999 representations are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Finally the Developers submit that the following provisions should be included as well:</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that the Developers, the Directors, OHR and HVS breached a duty to review and change the Projections before the Investors completed their purchases to reflect changes in circumstances that they knew or ought to have known made the Projections unreliable or increased the risk that they would not be achieved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Paragraph 54(e) of the Second Further Amended Statement of Claim alleges that the Developers, the Directors, OHR and HVS failed to review and change the projections before the Investors completed their purchases to reflect changes in circumstances that they knew or ought to have known made the projections unreliable and increased the risk that they would not be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my reasons of August 26, 2008 I dealt with the obligation of the Developers to disclose changes to any stated beliefs in the Disclosure Statement as to the projection and the assumptions and hypotheses surrounding the projections, by way of an amendment to the Disclosure Statement and I concluded that no amendment was required for any change of beliefs as to the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As to any common law obligations to make further disclosure beyond the requirements for an amendment to the Disclosure Statement I concluded that s. 56 (s. 73) of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xml:space="preserve"> was a complete code of disclosure requirements and if changes in matters after the original Disclosure Statement are not required by s. 56 to be disclosed then there are no additional common law obligations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Again Plaintiffs' counsel opposes the inclusion of this provision on the basis that it may prejudice the claims with respect to purchasers who purchased after the closing in April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Consistent with my decision that apart from an amendment to the Disclosure Statement required under the </w:t>
      </w:r>
      <w:r>
        <w:rPr>
          <w:rFonts w:ascii="arial" w:eastAsia="arial" w:hAnsi="arial" w:cs="arial"/>
          <w:b/>
          <w:i/>
          <w:color w:val="000000"/>
          <w:sz w:val="20"/>
          <w:lang w:val="en-US" w:eastAsia="en-US" w:bidi="ar-SA"/>
        </w:rPr>
        <w:t>Real Estate Act</w:t>
      </w:r>
      <w:r>
        <w:rPr>
          <w:rFonts w:ascii="arial" w:eastAsia="arial" w:hAnsi="arial" w:cs="arial"/>
          <w:color w:val="000000"/>
          <w:sz w:val="20"/>
          <w:lang w:val="en-US" w:eastAsia="en-US" w:bidi="ar-SA"/>
        </w:rPr>
        <w:t>, there is no common law obligation to make further disclosure beyond the requirements for an amendment, I believe it is appropriate to include the provision as set out by the Developers but at this time restricted to purchasers who purchased before closing on April 13,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Counsel for the OHR companies also submits a provision should be put in the formal order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claim that the Developers, the Directors and OHR made fraudulent representations in the marketing brochure "The key to financial success is being in the right place at the right time" and in the Auditors' Report dated November 8, 1996 and attached financial statements and HVS opinion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Paragraph 34 of the Second Further Amended Statement of Claim alleges that the "Representations and Warranties", including the "Projections" were also made to the Investors in and by marketing brochures and newsletters distributed in 1996 and the spring of 1998 and by the Developers' sales agents, full particulars of which will be given at or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allegation contained in [paragraph] 34 was repeated in the Plaintiffs' opening statement but was not the subject of any evidence at trial that I can remember and was not the subject of any submission in the Plaintiffs' closing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Nevertheless the Plaintiffs never withdrew this allegation and I am prepared to include a provision dismissing the allegations in [paragraph] 34 of the Second Further Amended Statement of Claim as they are worded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with the allegation that a fraudulent misrepresentation was made based on the Issues for Trial but not on the pleading, I decline to put that allegation in the formal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believe I have covered all the provisions the defendants seek to include in the judgment and I expect that counsel can now draft a final judgment for me to sign incorporating the provisions I have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 w:history="1">
        <w:r>
          <w:rPr>
            <w:rFonts w:ascii="arial" w:eastAsia="arial" w:hAnsi="arial" w:cs="arial"/>
            <w:b/>
            <w:bCs/>
            <w:i/>
            <w:color w:val="0077CC"/>
            <w:kern w:val="32"/>
            <w:sz w:val="28"/>
            <w:szCs w:val="32"/>
            <w:u w:val="single"/>
            <w:shd w:val="clear" w:color="auto" w:fill="FFFFFF"/>
            <w:lang w:val="en-US" w:eastAsia="en-US" w:bidi="ar-SA"/>
          </w:rPr>
          <w:t>Ultra Care Pharmacy Ltd. v. Garvin's Holdings Ltd., [2017] B.C.J. No. 305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L. Muir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S158090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305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Ultra Care Pharmacy Ltd., and Satnam Pharmacy Ltd., Plaintiffs, and Garvin's Holdings Ltd., Medfar Holdings Ltd., and 497859 B.C. Ltd., Defendants, and Thomas Andison,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9"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 w:name="Keywords_2"/>
      <w:bookmarkEnd w:id="18"/>
      <w:r>
        <w:rPr>
          <w:rFonts w:ascii="arial" w:eastAsia="arial" w:hAnsi="arial" w:cs="arial"/>
          <w:b/>
          <w:color w:val="000000"/>
          <w:sz w:val="20"/>
          <w:lang w:val="en-US" w:eastAsia="en-US" w:bidi="ar-SA"/>
        </w:rPr>
        <w:t>Civil litigation — Civil procedure — Parties — Adding or substituting — Application by plaintiffs to add Stein defendants as parties to action allowed — Defendants owned adjacent properties sharing common parking lot — Plaintiffs alleged Stein parties were professional retail pharmacy consultants who held themselves out as agents of owners for negotiating lease with plaintiffs for pharmacy premises — Plaintiffs alleged subsequent sale of property was meant to include exclusive restrictive covenant to induce new lease agreement — Covenant was executed, but not registered, and competing pharmacy was planned — Plaintiffs alleged Stein defendants, as agents of owners, misrepresented covenant's perfection — Stein parties added, with limitation defence preserved for trial — British Columbia Supreme Court Civil Rules, Rules 6-2(7)(b), 6-2(7)(c).</w:t>
      </w:r>
    </w:p>
    <w:p>
      <w:pPr>
        <w:jc w:val="both"/>
        <w:rPr>
          <w:rFonts w:ascii="arial" w:eastAsia="arial" w:hAnsi="arial" w:cs="arial"/>
          <w:sz w:val="20"/>
          <w:lang w:val="en-US" w:eastAsia="en-US" w:bidi="ar-SA"/>
        </w:rPr>
      </w:pPr>
      <w:bookmarkStart w:id="19" w:name="Legislation Cited_1"/>
      <w:bookmarkEnd w:id="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0"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6-1, Rule 6-2(7)(b), Rule 6-2(7)(c)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 w:name="Counsel_2"/>
      <w:bookmarkEnd w:id="2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J.D. Fisher, J.D. Maledy.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Defendants (Application Respondents), Ronald Lewis Stein doing business as Strategic Investments and Westlynn Investments Ltd.: J.D.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Defendants (Application Respondents),McQuarrie Hunter LLP and Aleksandra Tundak: No appearance.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 w:name="Judgment_2"/>
      <w:bookmarkEnd w:id="21"/>
      <w:r>
        <w:pict>
          <v:line id="_x0000_s1042"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 w:name="MASTER L. MUIR"/>
            <w:bookmarkEnd w:id="22"/>
            <w:r>
              <w:rPr>
                <w:rFonts w:ascii="arial" w:eastAsia="arial" w:hAnsi="arial" w:cs="arial"/>
                <w:b/>
                <w:color w:val="000000"/>
                <w:sz w:val="30"/>
                <w:lang w:val="en-US" w:eastAsia="en-US" w:bidi="ar-SA"/>
              </w:rPr>
              <w:t>MASTER L. MUIR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was an application by the plaintiffs for an order to add McQuarrie Hunter LLP, Aleksandra Tundak (formerly, Rennebohm), Westlynn Investments Ltd. (Westlynn"), and Ronald Lewis Stein doing business as Strategic Investments ("Strategic") to the action. I will refer to the latter two application respondents as the "Stein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also apply for leave to amend the notice of civil claim in the form attached to the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joinder of McQuarrie Hunter LLP and Aleksandra Tundak is not opposed and that order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the Stein parties argued they had been surprised by arguments made by the plaintiffs at the hearing of this matter regarding the applicable limitation period, I received further written submissions on the point from the Stein parties on January 13, 2017 and from the plaintiffs on January 20,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Garvin's Holdings Ltd., Medfar Holdings Ltd. and 497859 B.C. Ltd., (collectively, the "Owners") were the owners of three adjacent properties in Surrey, British Columbia. The properties share a common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proposed amended notice of civil claim sets out various facts regarding the involvement of the Stein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alleged that Strategic is an unincorporated division of Westlynn and that Westlynn is vicariously liable for the actions of Strategic.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Stein parties are said to have been professional retail pharmacy consultants. It is said that in or about September 1999, one of the plaintiffs, Ultra Care Pharmacy Ltd. ("Ultra Care") was approached by Mr. Stein, either on behalf of Westlynn or Strategic or both, about an opportunity to lease pharmacy space in the Owners'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said that the Stein parties held themselves out as agents of the Owners for the purpose of negotiating a lease with the plaintiffs for the pharmacy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a part of the deal, the Owners are said to have granted the exclusive right to the plaintiffs to operate a pharmacy on the Owners'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Shortly afterwards, the Owners planned to sell the piece of property with the plaintiff's pharmacy to Kiran Plaza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an inducement to the plaintiffs to enter into a new lease agreement with Kiran Plaza Inc., the Owners agreed to a restrictive covenant, giving effect to the exclusivity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restrictive covenant was executed but was allegedly never provided to the plaintiffs, nor was it registered on title to the Owners'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alleged that the Stein parties, as the agents of the Owners, misrepresented that the Owners had provided an effective and perfected restrictive covenant and were negligent with respect to the failure to register the restrictive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alternative, it is pleaded that the Stein parties were negligent and in breach of a dual agency agreement with the plaintiffs in failing to ensure that the restrictive covenant was registered, misrepresented that the restrictive covenant was effective and perfected, or that they failed to warn the plaintiffs that the restrictive covenant had not been registered on title to the Owners'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the response to civil claim filed in October 2015, the Owners take the position that the restrictive covenant was executed and provided to Ronald Stein as agent for Ultra Care. They take the position that the failure to register the restrictive covenant was the fault of the plaintiffs or their agents, and plead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2011, the plaintiffs discovered that the Owners were planning on allowing a competing pharmacy on the Owners'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retained McQuarrie Hunter LLP and Ms. Tundak, a lawyer practicing at McQuarrie Hunter LLP at the time, to represent them and, apparently, McQuarrie Hunter LLP and Ms. Tundak were successful in convincing the Owners not to proceed with allowing a competing pharmacy to open on the Owners' property. However, it is alleged that McQuarrie Hunter LLP and Ms. Tundak either did not learn that the restrictive covenant had not been registered or that the information was not shared with the plaintiffs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June of 2015, the plaintiffs learned that another company had plans to open a pharmacy on the Owners' property. The plaintiffs advised that company of the restrictive covenant. They were advised by that company that the restrictive covenant was not registered on title to the Owners' property and that the Owners had not advised the company of the restrictive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say that they have acted, from November 1999 to present, on the understanding that the restrictive covenant was registered and would protect their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claim that the actions of the Owners and the Stein parties caused them loss and expense, including payment of increased rent for the premises since November 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list of documents was provided by the Owners dated September 23, 2016. From the documents listed, the plaintiffs obtained a copy of the contract entered between the Stein parties and the defendant, Garvin's Holdings Ltd. dated December 21, 1998. The contract is on Strategic's letterhead, noted as a division of Westlynn, and signed by Mr. Stein as president of Westlynn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contract provided, amongst other things, for the Stein parties to assist Garvin's Holdings Ltd. in finding a pharmacy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examination for discovery, Mr. Garvin, the principal of Garvin's Holdings Ltd., said that he considered Mr. Stein a dual agent for the Owners and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Garvin deposed that he paid Mr. Stein a commission for acting for both the Owners and any pharmacist he located as a tenant for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Fabina Kara, a principal of the plaintiffs, deposed that Mr. Stein worked with her and Mr. Garvin to complete the transaction and that Mr. Stein represented to her that the transaction was complete as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was no dispute as to the applicable principles that are to be considered on an application to add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rules relied upon are Rule 6-1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regarding the amendment of the pleadings, and Rules 6-2(7)(b) and (c), regarding the addition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application to add the Stein parties as defendants is the primary issue here. Rules 6-2(7)(b) and (c) provide:</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Both parties referred me to the discussion in </w:t>
      </w:r>
      <w:r>
        <w:rPr>
          <w:rFonts w:ascii="arial" w:eastAsia="arial" w:hAnsi="arial" w:cs="arial"/>
          <w:i/>
          <w:color w:val="000000"/>
          <w:sz w:val="20"/>
          <w:lang w:val="en-US" w:eastAsia="en-US" w:bidi="ar-SA"/>
        </w:rPr>
        <w:t>Meade v Armstrong (City)</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2011 BCSC 1591</w:t>
        </w:r>
      </w:hyperlink>
      <w:r>
        <w:rPr>
          <w:rFonts w:ascii="arial" w:eastAsia="arial" w:hAnsi="arial" w:cs="arial"/>
          <w:color w:val="000000"/>
          <w:sz w:val="20"/>
          <w:lang w:val="en-US" w:eastAsia="en-US" w:bidi="ar-SA"/>
        </w:rPr>
        <w:t>, where the principles are discussed in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Mr. Meade's application is brought under Rules 6-1(1) and 6-2 (7)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These rules are to be interpreted as follows: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party should be added where that party's participation is necessary for the proper determination of the case: </w:t>
      </w:r>
      <w:r>
        <w:rPr>
          <w:rFonts w:ascii="arial" w:eastAsia="arial" w:hAnsi="arial" w:cs="arial"/>
          <w:i/>
          <w:color w:val="000000"/>
          <w:sz w:val="20"/>
          <w:lang w:val="en-US" w:eastAsia="en-US" w:bidi="ar-SA"/>
        </w:rPr>
        <w:t>Van de Perre v. Edwards</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2001 SCC 60</w:t>
        </w:r>
      </w:hyperlink>
      <w:r>
        <w:rPr>
          <w:rFonts w:ascii="arial" w:eastAsia="arial" w:hAnsi="arial" w:cs="arial"/>
          <w:color w:val="000000"/>
          <w:sz w:val="20"/>
          <w:lang w:val="en-US" w:eastAsia="en-US" w:bidi="ar-SA"/>
        </w:rPr>
        <w:t xml:space="preserve"> (CanLII), </w:t>
      </w:r>
      <w:hyperlink r:id="rId58" w:history="1">
        <w:r>
          <w:rPr>
            <w:rFonts w:ascii="arial" w:eastAsia="arial" w:hAnsi="arial" w:cs="arial"/>
            <w:i/>
            <w:color w:val="0077CC"/>
            <w:sz w:val="20"/>
            <w:u w:val="single"/>
            <w:shd w:val="clear" w:color="auto" w:fill="FFFFFF"/>
            <w:lang w:val="en-US" w:eastAsia="en-US" w:bidi="ar-SA"/>
          </w:rPr>
          <w:t>[2001] 2 S.C.R. 1014</w:t>
        </w:r>
      </w:hyperlink>
      <w:r>
        <w:rPr>
          <w:rFonts w:ascii="arial" w:eastAsia="arial" w:hAnsi="arial" w:cs="arial"/>
          <w:color w:val="000000"/>
          <w:sz w:val="20"/>
          <w:lang w:val="en-US" w:eastAsia="en-US" w:bidi="ar-SA"/>
        </w:rPr>
        <w:t xml:space="preserve"> at para. 48;</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discretion to add parties should be generously exercised so as to enable effective adjudication upon all matters: </w:t>
      </w:r>
      <w:r>
        <w:rPr>
          <w:rFonts w:ascii="arial" w:eastAsia="arial" w:hAnsi="arial" w:cs="arial"/>
          <w:i/>
          <w:color w:val="000000"/>
          <w:sz w:val="20"/>
          <w:lang w:val="en-US" w:eastAsia="en-US" w:bidi="ar-SA"/>
        </w:rPr>
        <w:t>Northern Construction Co. v. British Columbia Hydro and Power Authority</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[1970] B.C.J. No. 26</w:t>
        </w:r>
      </w:hyperlink>
      <w:r>
        <w:rPr>
          <w:rFonts w:ascii="arial" w:eastAsia="arial" w:hAnsi="arial" w:cs="arial"/>
          <w:color w:val="000000"/>
          <w:sz w:val="20"/>
          <w:lang w:val="en-US" w:eastAsia="en-US" w:bidi="ar-SA"/>
        </w:rPr>
        <w:t xml:space="preserve"> at para. 14;</w:t>
      </w:r>
    </w:p>
    <w:p>
      <w:pPr>
        <w:numPr>
          <w:numId w:val="1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exercising the discretion to add a party, the court should not concern itself as to whether the action will be successful other than to be satisfied that there may exist an issue or question between the applicant and the party being joined: </w:t>
      </w:r>
      <w:r>
        <w:rPr>
          <w:rFonts w:ascii="arial" w:eastAsia="arial" w:hAnsi="arial" w:cs="arial"/>
          <w:i/>
          <w:color w:val="000000"/>
          <w:sz w:val="20"/>
          <w:lang w:val="en-US" w:eastAsia="en-US" w:bidi="ar-SA"/>
        </w:rPr>
        <w:t>MacMillan Bloedel Ltd. v. Binstead</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1984 CanLII 351</w:t>
        </w:r>
      </w:hyperlink>
      <w:r>
        <w:rPr>
          <w:rFonts w:ascii="arial" w:eastAsia="arial" w:hAnsi="arial" w:cs="arial"/>
          <w:color w:val="000000"/>
          <w:sz w:val="20"/>
          <w:lang w:val="en-US" w:eastAsia="en-US" w:bidi="ar-SA"/>
        </w:rPr>
        <w:t xml:space="preserve"> (BC CA), </w:t>
      </w:r>
      <w:hyperlink r:id="rId60" w:history="1">
        <w:r>
          <w:rPr>
            <w:rFonts w:ascii="arial" w:eastAsia="arial" w:hAnsi="arial" w:cs="arial"/>
            <w:i/>
            <w:color w:val="0077CC"/>
            <w:sz w:val="20"/>
            <w:u w:val="single"/>
            <w:shd w:val="clear" w:color="auto" w:fill="FFFFFF"/>
            <w:lang w:val="en-US" w:eastAsia="en-US" w:bidi="ar-SA"/>
          </w:rPr>
          <w:t>[1981] B.C.J. No. 1611</w:t>
        </w:r>
      </w:hyperlink>
      <w:r>
        <w:rPr>
          <w:rFonts w:ascii="arial" w:eastAsia="arial" w:hAnsi="arial" w:cs="arial"/>
          <w:color w:val="000000"/>
          <w:sz w:val="20"/>
          <w:lang w:val="en-US" w:eastAsia="en-US" w:bidi="ar-SA"/>
        </w:rPr>
        <w:t xml:space="preserve"> at para. 12;</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is not required in support of a joinder application. The pleadings may be sufficient to establish that there is a question to be tried between the parties: </w:t>
      </w:r>
      <w:r>
        <w:rPr>
          <w:rFonts w:ascii="arial" w:eastAsia="arial" w:hAnsi="arial" w:cs="arial"/>
          <w:i/>
          <w:color w:val="000000"/>
          <w:sz w:val="20"/>
          <w:lang w:val="en-US" w:eastAsia="en-US" w:bidi="ar-SA"/>
        </w:rPr>
        <w:t>Lasik Vision Canada Inc. v. TLC Vancouver Optometric Group Inc.</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[1999] B.C.J. No. 2796</w:t>
        </w:r>
      </w:hyperlink>
      <w:r>
        <w:rPr>
          <w:rFonts w:ascii="arial" w:eastAsia="arial" w:hAnsi="arial" w:cs="arial"/>
          <w:color w:val="000000"/>
          <w:sz w:val="20"/>
          <w:lang w:val="en-US" w:eastAsia="en-US" w:bidi="ar-SA"/>
        </w:rPr>
        <w:t xml:space="preserve"> at para. 15;</w:t>
      </w:r>
    </w:p>
    <w:p>
      <w:pPr>
        <w:numPr>
          <w:numId w:val="1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an applicant relies on pleadings alone, the facts alleged, which if assumed to be true, must disclose a cause of action: </w:t>
      </w:r>
      <w:r>
        <w:rPr>
          <w:rFonts w:ascii="arial" w:eastAsia="arial" w:hAnsi="arial" w:cs="arial"/>
          <w:i/>
          <w:color w:val="000000"/>
          <w:sz w:val="20"/>
          <w:lang w:val="en-US" w:eastAsia="en-US" w:bidi="ar-SA"/>
        </w:rPr>
        <w:t>Harrington (Guardian ad litem) v. Pappachristos</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[1992] B.C.J. No. 2600</w:t>
        </w:r>
      </w:hyperlink>
      <w:r>
        <w:rPr>
          <w:rFonts w:ascii="arial" w:eastAsia="arial" w:hAnsi="arial" w:cs="arial"/>
          <w:color w:val="000000"/>
          <w:sz w:val="20"/>
          <w:lang w:val="en-US" w:eastAsia="en-US" w:bidi="ar-SA"/>
        </w:rPr>
        <w:t>;</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Unless there is prejudice, amendments should be granted liberally to enable the issues to be tried: </w:t>
      </w:r>
      <w:r>
        <w:rPr>
          <w:rFonts w:ascii="arial" w:eastAsia="arial" w:hAnsi="arial" w:cs="arial"/>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1996 CanLII 1433</w:t>
        </w:r>
      </w:hyperlink>
      <w:r>
        <w:rPr>
          <w:rFonts w:ascii="arial" w:eastAsia="arial" w:hAnsi="arial" w:cs="arial"/>
          <w:color w:val="000000"/>
          <w:sz w:val="20"/>
          <w:lang w:val="en-US" w:eastAsia="en-US" w:bidi="ar-SA"/>
        </w:rPr>
        <w:t xml:space="preserve"> (BC CA), </w:t>
      </w:r>
      <w:hyperlink r:id="rId63" w:history="1">
        <w:r>
          <w:rPr>
            <w:rFonts w:ascii="arial" w:eastAsia="arial" w:hAnsi="arial" w:cs="arial"/>
            <w:i/>
            <w:color w:val="0077CC"/>
            <w:sz w:val="20"/>
            <w:u w:val="single"/>
            <w:shd w:val="clear" w:color="auto" w:fill="FFFFFF"/>
            <w:lang w:val="en-US" w:eastAsia="en-US" w:bidi="ar-SA"/>
          </w:rPr>
          <w:t>[1996] B.C.J. No. 550</w:t>
        </w:r>
      </w:hyperlink>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parties also referred me to </w:t>
      </w:r>
      <w:r>
        <w:rPr>
          <w:rFonts w:ascii="arial" w:eastAsia="arial" w:hAnsi="arial" w:cs="arial"/>
          <w:i/>
          <w:color w:val="000000"/>
          <w:sz w:val="20"/>
          <w:lang w:val="en-US" w:eastAsia="en-US" w:bidi="ar-SA"/>
        </w:rPr>
        <w:t>Strata Plan VIS3578 v. Canan Investment Group Ltd.</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which deals with joinder of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Subrule 15(5)(a)(iii) thus establishes two requirements that an applicant must prove to succeed in joining a new defendant. First, it must show that there is a question or issue between the plaintiff and the proposed defendant that relates to the relief, remedy, or subject matter of the proceeding. The threshold is low. It has been expressed as establishing simply that there is a real issue between them that is not frivolous, or that the plaintiff has a possible cause of action against the proposed party. This requirement may be met solely on the basis of proposed amendments to the statement of claim, or the parties may provide affidavit evidence addressing it. If evidence is provided, the court is not to weigh it and assess whether the plaintiff could prove the allegations. It is limited to examining the evidence only to the extent necessary to determine if the required issue between the parties exists: </w:t>
      </w:r>
      <w:r>
        <w:rPr>
          <w:rFonts w:ascii="arial" w:eastAsia="arial" w:hAnsi="arial" w:cs="arial"/>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(CanLII), </w:t>
      </w:r>
      <w:hyperlink r:id="rId65" w:history="1">
        <w:r>
          <w:rPr>
            <w:rFonts w:ascii="arial" w:eastAsia="arial" w:hAnsi="arial" w:cs="arial"/>
            <w:i/>
            <w:color w:val="0077CC"/>
            <w:sz w:val="20"/>
            <w:u w:val="single"/>
            <w:shd w:val="clear" w:color="auto" w:fill="FFFFFF"/>
            <w:lang w:val="en-US" w:eastAsia="en-US" w:bidi="ar-SA"/>
          </w:rPr>
          <w:t>33 B.C.L.R. (4th)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MacMillan Bloedel Ltd. v. Binstead et al</w:t>
      </w:r>
      <w:r>
        <w:rPr>
          <w:rFonts w:ascii="arial" w:eastAsia="arial" w:hAnsi="arial" w:cs="arial"/>
          <w:color w:val="000000"/>
          <w:sz w:val="20"/>
          <w:lang w:val="en-US" w:eastAsia="en-US" w:bidi="ar-SA"/>
        </w:rPr>
        <w:t xml:space="preserve">. (1981), </w:t>
      </w:r>
      <w:hyperlink r:id="rId60" w:history="1">
        <w:r>
          <w:rPr>
            <w:rFonts w:ascii="arial" w:eastAsia="arial" w:hAnsi="arial" w:cs="arial"/>
            <w:i/>
            <w:color w:val="0077CC"/>
            <w:sz w:val="20"/>
            <w:u w:val="single"/>
            <w:shd w:val="clear" w:color="auto" w:fill="FFFFFF"/>
            <w:lang w:val="en-US" w:eastAsia="en-US" w:bidi="ar-SA"/>
          </w:rPr>
          <w:t>1984 CanLII 351</w:t>
        </w:r>
      </w:hyperlink>
      <w:r>
        <w:rPr>
          <w:rFonts w:ascii="arial" w:eastAsia="arial" w:hAnsi="arial" w:cs="arial"/>
          <w:color w:val="000000"/>
          <w:sz w:val="20"/>
          <w:lang w:val="en-US" w:eastAsia="en-US" w:bidi="ar-SA"/>
        </w:rPr>
        <w:t xml:space="preserve"> (BC CA), </w:t>
      </w:r>
      <w:hyperlink r:id="rId60" w:history="1">
        <w:r>
          <w:rPr>
            <w:rFonts w:ascii="arial" w:eastAsia="arial" w:hAnsi="arial" w:cs="arial"/>
            <w:i/>
            <w:color w:val="0077CC"/>
            <w:sz w:val="20"/>
            <w:u w:val="single"/>
            <w:shd w:val="clear" w:color="auto" w:fill="FFFFFF"/>
            <w:lang w:val="en-US" w:eastAsia="en-US" w:bidi="ar-SA"/>
          </w:rPr>
          <w:t>58 B.C.L.R. 173</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If this first requirement is met, the court must next determine whether it would be just and convenient to decide the issue between the parties in this proceeding. This is a discretionary decision, but that discretion is fettered to the extent that it must be exercised judicially, and in accord with the evidence adduced and the guidelines established in the authorities: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(CanLII), </w:t>
      </w:r>
      <w:hyperlink r:id="rId66" w:history="1">
        <w:r>
          <w:rPr>
            <w:rFonts w:ascii="arial" w:eastAsia="arial" w:hAnsi="arial" w:cs="arial"/>
            <w:i/>
            <w:color w:val="0077CC"/>
            <w:sz w:val="20"/>
            <w:u w:val="single"/>
            <w:shd w:val="clear" w:color="auto" w:fill="FFFFFF"/>
            <w:lang w:val="en-US" w:eastAsia="en-US" w:bidi="ar-SA"/>
          </w:rPr>
          <w:t>82 B.C.L.R. (3d) 296</w:t>
        </w:r>
      </w:hyperlink>
      <w:r>
        <w:rPr>
          <w:rFonts w:ascii="arial" w:eastAsia="arial" w:hAnsi="arial" w:cs="arial"/>
          <w:color w:val="000000"/>
          <w:sz w:val="20"/>
          <w:lang w:val="en-US" w:eastAsia="en-US" w:bidi="ar-SA"/>
        </w:rPr>
        <w:t xml:space="preserve">. At para. 29 of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Esson J.A., writing for the Court, adopted the list of factors to be considered from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(1996), </w:t>
      </w:r>
      <w:hyperlink r:id="rId67" w:history="1">
        <w:r>
          <w:rPr>
            <w:rFonts w:ascii="arial" w:eastAsia="arial" w:hAnsi="arial" w:cs="arial"/>
            <w:i/>
            <w:color w:val="0077CC"/>
            <w:sz w:val="20"/>
            <w:u w:val="single"/>
            <w:shd w:val="clear" w:color="auto" w:fill="FFFFFF"/>
            <w:lang w:val="en-US" w:eastAsia="en-US" w:bidi="ar-SA"/>
          </w:rPr>
          <w:t>1996 CanLII 3033</w:t>
        </w:r>
      </w:hyperlink>
      <w:r>
        <w:rPr>
          <w:rFonts w:ascii="arial" w:eastAsia="arial" w:hAnsi="arial" w:cs="arial"/>
          <w:color w:val="000000"/>
          <w:sz w:val="20"/>
          <w:lang w:val="en-US" w:eastAsia="en-US" w:bidi="ar-SA"/>
        </w:rPr>
        <w:t xml:space="preserve"> (BC CA), </w:t>
      </w:r>
      <w:hyperlink r:id="rId67" w:history="1">
        <w:r>
          <w:rPr>
            <w:rFonts w:ascii="arial" w:eastAsia="arial" w:hAnsi="arial" w:cs="arial"/>
            <w:i/>
            <w:color w:val="0077CC"/>
            <w:sz w:val="20"/>
            <w:u w:val="single"/>
            <w:shd w:val="clear" w:color="auto" w:fill="FFFFFF"/>
            <w:lang w:val="en-US" w:eastAsia="en-US" w:bidi="ar-SA"/>
          </w:rPr>
          <w:t>71 B.C.A.C. 161</w:t>
        </w:r>
      </w:hyperlink>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 B.C.L.R. (3d) 282</w:t>
        </w:r>
      </w:hyperlink>
      <w:r>
        <w:rPr>
          <w:rFonts w:ascii="arial" w:eastAsia="arial" w:hAnsi="arial" w:cs="arial"/>
          <w:color w:val="000000"/>
          <w:sz w:val="20"/>
          <w:lang w:val="en-US" w:eastAsia="en-US" w:bidi="ar-SA"/>
        </w:rPr>
        <w:t>, a decision that dealt with adding further claims under R. 24. These include the extent of the delay, the reasons and any explanation for the delay, any prejudice arising from the delay, and the degree of connection between the existing action and the new parties and claims contemplated. The overriding question is what is just and convenient in the circumstances of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to the existence of a limitation defence, the court in </w:t>
      </w:r>
      <w:r>
        <w:rPr>
          <w:rFonts w:ascii="arial" w:eastAsia="arial" w:hAnsi="arial" w:cs="arial"/>
          <w:i/>
          <w:color w:val="000000"/>
          <w:sz w:val="20"/>
          <w:lang w:val="en-US" w:eastAsia="en-US" w:bidi="ar-SA"/>
        </w:rPr>
        <w:t>Strata Plan VIS3578</w:t>
      </w:r>
      <w:r>
        <w:rPr>
          <w:rFonts w:ascii="arial" w:eastAsia="arial" w:hAnsi="arial" w:cs="arial"/>
          <w:color w:val="000000"/>
          <w:sz w:val="20"/>
          <w:lang w:val="en-US" w:eastAsia="en-US" w:bidi="ar-SA"/>
        </w:rPr>
        <w:t xml:space="preserve"> considered the matter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existence of a limitation defence is a relevant, but not determinative, factor in deciding whether to permit joinder, since the effect of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to extinguish such a defence if the proposed defendant is added. In </w:t>
      </w:r>
      <w:r>
        <w:rPr>
          <w:rFonts w:ascii="arial" w:eastAsia="arial" w:hAnsi="arial" w:cs="arial"/>
          <w:i/>
          <w:color w:val="000000"/>
          <w:sz w:val="20"/>
          <w:lang w:val="en-US" w:eastAsia="en-US" w:bidi="ar-SA"/>
        </w:rPr>
        <w:t>Brito (Guardian ad litem of) v. Wooley</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(1997), 15 C.P.C. (4th) 255</w:t>
        </w:r>
      </w:hyperlink>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[1997] B.C.J. No. 2487</w:t>
        </w:r>
      </w:hyperlink>
      <w:r>
        <w:rPr>
          <w:rFonts w:ascii="arial" w:eastAsia="arial" w:hAnsi="arial" w:cs="arial"/>
          <w:color w:val="000000"/>
          <w:sz w:val="20"/>
          <w:lang w:val="en-US" w:eastAsia="en-US" w:bidi="ar-SA"/>
        </w:rPr>
        <w:t xml:space="preserve">, Joyce J. set out a three step approach to considering a possible limitation defence, which was adopted by this Court in </w:t>
      </w:r>
      <w:r>
        <w:rPr>
          <w:rFonts w:ascii="arial" w:eastAsia="arial" w:hAnsi="arial" w:cs="arial"/>
          <w:i/>
          <w:color w:val="000000"/>
          <w:sz w:val="20"/>
          <w:lang w:val="en-US" w:eastAsia="en-US" w:bidi="ar-SA"/>
        </w:rPr>
        <w:t>Strata Plan LMS 1725 v. Star Masonry Ltd.</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2007 BCCA 611</w:t>
        </w:r>
      </w:hyperlink>
      <w:r>
        <w:rPr>
          <w:rFonts w:ascii="arial" w:eastAsia="arial" w:hAnsi="arial" w:cs="arial"/>
          <w:color w:val="000000"/>
          <w:sz w:val="20"/>
          <w:lang w:val="en-US" w:eastAsia="en-US" w:bidi="ar-SA"/>
        </w:rPr>
        <w:t xml:space="preserve"> (CanLII), </w:t>
      </w:r>
      <w:hyperlink r:id="rId69" w:history="1">
        <w:r>
          <w:rPr>
            <w:rFonts w:ascii="arial" w:eastAsia="arial" w:hAnsi="arial" w:cs="arial"/>
            <w:i/>
            <w:color w:val="0077CC"/>
            <w:sz w:val="20"/>
            <w:u w:val="single"/>
            <w:shd w:val="clear" w:color="auto" w:fill="FFFFFF"/>
            <w:lang w:val="en-US" w:eastAsia="en-US" w:bidi="ar-SA"/>
          </w:rPr>
          <w:t>73 B.C.L.R. (4th) 154</w:t>
        </w:r>
      </w:hyperlink>
      <w:r>
        <w:rPr>
          <w:rFonts w:ascii="arial" w:eastAsia="arial" w:hAnsi="arial" w:cs="arial"/>
          <w:color w:val="000000"/>
          <w:sz w:val="20"/>
          <w:lang w:val="en-US" w:eastAsia="en-US" w:bidi="ar-SA"/>
        </w:rPr>
        <w:t xml:space="preserve"> at para. 12. I summarize it as follows:</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clear there is no accrued limitation defence, the only question is whether it will be more convenient to have one or two actions since the plaintiff will be able to commence a new action against the proposed defendant if it is unsuccessful in the joinder application.</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is clear there is an accrued limitation defence, the question is whether it will nevertheless be just and convenient to add the party, notwithstanding it will lose that defence. The answer to that question will emerge from consideration of the factors set out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parties disagree as to whether there is an accrued limitation defence, and a court cannot determine this issue on the joinder application, the court should proceed by assuming that there is a limitation defence, and consider whether it is just and convenient to add the party, even though the result will be the elimination of that defence. If that question is answered affirmatively, an order for joinder should be made, and it becomes unnecessary to deal with the limitation issue since it will be extinguished by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There is also a fourth option, an alternative to the third step, set out by Lambert J.A. in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1987 CanLII 164 (BC CA), [1987] W.W.R. 49, </w:t>
      </w:r>
      <w:hyperlink r:id="rId70" w:history="1">
        <w:r>
          <w:rPr>
            <w:rFonts w:ascii="arial" w:eastAsia="arial" w:hAnsi="arial" w:cs="arial"/>
            <w:i/>
            <w:color w:val="0077CC"/>
            <w:sz w:val="20"/>
            <w:u w:val="single"/>
            <w:shd w:val="clear" w:color="auto" w:fill="FFFFFF"/>
            <w:lang w:val="en-US" w:eastAsia="en-US" w:bidi="ar-SA"/>
          </w:rPr>
          <w:t>11 B.C.L.R. (2d) 273</w:t>
        </w:r>
      </w:hyperlink>
      <w:r>
        <w:rPr>
          <w:rFonts w:ascii="arial" w:eastAsia="arial" w:hAnsi="arial" w:cs="arial"/>
          <w:color w:val="000000"/>
          <w:sz w:val="20"/>
          <w:lang w:val="en-US" w:eastAsia="en-US" w:bidi="ar-SA"/>
        </w:rPr>
        <w:t xml:space="preserve"> at 303 (C.A.) [</w:t>
      </w:r>
      <w:r>
        <w:rPr>
          <w:rFonts w:ascii="arial" w:eastAsia="arial" w:hAnsi="arial" w:cs="arial"/>
          <w:i/>
          <w:color w:val="000000"/>
          <w:sz w:val="20"/>
          <w:lang w:val="en-US" w:eastAsia="en-US" w:bidi="ar-SA"/>
        </w:rPr>
        <w:t>Lui No. 2</w:t>
      </w:r>
      <w:r>
        <w:rPr>
          <w:rFonts w:ascii="arial" w:eastAsia="arial" w:hAnsi="arial" w:cs="arial"/>
          <w:color w:val="000000"/>
          <w:sz w:val="20"/>
          <w:lang w:val="en-US" w:eastAsia="en-US" w:bidi="ar-SA"/>
        </w:rPr>
        <w:t xml:space="preserve">]. He suggested that when the limitation issue could not be determined on the joinder application, and the applicant had not established that considerations of justice and convenience justified extinction of the limitation defence under s. 4(1)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judicial discretion could be exercised to permit joinder on terms that the limitation defence would be preserved and determined at trial. That approach was considered and adopted in </w:t>
      </w:r>
      <w:r>
        <w:rPr>
          <w:rFonts w:ascii="arial" w:eastAsia="arial" w:hAnsi="arial" w:cs="arial"/>
          <w:i/>
          <w:color w:val="000000"/>
          <w:sz w:val="20"/>
          <w:lang w:val="en-US" w:eastAsia="en-US" w:bidi="ar-SA"/>
        </w:rPr>
        <w:t>Strata Plan No. VR 2000 v. Shaw</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[1998] B.C.J. No. 1086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Stone Venepal (Celgar) Pulp Inc. v. IMO Industries (Canada) Inc.</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2008 BCCA 317</w:t>
        </w:r>
      </w:hyperlink>
      <w:r>
        <w:rPr>
          <w:rFonts w:ascii="arial" w:eastAsia="arial" w:hAnsi="arial" w:cs="arial"/>
          <w:color w:val="000000"/>
          <w:sz w:val="20"/>
          <w:lang w:val="en-US" w:eastAsia="en-US" w:bidi="ar-SA"/>
        </w:rPr>
        <w:t xml:space="preserve"> (CanLII), </w:t>
      </w:r>
      <w:hyperlink r:id="rId72" w:history="1">
        <w:r>
          <w:rPr>
            <w:rFonts w:ascii="arial" w:eastAsia="arial" w:hAnsi="arial" w:cs="arial"/>
            <w:i/>
            <w:color w:val="0077CC"/>
            <w:sz w:val="20"/>
            <w:u w:val="single"/>
            <w:shd w:val="clear" w:color="auto" w:fill="FFFFFF"/>
            <w:lang w:val="en-US" w:eastAsia="en-US" w:bidi="ar-SA"/>
          </w:rPr>
          <w:t>83 B.C.L.R. (4th) 138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satisfied that Rules 6-2(7)(b) and (c) are disjunctive. As to Rule 6-2(7)(b), I do not see that the Stein parties ought to have been joined as parties or that their participation is necessary to adjudicate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first requirement of Rule 6-2(7)(c), for present purposes, is that there may exist, as between the plaintiffs and the Stein parties, a question or issue related to the relief claimed or the subject matter of the proceeding. There is no question that there are such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Thus, the requirement of the first part of Rule 6-2(7)(c) is met. There do exist between the plaintiffs and the Stein parties issues related to both the relief claimed and the subject matter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issue becomes whether it would be just and convenient to join the Stein parties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factors to consider are set out in </w:t>
      </w:r>
      <w:r>
        <w:rPr>
          <w:rFonts w:ascii="arial" w:eastAsia="arial" w:hAnsi="arial" w:cs="arial"/>
          <w:i/>
          <w:color w:val="000000"/>
          <w:sz w:val="20"/>
          <w:lang w:val="en-US" w:eastAsia="en-US" w:bidi="ar-SA"/>
        </w:rPr>
        <w:t>Strata Plan VIS3578</w:t>
      </w:r>
      <w:r>
        <w:rPr>
          <w:rFonts w:ascii="arial" w:eastAsia="arial" w:hAnsi="arial" w:cs="arial"/>
          <w:color w:val="000000"/>
          <w:sz w:val="20"/>
          <w:lang w:val="en-US" w:eastAsia="en-US" w:bidi="ar-SA"/>
        </w:rPr>
        <w:t xml:space="preserve"> at para. 46 as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Stein parties argue that it is inappropriate to order that Mr. Stein be joined personally. They argue that the contract was with Westlynn and that the corporate veil should not be pierced.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They say that the allegations made against Mr. Stein personally are in his capacity as a disclosed agent of the Owners and, as such, it is the Owners and not he who is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do not agree. Mr. Stein is personally involved, at least by virtue of the Owners' plea that the restrictive covenant was given to him as agent of Ultra Care by the Owners. This, in turn, gives rise to the plaintiffs' claim that the Stein parties were dual agents. Those allegations are denied in Mr. Stein's affidavit, but It is not for me to weigh those allegations. It is sufficient that they are not frivolous.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Stein parties also argue that the involvement of McQuarrie Hunter LLP and Ms. Tundak in 2011 was an intervening act that displaced the chain of causation. They argue that I must take those pleadings as true and hence there is no action against the Stein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am of the view, however, that that must be viewed as an alternative plea. Should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 found against McQuarrie Hunter LLP and Ms. Tundak, then the plaintiffs fall back on the plea against the Stein parties. I cannot say at this juncture that there is no proper claim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Stein parties say that there has been excessive delay to their prejudice. Mr. Stein deposes that he is 80 years old and began winding down Westlynn in 2015. His evidence is that Westlynn no longer has any documents relating to the transaction. He does not specifically say, however, that absent the delay by the plaintiffs he would have had these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no question that Mr. Stein recalls the events in question. Sufficiently to take issue in his affidavit with the assertions that he acted for the plaintiffs, that he was a dual agent, and that he had any responsibility with respect to the restrictive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prejudice alleged must be such as to interfere with a party's ability to defend the action. The fact of being forced to defend an action is not a sufficient prejudice to prevent joinder as a party. I have concluded that there is no prejudice asserted that cannot be properly dealt with by an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Stein parties also say that the limitation period for these events that occurred in 1999 has clearly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the behest of the Stein parties, I received written argument on the limitation question. There are many factors that make a determination regarding the limitation period difficult, including:</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disagree when damage was suffered and hence when the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arose.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disagree as to which act, whether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or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governs.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disagree as to when the plaintiffs knew or should have known of the existence of the cause of action and whether the plaintiffs can argue that the running of the limitation period was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All of those factors will turn on evidence and credibility--assessments best left to the trier of fact. I do not see that I can determine whether the limitation period has run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am of the view, however, that the plaintiffs have not established that the interests of justice and convenience warrant the extinction of the Stein parties' limitation defence. Indeed, the plaintiffs submitted that it would be just to allow the joinder but preserve the limitation defences of the Stein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would thus choose the fourth option described in para. 48 of the </w:t>
      </w:r>
      <w:r>
        <w:rPr>
          <w:rFonts w:ascii="arial" w:eastAsia="arial" w:hAnsi="arial" w:cs="arial"/>
          <w:i/>
          <w:color w:val="000000"/>
          <w:sz w:val="20"/>
          <w:lang w:val="en-US" w:eastAsia="en-US" w:bidi="ar-SA"/>
        </w:rPr>
        <w:t>Strata Plan VIS3578</w:t>
      </w:r>
      <w:r>
        <w:rPr>
          <w:rFonts w:ascii="arial" w:eastAsia="arial" w:hAnsi="arial" w:cs="arial"/>
          <w:color w:val="000000"/>
          <w:sz w:val="20"/>
          <w:lang w:val="en-US" w:eastAsia="en-US" w:bidi="ar-SA"/>
        </w:rPr>
        <w:t xml:space="preserve"> decision, and allow joinder only on condition that the limitation defences of the Stein parties be preserved and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application is thus allowed with the term that the limitation defences of the Stein parties are preserved and are to be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will have their costs of this application against the Stein parties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L. MUIR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United Furniture Warehouse LP v. 551148 B.C. Ltd., [2007] B.C.J. No. 1862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S056221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1862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1252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51 C.P.C. (6th) 149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1905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161 A.C.W.S. (3d) 223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United Furniture Warehouse LP, Plaintiff, and 551148 B.C. Ltd., 462307 B.C. Ltd., U.B.S. Realty Ltd. and John Volken,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4"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 w:name="Keywords_3"/>
      <w:bookmarkEnd w:id="23"/>
      <w:r>
        <w:rPr>
          <w:rFonts w:ascii="arial" w:eastAsia="arial" w:hAnsi="arial" w:cs="arial"/>
          <w:b/>
          <w:color w:val="000000"/>
          <w:sz w:val="20"/>
          <w:lang w:val="en-US" w:eastAsia="en-US" w:bidi="ar-SA"/>
        </w:rPr>
        <w:t>Civil procedure — Discovery — Examination for discovery — Production and inspection of documents — Remedies for failure to disclose or produce — The plaintiff's action seeking $2.4 million in damages was dismissed as it had failed to produce documents relating to the issues in action; the degree of neglect involving a sophisticated and financially substantial plaintiff warranted dismissal of the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 w:name="Case Summary_2"/>
            <w:bookmarkEnd w:id="2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applied for an order dismissing the plaintiff's action for failing to produce a substantial volume of documents relating to the issues in action -- In the underlying action, the plaintiff purchaser sought $2.4 million in damages as a result of the vendor's alleged overvaluation of the purchased company's inventory -- HELD: The plaintiff's action was dismissed -- The court was satisfied that the degree of neglect in this instance involving a sophisticated and financially substantial plaintiff warranted dismissal of the action rather than some lesser remedy such as adjournment and an award of special costs -- The fact that the plaintiff had not determined the whereabouts of the documents in its possession had affected the conduct of the litigation -- In all of the circumstances, the omission to locate and produce the voluminous books and records acquired by the plaintiff from the defendant vendor was not the result of benign neglect that ought to be ignored -- The risk that the plaintiff would attempt to compromise Mr. Volken's credibility in the event a review of the books and records compelled him to modify any answer he had given was significant and could be confidently eliminated -- The defendants were entitled to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 w:name="Legislation Cited_2"/>
      <w:bookmarkEnd w:id="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5"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 w:name="Counsel_3"/>
      <w:bookmarkEnd w:id="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 Veinotte, J.J. Kinghorn.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Sullivan, J. Goheen.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 w:name="Judgment_3"/>
      <w:bookmarkEnd w:id="27"/>
      <w:r>
        <w:pict>
          <v:line id="_x0000_s1047" style="position:absolute;z-index:2518149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 w:name="PITFIELD J."/>
            <w:bookmarkEnd w:id="28"/>
            <w:r>
              <w:rPr>
                <w:rFonts w:ascii="arial" w:eastAsia="arial" w:hAnsi="arial" w:cs="arial"/>
                <w:b/>
                <w:color w:val="000000"/>
                <w:sz w:val="30"/>
                <w:lang w:val="en-US" w:eastAsia="en-US" w:bidi="ar-SA"/>
              </w:rPr>
              <w:t>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under Rule 2(5) for an order dismissing the plaintiff's action because of a failure to produce a substantial volume of documents relating to the issues in the action. Rule 2(5)(c)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Where a person, contrary to these rules and without lawful excuse,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produce or permit to be inspected any document or other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person is the plaintiff, petitioner or a present officer of a corporate plaintiff or petitioner, or a partner in or manager of a partnership plaintiff or petitioner, the court may dismiss the proceeding,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person is the defendant, respondent or a third party, or a present officer of a corporate defendant, respondent or third party, or a partner in or manager of a partnership defendant, respondent or third party, the court may order the proceeding to continue as if no appearance had been entered or no defence had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say that the plaintiff has not offered any reasonable explanation for the failure to discover and produce quantities of relevant and material financial and accounting records. The plaintiff says that while the late production of the documents is regrettable, the circumstances do not amount to a failure to produce without lawful excuse, and dismissal of the action is not warranted. The plaintiff says that the trial should be adjourned from its scheduled commencement date of November 17, 2007 to allow for wholesale production, and the continuation of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relevant background is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551148 B.C. Ltd. ("551148") was previously known as United Furniture Warehouse Ltd. 462307 B.C. Ltd. ("462307") and U.B.S. Realty Ltd. ("UBS") are corporations who are shareholders of 551148. John Volken is the president, director and a shareholder of the three corporate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March 16, 2004, the defendants sold the business carried on by 551148 under the trade name "United Furniture Warehouse", to United Furniture Warehouse (2004) Corporation. All right, title and interest of the purchaser under the asset purchase agreement was subsequently assigned to the plaintiff, United Furniture Warehouse LP, a limited partnership. The moving force behind the purchaser of the business and the formation of the limited partnership was The Brick Warehouse Corporation based in Edmonton,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purchase price of the business approximated $32 million, subject to adjustment. The actual price to be paid depended upon the determination of the value of the assets sold and liabilities assumed at the closing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November 23, 2005, the plaintiff commenced an action claiming damages of $2,444,827.55, primarily as a result of the vendor's alleged overvaluation of inventory. The statement of claim is replete with references to errors, improprieties, and inappropriate accounting practices alleged to have been discovered in the vendor's books and records, all of which were conveyed to the plaintiff, or its predecessor in title, at the closing of the purchase in March 2004. The statement of claim emphasizes the importance of the vendor's books and records in relation to the validity and quantification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25, 2005, the plaintiff filed an application for an injunction restraining an escrow agent from releasing the sum of $2.5 million to the defendants. The sum had been placed in escrow at the time of closing pursuant to the terms of the asset purchase agreement and an escrow holdback agreement. In due course, the injunction application was heard and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June 2006, I conducted a case management conference at which time I directed the parties to provide each other with detailed notices to produce the documents which they required for purposes of the action. The defendants served a notice to produce documents as directed. It is abundantly clear that the notice to produce required production of the vendor's books and records acquired by the purchaser at closing. The plaintiff did not object to the scope or content of the demand for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 limited exceptions, the plaintiff's initial list of documents did not include any documents and records acquired from the defendant to which repeated reference had been made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November 3, 2006, the defendants filed a notice of motion seeking further and better production on the basis that material documents had not been produced. In response to the application, Mr. Richard Innes, former vice-president and treasurer the plaintiff's general partner, swore an affidavit on November 14, 2006 in which he deposed, in part, as follows:</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informed by Ms. Hiebert and verily believe that the creation of the current List of Documents involved a thorough search of the files of the Plaintiff that concerned the negotiation and sale of the business, including enquiries from all of the persons (or their assistants) involved in the sale of the business, but for Mr. Richard Latham as I describe in paragraph 15(b) herein. The Plaintiff also contacted their auditors, Deloittes LLP, and obtained a copy of their working file(s) related to the sale of the business.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further informed by Ms. Hiebert and verily believe that subsequent to the Case Management Conference held on October 30, 2006, and after receiving a copy of the list of documents the Defendants allege have not been produced by the Plaintiff, the Plaintiff made a further search for any files concerning the matters raised by the Defendants, including further enquiries of all of the persons involved in the negotiation and the sale of the business, including the former assistant for Mr. Latham. As a result, the Plaintiff discovered some further documents that had been misplaced due to extensive office renovations, some of which are relevant to the litigation. I am informed by Ms. Hiebert and verily believe that these documents will be reviewed and organized and will be disclosed in a supplementary List of Documents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time, Ms. Hiebert was the plaintiff's in-house counsel and co-counsel with Mr. Veinotte on behalf of the plaintiff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accepted the affidavit evidence of search and inquiry on its face and withdrew their application for further and better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Examinations for discovery commenced as contemplated by a case management order. Mr. Volken was examined by the plaintiff on April 2 and 4, 2007. Mr. Innes was examined by the defendants on April 12 and 13, 2007. That discovery was scheduled to continue on July 25-27,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Innes was unable to answer many of the questions pertaining to the derivation of the plaintiff's claim for damages of $2,444,827.55. At the adjournment of the discovery, the plaintiff was left with approximately 75 requests for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requests prompted plaintiff's counsel to interview persons who might be able to assist in compiling answers. One of those interviewed was Mr. Johan Jacobs, the former controller of the defendant vendor, who, on the purchase of the business, became the plaintiff's controller. In the course of an interview, Mr. Jacobs told counsel of the whereabouts of all of the vendor's financial records, books, and documents, and a computer server acquired by the purchaser on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June 28, 2007, plaintiff's counsel wrote to counsel for the defendants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write to advise that our client, the Plaintiff, United Furniture Warehouse LP, will shortly be disclosing further documents in this matter. During our interviews of potential witnesses for the Trial in the last weeks, we were put on a course of inquiry which led to a warehouse owned and operated by one of The Brick Group of Companies. In that warehouse, there are at least 100 (and perhaps many more) boxes that appear to be the source documents of United Furniture Warehouse. We do not yet know what is in the vast majority of the boxes. Our initial review, however, already indicates that relevant or potentially relevant documents are in the boxes that have not been disclosed in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client is assembling personnel to review contents of the boxes and we will keep you updated as that process goes forward. At this early juncture, we cannot yet advise when we will be in a position to provide a Supplemental List of Documents or what effect, if any, a new round of disclosure will have on this month's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Specifically, the newly-discovered documents include the following:</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several hundred boxes containing the vendor's original records that were transferred to the purchaser pursuant to the asset purchase agreement, some 100 boxes of which were thought to be relevant;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of the purchaser's auditor, Deloitte Touche in Vancouver, which firm had represented the purchaser in many aspects of the asset purchase agreement, including the preparation of a 2003 inventory account, tax planning matters, the January 2004 inventory account and the updated inventory account at April 15, 2004. Prior disclosure by the plaintiff had consisted of documents obtained from the Edmonton office of Deloitte Touche only. The Deloitte Touche Vancouver material consists of approximately 3,000 to 4,000 pages of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result of the communication and further discussions between counsel was this application by the defendants seeking dismissal of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response to the application, Mr. Innes swore an affidavit on August 13, 2007, in which he deposed, in part,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12 and 13, 2007, on behalf of the plaintiff, I attended two (2) days of Examinations for Discovery at the offices of The Brick Group of Companies at 16930-114th Avenue, in Edmonton, Alberta. During the two (2) days, James Sullivan, one of the counsel for the Defendants, asked many questions of me that pertained to the accounting aspects of the litigation. Additionally, seventy-five (75) requests were left with me by Mr. Sullivan to answer (the "Innes Undertakings"). Attached here as Exhibit "G" to this my Affidavit is a true copy of the Innes Undertakings.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Many of the requests and many of the questions put to me by counsel for the Defendants touched upon the books and records of the former UFW, particularly the accounting records and the accounting methodology of certain aspects of the Plaintiff's claims. For example, counsel for the defendants asked me numerous questions regarding work performed by the Plaintiff's auditors, Deloitte &amp; Touche, in the period June, 2003 to approximately April 2004.</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my Examination for Discovery, I was also asked numerous questions regarding various aspects of "Claims 1 and 2", which are set forth at paragraphs 19(a) and 19(b) of the Amended Statement of Claim of the Plaintiff. I was not able to answer many of the questions (which were then left with me as requests for further information). As an example of the questions put to me regarding "Claims 1 and 2", attached hereto as Exhibit "H" to this my Affidavit is a true copy of a portion of the Transcript of my Examination for Discovery on April 13, 2007 and in particular the questions put to me on pages 202 to 203.</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adjournment of my Examination for Discovery on April 13, 2007, I am advised by Carey Veinotte and verily believe that Mr. Sullivan advised Mr. Veinotte that he required three (3) days of Examinations for Discovery with me on the basis of the Initial Disclosure.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further informed by Mr. Veinotte and verily believe that, subsequent to my Examination for Discovery, Plaintiff's counsel conducted interviews with individuals who are potential witnesses at the Trial of this matter. Another purpose of the interviews was to begin the process of answering the Innes Undertakings, given that many of the undertakings could only be answered by a particular individual. One such individual was Johan Jacobs, the former Controller of the Defendant, UFW.</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Jacobs joined the employ of the purchaser, UFW 2004 (the "Purchaser") as controller after UFW sold the United Furniture Warehouse business to the Purchaser in March, 2004. Mr. Jacobs subsequently joined the employ of the Plaintiff as Controller on or about April 30, 2004, when the Purchaser transferred substantially all of its assets to the Plaintiff and continued operating the business known as United Furniture.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February, 2006, as a result of a further corporate and operational restructuring within The Brick Group Income Fund, the Plaintiff transferred the operating assets relating to the United Furniture Warehouse business to an affiliate partnership, The Brick Warehouse LP ("The Brick"). As part of this restructuring, on or about February, 2006, the Plaintiff severed the employment of substantially all of its accounting and administrative staff located at its head office in Coquitlam, and the accounting functions relating to the United Furniture Warehouse business were transferred to The Brick's head office in Edmonton, Alberta. The Plaintiff's head office in Coquitlam was closed as a result of this restructuring in the spring of 2006.</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advised by Paulina Hiebert, co-counsel for the Plaintiff, and verily believe that as a result of the restructuring described in paragraph 10 of this Affidavit, Mr. Jacobs formally left the employ of the Plaintiff on or about August 5, 2006.</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informed by Mr. Veinotte and verily believe that, during a meeting with Mr. Jacobs in late May 2007, Mr. Jacobs recounted that he assisted in the closure of the former head offices of the Plaintiff in Coquitlam, British Columbia. Mr. Jacobs stated during the May, 2007 meeting that many of the books and records of UFW, and the books and records of the Plaintiff relating to the United Furniture business that existed at the time of the Plaintiff's closure of its head office in Coquitlam, had been transported to a location inside The Brick's inventory warehouse at 16930 - 114th Avenue in Edmonton, Alberta (the "Warehouse") as a result of the closure of the Plaintiff's head office in Coquitlam. Mr. Jacobs further stated he personally arranged for the shipment of these books and records to the Warehouse. The Warehouse is 350,000 square feet in floor area, in addition to various mezzanine areas.</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informed by Ms. Hiebert and verily believe that during the May, 2007 meeting, Mr. Jacobs also stated that he believed the server which had been used for UFW's and the Plaintiff's accounting records (until February, 2006) (the "Server") had been left at the former head office in Coquitlam, as this server was no longer used for accounting purposes, given the restructuring described in paragraph 10 of this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Plaintiff's counsel advised that Mr. Jacobs had been instrumental in the transfer of the vendor's financial records from offices in Coquitlam and Vancouver to The Brick warehouse facility in Edmonton. Mr. Jacobs had been responsible for securing the server in Vancouver or Coquitlam where it had remained since the closing in March,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only evidence adduced by the plaintiff on this application with a view to explaining the failure to locate and produce the documentation was that contained in the affidavit of Mr. Innes to which I have referred, substantially all of which was based on information and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contend that the affidavit material does not support the conclusion that the plaintiff had a lawful excuse for the omission to produce the substantial volume of relevant and material documentation. Counsel says that the phrase "without lawful excuse" used in Rule 2(5) appears not to have been defined by a court. Counsel suggests that a "lawful excuse" should be any sufficiently reasonable excuse that, in the opinion of the presiding judge, justifies the exercise of discretion to refrain from resorting to the Rule and striking out the claim. Counsel for the plaintiff concurs in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my opinion, a lawful excuse for purposes of Rule 2(5)(c) is one which, in the discretion of the judge acting judicially, is worthy of acceptance. The rule stipulates that it will apply in the case of refusal </w:t>
      </w:r>
      <w:r>
        <w:rPr>
          <w:rFonts w:ascii="arial" w:eastAsia="arial" w:hAnsi="arial" w:cs="arial"/>
          <w:i/>
          <w:color w:val="000000"/>
          <w:sz w:val="20"/>
          <w:lang w:val="en-US" w:eastAsia="en-US" w:bidi="ar-SA"/>
        </w:rPr>
        <w:t>or neglect</w:t>
      </w:r>
      <w:r>
        <w:rPr>
          <w:rFonts w:ascii="arial" w:eastAsia="arial" w:hAnsi="arial" w:cs="arial"/>
          <w:color w:val="000000"/>
          <w:sz w:val="20"/>
          <w:lang w:val="en-US" w:eastAsia="en-US" w:bidi="ar-SA"/>
        </w:rPr>
        <w:t xml:space="preserve"> to produce. Refusal connotes a deliberate failure to produce a document of which a party has knowledge. Neglect connotes carelessness in the search for, and location of, documentation relating to a matter in issue that should be produced in accordance with Rule 26. Because an action may be struck when the lack of production has been occasioned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required should be more than moderate on a scale ranging from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satisfied that the degree of neglect in this instance involving a sophisticated and financially substantial plaintiff warrants dismissal of the action rather than some lesser remedy such as an adjournment and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Jacobs was no stranger to the plaintiff. He had been the vendor defendant's controller. In an affidavit sworn December 2, 2005, in response to the plaintiff's application for an injunction restraining payment of funds out of escrow to the defendants, Mr. Koonar, vice-president (legal and real estate) for the defendant companies, deposed as follows: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the due diligence process involved in the negotiations for the Agreement, the Plaintiff and its agents were provided unfettered access to the records and business information in the possession of UFW well before the closing date of the Agreements. The Plaintiff was also involved in all discussions with UFW and the auditors of UFW regarding the scope and methodology to be used in the inventory valuation. Additionally, the Plaintiff retained the services of Deloitte &amp; Touche to verify the methodology and the count performed by the auditors of UFW. A number of employees of the Plaintiff were directly involved in the inventory count.</w:t>
      </w:r>
    </w:p>
    <w:p>
      <w:pPr>
        <w:numPr>
          <w:numId w:val="1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the closing date, March 16, 2004, Johan Jacobs was the Controller of UFW, a position he had held since approximately 2001. As such, Mr. Jacobs was required to possess a substantial knowledge of the business and inventory systems of UFW, and knowledge particularly including the inventory of the Purchased Business and the other assets of UFW. I have been informed by Mr. Jacobs that, since the Plaintiff took over the operation of the Purchased Business, the Plaintiff continued to employ Mr. Jacobs to this day. I have been further informed by Mr. Jacobs that Mr. Kerschbaum was hired to his current position with the Plaintiff in or about November, 2004, and prior to that time was not an employee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recently as August 15, 2007, Mr. Innes deposed to the fact that Mr. Jacobs had been employed as controller of the plaintiff's business and to the fact that his employment was only terminated on August 5, 2006, as a consequence of a substantial reorganization of the plaintiff's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deposition in the Innes affidavit sworn November 14, 2006, was inaccurate. The plaintiff has offered no explanation of the inaccuracy.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impossible to understand how the claims alleged in the statement of claim would have been quantified without consultation with Mr. Jacobs, the person in the plaintiff's sphere most knowledgeable about the defendant vendor's books and records. Most assuredly, there is no evidence of any reliable nature whatsoever explaining why he was not consulted.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difficult to comprehend why Ms. Hiebert would not have inquired of Mr. Jacobs some time in 2005 or 2006 regarding the whereabouts of the books and records, a question Mr. Jacobs was readily able to answer within the last two to three months. She was involved in the preparation of affidavit material in support of the application for short leave to apply for the injunction in November 2005. It is reasonable to infer, and I find as a fact, that she was aware of the contents of the Koonar affidavit sworn in that proceeding in which he described Mr. Jacobs' role with the plaintiff and the defendant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I have mentioned, there is no affidavit evidence from Ms. Hiebert, upon whose information Mr. Innes swore his affidavit of August 13, 2007, regarding her role, actions, or inquiries in the search for records, or offering any explanation for her omission to speak to Mr. Jacobs if, in fact, she did not attempt to speak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Veinotte attempted to explain the absence of an affidavit from Ms. Hiebert on the basis that it might constitute a waiver of privilege obliging her to answer questions regarding her role as co-counsel. With respect, that argument is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nature and extent of counsel's efforts to locate documents are not subject to solicitor-client or litigation privilege. The fact she might depose to non-privileged matters would not expose her to questioning on matters of a privileged nature. Affidavit evidence from the person who searched or directed the search for the books and records is essential when addressing the question of lawful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fact the plaintiff did not determine the whereabouts of the documents in its possession has affected the conduct of the litigation. One can understand the need for the large number of requests for information directed to Mr. Innes at his discovery. Providing an explanation of the origin of any part of the claim without reference to the documents would seem an impossible task. One is left to wonder about the reliability of the original statements of fact in the statement of claim to the effect that the claims had been derived from an examination of the defendant vendor's books and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pleaded fraud and negligent misrepresentation in the statement of claim. The defendants delivered a demand for particulars. Many of the replies to the demand were framed in generalities. Two examples of a demand and a general response, which, if true, could only have been derived from the vendor defendant's books and records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allegations in ... the Amended Statement of Claim that the Defendants breached their duties to cooperate and use commercially reasonable efforts ... including which Defendants [sic] are alleged to have breached their duties to cooperate and use commercially reasonable efforts.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Answer: the Defendants Volken, 551148 B.C. Ltd., 462307 B.C. Ltd., and UBS Realty Ltd., and all of the Defendants by their representatives Volken, Koonar, Swan, Gerstner, Yong, Johan Jacobs, and Christine Law and representatives of KPMG Inc. (now KPMG LLP) including but not limited to: Ron Rozen, Jas or Jaz Kelsey or Khalsai, Jennifer Dag or Dagg, and Diana Yong or Yung.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further response to this Demand for Particulars, the further particulars of the fraudulent and other wrongful acts of the Defendants as alleged in the Amended Statement of Claim are solely within the knowledge of the Defendants and their representatives. Further particulars, if any, will be provided after Examinations for Discovery and full disclosure of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allegations in ... the Amended Statement of Claim that the Defendants made negligent, reckless or fraudulent misrepresentations. Which defendants are alleged to have made the misrepresentations?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Answer: the Defendants Volken, 551148 B.C. Ltd., 462307 B.C. Ltd., and USB Realty Ltd, and all of the Defendants by their representatives Koonar, Swan, Gerstner, and Yong, Johan Jacobs, Christine Lau a.k.a. Christine Kwan; and representatives of KPMG Inc. (now KPMG LLP) including but not limited to: Ron Rozen, Jas or Jaz Kelsey or Khalsai, Jennifer Dag or Dagg, and Diana Yong or Yung.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reply to the demand for particulars was provided on July 29, 2006, a month and a half before Mr. Jacobs ceased to be an employee of the plaintiff for entirely benign reasons. In the circumstances, it is difficult to comprehend how the plaintiff could attribute misconduct in the nature of fraud or fraudulent misrepresentation to Mr. Jacobs in the reply to the demand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inference one is left to draw is that either the plaintiff had reference to the voluminous documents it did not produce in order to develop its claim, or it incorrectly pleaded as fact that the claims were based on an examination of books and records that had never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all of the circumstances, I find that the omission to locate and produce the voluminous books and records acquired by the plaintiff from the defendant vendor was not the result of benign neglect that should be ignored. In all of the circumstances, the neglect approached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cannot accede to the plaintiff's claim that the defendants are not prejudiced by the late discovery of documents because any harm flowing from the failure to discover and produce the documents until recently can be alleviated by an adjournment of the trial, set to commence on November 19, 2007, the payment of special costs, and the resumption of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Innes has been examined for discovery. Preparation for a discovery involves the development of a plan by which to defend the action. In this case, the plan had to be developed without access to relevant and material records. Access to the records could necessitate changes to the plan. Changes in the plan could provide the plaintiff with a base for cross examination at trial with a view to undermining the credibility of the defence to the plaintiff's claim, assuming there is substance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Volken has been examined for discovery by the plaintiff. He is alleged to have engaged in fraudulent conduct. Credibility is crucial to any determination in that regard. Questions have been asked and answers have been given without allowing Mr. Volken access to documents that would have permitted him to prepare for the discovery in order that he could respond in a knowledgeable fashion to questions asked by plaintiff's counsel, or to refresh his memory of events surrounding the negotiation and sale of the business. The risk that the plaintiff will attempt to compromise Mr. Volken's credibility in the event a review of the books and records compels him to modify any answer he has given is significant and, in my opinion, cannot be confidently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all of the circumstances, I am satisfied that the plaintiff's action must be, and it is hereby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are entitled to costs. Notwithstanding the allegations of fraud, I am not persuaded that an order for special costs is warranted because the action has been dismissed and it will not be tried on the merits. Therefore, the allegation of fraud will neither fail nor succeed. The case is one of more than ordinary difficulty. That being the case, the defendants are entitled to party and party costs in accordance with Appendix B,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8"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Williams v. British Columbia, [2000] B.C.J. No. 1418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Neilson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5,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10, 2000.</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S055029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1418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1064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98 A.C.W.S. (3d) 556</w:t>
      </w:r>
    </w:p>
    <w:p>
      <w:pPr>
        <w:spacing w:before="120" w:line="260" w:lineRule="atLeast"/>
        <w:rPr>
          <w:lang w:val="en-US" w:eastAsia="en-US" w:bidi="ar-SA"/>
        </w:rPr>
      </w:pPr>
      <w:r>
        <w:rPr>
          <w:rFonts w:ascii="arial" w:eastAsia="arial" w:hAnsi="arial" w:cs="arial"/>
          <w:color w:val="000000"/>
          <w:sz w:val="20"/>
          <w:lang w:val="en-US" w:eastAsia="en-US" w:bidi="ar-SA"/>
        </w:rPr>
        <w:t>Between Valerie Alice Williams, plaintiff, and Her Majesty the Queen in the Right of the Province of British Columbia,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49" style="position:absolute;z-index:2516633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9" w:name="Keywords_4"/>
      <w:bookmarkEnd w:id="29"/>
      <w:r>
        <w:rPr>
          <w:rFonts w:ascii="arial" w:eastAsia="arial" w:hAnsi="arial" w:cs="arial"/>
          <w:b/>
          <w:color w:val="000000"/>
          <w:sz w:val="20"/>
          <w:lang w:val="en-US" w:eastAsia="en-US" w:bidi="ar-SA"/>
        </w:rPr>
        <w:t>Practice — Pleadings — Striking out pleadings — Grounds, failure to disclose a cause of action or defence — Crown — Actions by and against Crown in right of a province — Practice — Setting aside writ or statement of claim.</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0" w:name="Case Summary_3"/>
            <w:bookmarkEnd w:id="3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application by the defendant Crown to strike the action. The respondent Williams brought an action against the Ministry for Children and Families. The Crown consented to the filing of amended statements of claim and to the substitution of the Crown in the right of the province as the proper defendant. Williams sought damages for loss of her house and other property relating to harassment by various people, including her former husband. The Crown argued that the claim disclosed no reasonable claim, that it failed to set out any facts to constitute a valid cause of action and that it did not contain meaningful allegations to which the Crown could respond. </w:t>
            </w:r>
            <w:r>
              <w:rPr>
                <w:lang w:val="en-US" w:eastAsia="en-US" w:bidi="ar-SA"/>
              </w:rPr>
              <w:cr/>
            </w:r>
          </w:p>
          <w:p>
            <w:pPr>
              <w:spacing w:before="120" w:line="260" w:lineRule="atLeast"/>
              <w:ind w:left="240"/>
              <w:jc w:val="both"/>
              <w:rPr>
                <w:lang w:val="en-US" w:eastAsia="en-US" w:bidi="ar-SA"/>
              </w:rPr>
            </w:pPr>
            <w:bookmarkStart w:id="31" w:name="Holdings of Court_0"/>
            <w:bookmarkEnd w:id="31"/>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While the claim set out a number of complaints, they were not pleaded in any coherent way so to disclose a reasonable claim against the Crown. While the statement of claim made some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Crown, no material facts to support such a claim were set out. The real focus of Williams' complaints was her ex-husband and the Crown's failure to deal appropriately with him. No duty rested on the Crown to order a psychiatric examination, as argued by Williams. Furthermore, Williams had more appropriate remedies to deal with her complaints through the criminal law and the separate ongoing matrimonial proceedings. </w:t>
            </w:r>
            <w:r>
              <w:rPr>
                <w:lang w:val="en-US" w:eastAsia="en-US" w:bidi="ar-SA"/>
              </w:rPr>
              <w:cr/>
            </w:r>
          </w:p>
          <w:p>
            <w:pPr>
              <w:rPr>
                <w:lang w:val="en-US" w:eastAsia="en-US" w:bidi="ar-SA"/>
              </w:rPr>
            </w:pPr>
          </w:p>
        </w:tc>
      </w:tr>
    </w:tbl>
    <w:p>
      <w:pPr>
        <w:jc w:val="both"/>
        <w:rPr>
          <w:lang w:val="en-US" w:eastAsia="en-US" w:bidi="ar-SA"/>
        </w:rPr>
      </w:pPr>
      <w:bookmarkStart w:id="32" w:name="Legislation Cited_3"/>
      <w:bookmarkEnd w:id="3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50" style="position:absolute;z-index:2517145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19(24).</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Child Family and Community Service Act, </w:t>
      </w:r>
      <w:hyperlink r:id="rId88" w:history="1">
        <w:r>
          <w:rPr>
            <w:rFonts w:ascii="arial" w:eastAsia="arial" w:hAnsi="arial" w:cs="arial"/>
            <w:i/>
            <w:color w:val="0077CC"/>
            <w:sz w:val="20"/>
            <w:u w:val="single"/>
            <w:shd w:val="clear" w:color="auto" w:fill="FFFFFF"/>
            <w:lang w:val="en-US" w:eastAsia="en-US" w:bidi="ar-SA"/>
          </w:rPr>
          <w:t>R.S.B.C. 1996, c. 46, s. 59</w:t>
        </w:r>
      </w:hyperlink>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33" w:name="Counsel_4"/>
      <w:bookmarkEnd w:id="3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51" style="position:absolute;z-index:2517657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Valerie A. Williams appeared on her own behalf. Lisa Shendroff, for the defendant.</w:t>
      </w:r>
      <w:r>
        <w:rPr>
          <w:lang w:val="en-US" w:eastAsia="en-US" w:bidi="ar-SA"/>
        </w:rPr>
        <w:cr/>
      </w:r>
    </w:p>
    <w:p>
      <w:pPr>
        <w:spacing w:after="240"/>
        <w:rPr>
          <w:lang w:val="en-US" w:eastAsia="en-US" w:bidi="ar-SA"/>
        </w:rPr>
      </w:pPr>
      <w:bookmarkStart w:id="34" w:name="Judgment_4"/>
      <w:bookmarkEnd w:id="34"/>
      <w:r>
        <w:pict>
          <v:line id="_x0000_s1052" style="position:absolute;z-index:25181593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5" w:name="NEILSON J."/>
            <w:bookmarkEnd w:id="35"/>
            <w:r>
              <w:rPr>
                <w:rFonts w:ascii="arial" w:eastAsia="arial" w:hAnsi="arial" w:cs="arial"/>
                <w:b/>
                <w:color w:val="000000"/>
                <w:sz w:val="30"/>
                <w:lang w:val="en-US" w:eastAsia="en-US" w:bidi="ar-SA"/>
              </w:rPr>
              <w:t>NEILSON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 number of applications in this matter were set for hearing on July 5, 2000. I directed that the defendant's application to strike the plaintiff's claim pursuant to Rule 19(24) proceed first, and the other applications be held in abeyance pending a decision on that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Williams commenced this action on August 4, 1999, naming the Ministry for Children and Families, c/o Government of British Columbia Province Legal Department as the defendant. The defendant brought an application pursuant to Rule 19(24). On February 21, 2000, Mr. Justice Singh ordered the defendant's motion adjourned generally, gave the plaintiff liberty to amend her Statement of Claim, and gave the defendant liberty to set the Rule 19(24) motion down for hearing after 30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Since then the plaintiff has filed several Amended Statements of Claim. She sought to file a further Amended Statement of Claim at the outset of this application, and also brought an application to substitute the name of the defendant for Ministry of Attorney-General.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consented to the filing of the further Amended Statement of Claim. It also consented to the substitution of "Her Majesty the Queen in right of the Province of British Columbia" as the proper defendant, in place of the Ministry for Children and Families, c/o Government of British Columbia Province Legal Department. The Amended Statement of Claim was accordingly filed on July 5, 2000 and the defendant's Rule 19(24) application proceeded on the basis of that pleading.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takes the position that the Amended Statement of Claim is seriously flawed. It says it fails to comply with the requirements of Rule 19 generally. It discloses no reasonable claim, and sets out no facts which could constitute a valid cause of action against the Crown. Nor does it contain meaningful allegations to which the Crown can respond appropriately in its own defence. The defendant cites Homalco Indian Band v. British Columbia, </w:t>
      </w:r>
      <w:hyperlink r:id="rId89"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(13 November 1998), Vancouver Registry No. C944747 (B.C.S.C.) at paras. 4, 5 and 9; and Berschied v. Ensign, </w:t>
      </w:r>
      <w:hyperlink r:id="rId90" w:history="1">
        <w:r>
          <w:rPr>
            <w:rFonts w:ascii="arial" w:eastAsia="arial" w:hAnsi="arial" w:cs="arial"/>
            <w:i/>
            <w:color w:val="0077CC"/>
            <w:sz w:val="20"/>
            <w:u w:val="single"/>
            <w:shd w:val="clear" w:color="auto" w:fill="FFFFFF"/>
            <w:lang w:val="en-US" w:eastAsia="en-US" w:bidi="ar-SA"/>
          </w:rPr>
          <w:t>[1999] B.C.J. No. 1172</w:t>
        </w:r>
      </w:hyperlink>
      <w:r>
        <w:rPr>
          <w:rFonts w:ascii="arial" w:eastAsia="arial" w:hAnsi="arial" w:cs="arial"/>
          <w:color w:val="000000"/>
          <w:sz w:val="20"/>
          <w:lang w:val="en-US" w:eastAsia="en-US" w:bidi="ar-SA"/>
        </w:rPr>
        <w:t>, (4 May 1999), Kelowna Registry No. 38987 (B.C.S.C.) at paras. 141-142.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 agree with the defendant. While the Statement of Claim sets out many complaints, none reveal a valid cause of action against the Crown. It refers to harassment by a number of people, rape by others, involvement of the plaintiff with various ethnic and religious groups, and violation of her rights under the Charter. The relief claimed includes damages of $883,264 representing lost houses, automobiles, moving costs, loss of furniture, costs related to her bankruptcy, loss of wages, and costs related to harassment by various people, including her ex-husband. As well, she seeks punitive and aggravated damages. While the Amended Statement of Claim does make some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it sets out no material facts to support such a claim. The plaintiff argued that some of the defendant's documents contain errors and are slanderous, but again this is not set out in the pleadings in a manner which discloses any reasonable cause of action against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It became apparent during the plaintiff's submissions that the real focus of her complaints is her ex-husband, and her perception that the defendant has failed to deal appropriately with him. For example, the plaintiff argues the defendant was obliged to order a psychiatric examination of the husband under s. 59 of the Child, Family and Community Service Act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However, that legislation does not impose any duty on the defendant to order such an examination. Moreover, the plaintiff has more appropriate remedies to deal with her complaints about her husband's activities, through the criminal law, and what I understand to be the ongoing matrimonial proceedings between them. None of these involve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short, while the Amended Statement of Claim sets out a number of complaints, these are not pleaded in any coherent way such as to disclose a reasonable claim against the defendant, or connect the plaintiff's losses to the Crown. Accordingly, I grant the defendant's motion under Rule 19(24) and order that the plaintiff's action be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NEILSON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 w:history="1">
        <w:r>
          <w:rPr>
            <w:rFonts w:ascii="arial" w:eastAsia="arial" w:hAnsi="arial" w:cs="arial"/>
            <w:b/>
            <w:bCs/>
            <w:i/>
            <w:color w:val="0077CC"/>
            <w:kern w:val="32"/>
            <w:sz w:val="28"/>
            <w:szCs w:val="32"/>
            <w:u w:val="single"/>
            <w:shd w:val="clear" w:color="auto" w:fill="FFFFFF"/>
            <w:lang w:val="en-US" w:eastAsia="en-US" w:bidi="ar-SA"/>
          </w:rPr>
          <w:t>Wong v. Luong, [2004] B.C.J. No. 2386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Curtis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10 - 14, 17 - 21 and 31, and June 1 - 4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M003806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2386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2004 BCSC 1489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135 A.C.W.S. (3d) 354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Steven Gainfaye Wong, plaintiff, and Thinh Van Luong and Xuan Truong Luong, defendants, and Belair Insurance Company Inc.,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4"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6" w:name="Keywords_5"/>
      <w:bookmarkEnd w:id="36"/>
      <w:r>
        <w:rPr>
          <w:rFonts w:ascii="arial" w:eastAsia="arial" w:hAnsi="arial" w:cs="arial"/>
          <w:b/>
          <w:color w:val="000000"/>
          <w:sz w:val="20"/>
          <w:lang w:val="en-US" w:eastAsia="en-US" w:bidi="ar-SA"/>
        </w:rPr>
        <w:t xml:space="preserve">Damages — For personal injuries — Considerations — Pre-existing medical conditions — Cost of future care — Loss of earning capacity — Non-pecuniary damages, including pain and suffering — Special damages — Psychological injuries — Depression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7" w:name="Case Summary_4"/>
            <w:bookmarkEnd w:id="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Wong against defendant Luong for damages for personal injuries suffered in a motor vehicle accident. Wong was driving northbound when he entered an intersection on a green light and stopped to wait for traffic to clear in order to make a left hand turn. The light turned amber and, after determining that there was no immediate hazard, Wong proceeded to turn left. As he turned, the his vehicle was "violently struck" by Luong's vehicle, which was headed south. Luong had accelerated in order to pass through the intersection on the amber light. The impact caused Wong's vehicle to spin 180 degrees and knocked it several car lengths south. Luong's vehicle struck a cyclist who landed on its hood. At the time of trial Wong was suffering from a variety of conditions, which together proved to be significantly disabling. His law practice had suffered and he had given up his practicing certificate.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8" w:name="Holdings of Court_1"/>
            <w:bookmarkEnd w:id="3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Judgment for Wong in the amounts of $120,000 for general damages for pain, suffering and loss of enjoyment of life; $150,000 for past and future loss of income as reduced earning capacity; $14,000 for cost of future care; and $17,300 for special damages. There was conclusive evidence that Wong entered the intersection on a green light, and was attempting to make a proper left turn when Luong wrongfully entered the intersection at high speed and accelerating. Luong's vehicle was not an immediate hazard when Wong began his turn. Luong caused the collision by accelerating into the intersection on an amber light when he ought to have stopped at the intersection. The court found that Wong was suffering from major depression, chronic pain, post-traumatic stress disorder, and obsessive-compulsive disorder. There was conclusive evidence that, at the time of trial, Wong suffered from cognitive impairment and memory problems causing him to forget phone numbers and make repeated mistakes when trying to perform calculations. He took psychiatric medication daily, slept a great deal, and was obviously depressed. While not all of his problems could be attributed to the motor vehicle collision, the court found that the contribution of the accident to his current and future state was 60%.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9" w:name="Counsel_5"/>
      <w:bookmarkEnd w:id="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Ian Royce Sisett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Peter Willcock and Sean Taylor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0" w:name="Judgment_5"/>
      <w:bookmarkEnd w:id="40"/>
      <w:r>
        <w:pict>
          <v:line id="_x0000_s1056" style="position:absolute;z-index:2517667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1" w:name="CURTIS J."/>
            <w:bookmarkEnd w:id="41"/>
            <w:r>
              <w:rPr>
                <w:rFonts w:ascii="arial" w:eastAsia="arial" w:hAnsi="arial" w:cs="arial"/>
                <w:b/>
                <w:color w:val="000000"/>
                <w:sz w:val="30"/>
                <w:lang w:val="en-US" w:eastAsia="en-US" w:bidi="ar-SA"/>
              </w:rPr>
              <w:t>CURTIS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Steven Gainfaye Wong claims damages for personal injuries suffered in a motor vehicle accident which occurred October 19,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attribute liability for that accident to the Defendants and find Mr. Wong entitled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2823"/>
        <w:gridCol w:w="251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$120,000.00</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$ 17,262.57</w:t>
            </w:r>
          </w:p>
        </w:tc>
        <w:tc>
          <w:tcPr>
            <w:tcW w:w="368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3451"/>
        <w:gridCol w:w="188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Reduced Earning Capacity</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2928"/>
        <w:gridCol w:w="2405"/>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$ 44,796.00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3660"/>
        <w:gridCol w:w="1673"/>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Tax Gross Up on Future Care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$ 14,335.00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reasons for this award are set out in the following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Tuesday, October 19, 1999, at about 3:45 p.m. in the afternoon, Mr. Wong was driving north on Main Street. He entered the intersection of Main Street and Pender on a green light and stopped to wait for the traffic to clear so that he could turn left to proceed west on Pender Street. When the light turned amber, he looked, and seeing no immediate hazard, proceeded to turn left. He was well into his turn when his vehicle was violently struck by the Defendants' vehicle which was heading south on Main Street and had accelerated to pass through the intersection on the amber light. Mr. Wong did not see the Defendants' vehicle until just before the collision, just time enough, he said, to brace himself and brake. The Defendants' vehicle hit Mr. Wong's on the right front corner, spun it 180 degrees and knocked it several car lengths south, after which the Defendants' vehicle struck a cyclist who landed on its hood, and then a post at the southwest corner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for the Third Party argued that Mr. Wong entered the intersection on an amber light, failed to see the Defendants' vehicle when it was an immediate hazard, turned in front of it when he ought not to have, and is therefore 100% responsible for the collision. The evidence does not support this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Constable Herman of the Vancouver Police was driving a police prisoner transport wagon which was stopped southbound in the right-hand lane on Main Street waiting for pedestrian traffic to clear so she could turn right to proceed west on Pender Street. She witnessed the collision. She saw Mr. Wong's vehicle waiting to turn left onto Pender with its left turn signal on. She saw the light turn amber and Mr. Wong begin his turn, then saw the Defendants' vehicle moving at a high rate of speed enter the intersection and collide with Mr. Wong, without slowing. She testified there was no immediate hazard when Mr. Wong began his turn, and that the Defendants' vehicle entered at such a high rate of speed, Mr. Wong had no time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Clayton Willoughby, the cyclist who ended up on the hood of the Defendants' car, also witnessed what happened. He was on the southwest corner of the intersection waiting to go east on Pender. He saw the light for traffic on Main turn amber, put his foot in his toe clip and looked up. As he described it, Mr. Wong's vehicle was in the intersection, waiting for the traffic to clear when the Defendants' vehicle came "out of nowhere". He clarified that description by saying he didn't see the Defendants' vehicle until the moment it entered the intersection, but he could hear what sounded like a car accelerating. He further described it as a "very fast moving object" coming from his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Wong gave evidence which fits with that of Constable Herman and Mr. Willoughby. There was no evidence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evidence proves that Mr. Wong entered the intersection on a green light, waited for the traffic to clear, and was making a proper and legal left turn when the Defendants wrongfully entered the intersection on an amber light at high speed and accelerating, and hit Mr. Wong, apparently without having seen his vehicle until it was too late to even slow by braking. The Defendants' vehicle was not an immediate hazard to Mr. Wong when he began his turn; the Defendant driver caused the collision by accelerating into the intersection on an amber light when he ought to have stopped for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major issue in Mr. Wong's damage claim is quantifying the degree to which the injuries he suffered in the October 19, 1999 collision caused or materially contributed to his present condition, and to reach an accurate assessment of what his present condition is, and what the real possibilities for the future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Steven Wong was born October 1, 1944 and is currently 60 years of age. He lives at 1421 Sandhurst Place, West Vancouver with his wife, Louise Wong, and their three children, Alalina 10, Juspin 9 and Celine 5. Mr. Wong grew up in Nanaimo where his father operated a number of restaurants as a family business. He obtained a B.Sc. in microbiology from the University of Victoria in 1967, graduated from UBC law school in 1970, and was called to the Bar as a lawyer in British Columbia in 1971. He has practised law in British Columbia from 1971 until June 30, 2004, when he did not renew his practising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Wong at the present time is suffering from a combination of conditions, the combined effect of which have been significantly disabling. At the time of trial, he was suffering from Major Depression, Pain Disorder (Chronic Pain), Post Traumatic Stress Disorder and Obsessive Compulsive Disorder. For reasons which follow, I find that it has not been proven that he suffered a Post Concussive or Mild Traumatic Brain Injury from the October 19, 1999 collision. There is no question that Mr. Wong currently suffers from cognitive impairment and memory problems which manifest themselves in many ways such as an inability to remember phone numbers from messages, making repeated mistakes when trying to calculate statements of adjustments, and impaired multi-tasking. He is not the sharp, outgoing, entrepreneurial lawyer he once was. One of his former clients said of him, "he has lost the plot" and indeed when he tries to read books he cannot follow the story lines. He now takes psychiatric medication daily, sleeps a great deal of the time and is obviously depressed. His law practice dwindled to the extent that he gave up his practising certificate. He has an uncontrollable fear of germs which causes him to wash his hands 20 or 30 times per day. He has to use the washroom repeatedly, for instance many times while seeing one of the doctors. His family life, his social life, and his recreation are all significantly impaired. He fulfils little of his role of father to his children. He is irritable, sensitive to light, ultra sensitive to bad smells and does not enjoy his food or drink as he once did because his sense of taste is altered. He experiences pain in many parts of his body. When he attended the Mood Disorder Clinic at UBC from March 1, 2004 to April 21, 2004 his overall functioning on admission was rated at 60 and on discharge at 69. He was sent to the Mood Disorder Clinic by his long time psychiatrist, Dr. Matrick, because of his thoughts of suicide, from which I infer that living had become so difficult and painful for him that death was becoming an attractive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clear, however, that not all of Steven Wong's problems can fairly be attributed to the motor vehicle collision of October 19,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Wong has had many successes in life, which allowed him to enjoy a good reputation as a lawyer, earn a good living, build a 5000 square foot custom house in West Vancouver and enjoy hobbies such as owning Ferraris and other exotic cars. On the other hand, however, he has had a long history of health problems, anxiety about his health, stress issues, depression and previous car accidents in 1991 and 1998 in both of which he was injured. Income from his law practice began shrinking well before October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Steven Wong set up his own law practice about 1973-1974. In 1974, he married Tina Johnson. They were together 10 years, but with several separations. Mr. Wong told Dr. Janke that they could not have children, which was a source of stress. The marriage ended when his wife got pregnant by her dentist during one of the separations. In the medical records of Dr. Yong, Mr. Wong's family doctor, an entry of May 2, 1979 records, "Anxiety state. Refer to Dr. J.C. Chang". Although Mr. Wong could not recall Dr. Chang, a reasonable inference is that Dr. Chang was a psychiatrist. A further entry of May 23, 1979 records "Anxiety state = depress. marital problems". Dr. Yong's medical records for that year also reveal recurrent, chronic prostatitis and a lot of problems with dermatitis which the records reveal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17th of May 1984, Dr. Yong has recorded, "Acute depression Ref to Dr. Matrick". September 23, 1984 he records, "Acute colitis" and December 1, 1984, "Anxiety State". Dr. Yong's record for May 6, 1985 notes, "Acute Depression refer to Dr. Matrick". Dr. Matrick in his report of March 4, 2003 commented that he observed from a note of June 1, 1993 that he saw Mr. Wong in 1985 "when he was going through much stress and anxiety, but also despair because of his marriage breakup". He refers to the 1985 condition as a "Stress Disorder" from which he states Mr. Wong did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Yong's record for February 29, 1986 states, "Acute depression - prolonged counselling" and for May 2, 1988, "Anxiety state re health ... fatigue syndrome". On January 16, 1991 there is another entry: "Anxiety re health ... fatigue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16th of July 1991, Mr. Wong was injured in a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May 4, 1993, Dr. Yong has recorded, "Anx state Dr. Matrick". Dr. Matrick saw Mr. Wong June 1, 1993 and notes in his report of March 04 2003: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found him to be very depressed and he had active thoughts of suicide. At that point he also had multiple anxiety symptoms with panic attack. He started out by explaining that there were many precipitating factors for his anxiety and depression, but his major concern centred around a car accident two years prior to the consultation. He was depressed about his declining physical health following that MVA, but he also suffered from chronic prostatitis and urethritis, and he required medication over a long period of time. Further precipitating events centred around the illness and death of a close friend, plus his grandmother died two years ago, and a cousin was diagnosed with cancer. He stated that his aunt, a close friend, and his mother died of cancer. Furthermore, he was under stress, anxiety and despair related to conflicts within his firm and a potential legal situation with added financial anxiety. He was still attempting to cope with his marriage breakup and divorce.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consultation of June 1993 revealed a past and personal history, which was quite troubling for Mr. Wong. He informed me that one brother was very ill with the diagnosis of Schizophrenia. He was despondent and fearful about his parent's declining health and their advanced age. He was anxious about his significant relationship, in that his girlfriend was pregnant and they were contemplating marriage quite soon. There was added stress because he recently left a firm and was joining another firm. At that consultation, Mr. Wong was complaining of back pain and declining physical health since the car accident, but also because of his urinary complications.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Matrick prescribed Zoloff at 50 mg and Immovane 7.5 mg, a sedative at bedtime.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August 3, 1993, Mr. Wong was still complaining of back and neck pain from his 1991 MVA and unable to exercise due to an injury to his ankle. By December 22, 1993, Dr. Matrick concluded what he had diagnosed as Mr. Wong's major depression was in remission although he notes, "However, stress, anxiety, and tension continued because of other factors. He was still complaining of chronic back pain, which required various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records of South Granville Chiropractic Group show Mr. Wong to have been taking chiropractic treatment in April and May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next note of depression is that of Dr. Yong for July 1, 1997 which refers to a prolonged visit for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17th of September 1998, Mr. Wong was involved in another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Yong, in his report of August 4, 1999, described Mr. Wong's injuries in that collision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 was involved in a motor vehicle accident on September 17, 1998. He was the driver of a car that was struck by another vehicle at the left front fender and bumper. He was wearing a lap-and-shoulder type seat belt at the time of the accident. During the impact, he struck his right knee against the dashboard. After the accident, he complained of recurrent dizzy spells with headache. He was also experiencing difficulty in sleeping well. He also experienced pain at the posterior aspect of his neck, right shoulder, upper and lower back, and the right knee. He came to my office for treatment on September 18, 1998. After a careful history taking and physical examination, the diagnosis of his injuries was as follows: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cervical sprain</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tendonitis at his right shoulder</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thoracic strain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lumbar strain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Contusion to his right knee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headache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 was treated with rest. I prescribed him a strong pain killer, Tylenol #3, one tablet to be taken every four hours as needed for pain. I also prescribed him an anti-inflammatory medication, Naprosyn 250 mg, one tablet to be taken twice a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with respect to a July 28, 1999 visit: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 was last assessed by me on July 28, 1999. He was still experiencing recurrent numbness and tingling sensation and coldness in his right fourth and fifth fingers. He complained of recurrent pain at the posterior aspect of his neck, thoracic area, both scapular and lumbar area(s) with tenderness and restricted movements. He also complained of right leg sciatica whenever he was sitting for a prolonged period of time, such as driving. He complained of recurrent post-traumatic headaches. I renewed the prescriptions of Tylenol #3. Mr. Wong was scheduled to have some ENG nerve conduction studies done by Dr. Thiessen. At present, Mr. Wong is still symptomatic. In my medical opinion, the prognosis is regarded as guarded. He will be monitored in my office on a regular basis over the next three to six months. If you require an updated medical legal report after this period, please feel free to contact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Wong attended the Dundarave Orthopaedic and Sports Physiotherapy Clinic with Michael Kane 44 times between his 1998 and 1999 accidents. He also saw a kinesiologist, Terry Jacobsen, 84 times before the October 19, 1999 collision. Mr. Jacobsen recorded the following entry October 7, 1999: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 indicates that he still has pain in multiple areas including his neck, right arm, and upper and lower back. Overall, he reports that his neck pain is slightly better, with no significant improvements to his right arm or upper and lower back pain. He describes his pain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Neck: Constant neck pain, particularly in his right upper trapezius ridge and lower cervical spine. Worse with poor posture, right neck rotation and prolonged sitting.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 arm: Right arm pain, which extends from his axilla down the medial aspect of his upper arm to his elbow, and tingling and numbness in his right hand. Worse with right shoulder horizontal adduction and repetitive/forceful elbow extension.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Upper back: Constant interscapular pain, which is worse on the right 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Lower back: Constant lower back ("tailbone") pain that is worse with bending forward, especially when lifting. Intermittent right buttock pain extending down the back of his thigh to his knee, which is worse when sitting prolonged, especially while sitting directly on his right buttock.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reports that he can control his pain with stretches, except when his pain level is high. He also uses Noni Juice, Naproxin, and Tylonol 3, and hot and cold to control his pain. He still attends physiotherapy and reports some relief and improvement in his neck range of motion after each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Wong also attended treatments at Ocean Walk Massage Therapy with a Ms. Kwan nine times before October 19,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Wong consulted Dr. Thiessen, a neurologist, concerning his 1998 injuries. Dr. Thiessen's opinion in his report of August 31, 1999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his symptoms are relatively mild as is the level of disability and I do not think it will impact his ability to continue working full-time at his duties. It will affect many of his leisure activities that involve significant physical exercise until the condition subsides.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recommendations for future treatment are continued physiotherapy as well as a home exercise regimen for neck stretching and relaxation. I think the amount of treatments that he is undergoing can be phased back and he should be given exercises to be performed at home. Overall I think his prognosis is good for a complete recovery although he may continue to have symptoms for many months, up to a year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Thiessen saw Mr. Wong again October 7, 1999 and noted in his October 11 report, "there has been no real improvements in his symptoms, but he continues with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Shuckett, a rheumatologist, notes in her opinion dated March 8, 2004 that Mr. Wong told her that just before his 1999 MVA he felt 25% improved from his 1998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With respect to the October 19, 1999 collision, Dr. Yong wrote in his report of February 16,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letter of January 20, 2004. The following is a detailed narrative medical legal report on the injuries of Mr. Wong in accordance with the BCMA FEE SCHEDULE A00072.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 was involved in a motor vehicle accident on October 19, 1999. He was the driver of a car which was side swiped by another vehicle travelling at a fast speed at an intersection. He was wearing a seat belt with a lap shoulder harness on. After the accident, he was brought by ambulance to the emergency department at Mt. St. Joseph Hospital. He was examined by the casualty officer, treated and later discharged. He came to my office for treatment on the following day. He complained of pain at his posterior neck, right shoulder, upper and lower back. After a careful history taking and physical examination, the diagnosis of his injuries was as follows: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cervical sprain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tendonitis at his right shoulder</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thoracic strain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lumbar strain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treated with rest. I prescribed him a strong pain killer, Tylenol #3, one tablet to be taken every four hours as needed for pain. I also prescribed him an anti-inflammatory drug, Naprosyn 250mg, one tablet twice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his conclusion to the February 16, 2004 report Dr. Yong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present, Mr. Wong is still symptomatic. In addition to the above mentioned soft tissue injuries, he has been suffering from the following medical conditions: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syndrome with acute major depression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syndrome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traumatic brain syndrome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Probable osteoarthritis of cervical and lumbar spines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Wong's injuries and medical conditions are consistent with a high impact collision as a result of the motor vehicle accident on October 19, 1999. In my medical opinion, the prognosis is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Wong attended Ocean Walk Massage November 16, 24 and December 13, 29, 1999 and took another 26 treatments between March 7 and November 30, 2000, with a further treatment in August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began physiotherapy treatments with Dundarave Orthopaedic and Sports Physiotherapy Clinic November 4, 1999 and through to December 29, 2000 took 64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March 10, 2001, he began treatments with Ocean Walk Chiropractic and to March 6, 2004 had taken 238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Between October 1999 and February 12, 2004, Mr. Wong saw Dr. Yong 32 times, and between February 6, 2001 and January 7, 2004 Dr. Matrick 21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Wong began seeing Dr. Ursula Wild, a registered psychologist, in June 2000. Dr. Wild, in her report of February 19, 2001 states, "The focus of the intervention has been on providing him with education, emotional support, as well as teaching of mood and stress management techniques and introduction of compensatory cognitive techniques." He had eight sessions to February 19, 2001 and a further 27 to December 13,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Wong consulted Dr. Matrick, his psychiatrist, following his 1999 accident on February 6, 2001. In Dr. Matrick's report of February 26, 2001 to Dr. Yong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 this occasion he was again very anxious and depressed because of multiple losses. He suffered physical injury following an MVA in 1998 but was more seriously injured following his second MVA in October 1999. Since then he has been complaining of neck and back pain with ringing in his left ear. He suffers from periodic diarrhea and sleep disturbance with frequent headaches. Since this last MVA he has been very anxious about the legal complications and he has been less productive in his work as a lawyer. He is increasingly concerned in regards to theft by a legal assistant. Finally, he was quite anxious and despondent about certain investments. He went on to describe emotional psychological symptoms with anxiety, periodic panic attacks, forgetfulness and inability to cope and periods of despair and crying.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an account of his past history. He is still concerned about one brother suffering from schizophrenia. He has remarried and has 3 young children and his wife is presently employed by him. He is concerned about his social inhibitions and social anxieties and he is most fearful about his specific skin disorder. He is on Effexor and some bedtime sedative.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Mr. Wong presents with a history of a Major Depressive Disorder precipitated by a number of losses as described. The precipitating factor appears to be the last MVA in October 1999, precipitating physical, psychological, social and employment loss. I encouraged him to increase the antidepressant and he is making further appointments as I thought that the prognosis would be favourable with continuing psychotherapy. I encouraged him to consider the day hospital at Lion's Gate Hospital if necessary on an urgent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 subsequent report dated January 8, 2003, Dr. Matrick's assessment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consultations with Mr. Wong consistently found him to be anxious, stressed, tense, nervous, fearful, irritable, phobic, lacking patience with added frustration and aggravation. He is still sad, despondent, and frequently breaks down and cries. He is increasingly anxious about the home situation, particularly with his young son who is also in psychiatric treatment. Physically, he suffers severely from rashes, dizziness, and other physical concerns. He still complains of reduced concentration with faulty memory and he is quite forgetful.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DSM-IV-TR diagnosis is Major Depressive Disorder, single episode, severe.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Complications within the diagnosis centre around Generalized Anxiety Disorder with Panic Disorder and the Post Concussion Spectrum as diagnosed by Dr. Winnett.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Presently, he is on the antidepressant Celexa and the antianxiety agent Lorazepam. He continues to make further appointments on a regular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Presently, he is attempting to deal with the added stress of the legal consequences, which is producing secondary stress and anxiety problems, which is presently quite traumatic for him and complicates the present ongoing diagnosis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his report of March 4, 2003, Dr. Matrick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history of psychological disturbance in 1985, and then again in 1993, Mr. Wong was more vulnerable to developing a more serious psychiatric disturbance following any physical or psychological trauma ... The MVA of September 1998 made him more fragile and vulnerable, but he possibly could have recovered, but then was seriously injured by the MVA of October 1999. The October 1999 MVA triggered a sequence of events producing multiple disorder in cognition, physically, psychologically, socially and within his profession and family and marital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Matrick goes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Wong's psychiatric diagnosis is categorized using the Diagnostic and Statistical Manual of Mental Disorders, Fourth Edition Text Revision.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Axis I - Clinical Psychiatric Disorder-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Depressive Disorder, single episode, severe without psychotic features. 296.23.</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Generalized Anxiety Disorder. 300.02.</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Panic Disorder with Agoraphobia. 300.21.</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Traumatic Brain Injury, as described by Dr. Winnett, to be within the post-concussive spectrum.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Axis II - Personality Disorder - No 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Axis III - General Medical Conditions - Mr. Wong suffers from a long history of serious dermatological dysfunction, gastrointestinal dysfunction, genitourinary dysfunction. He also has musculoskeletal dysfunction, especially following the October 1999 M.V.A. but also after the September 1998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Axis IV - He is having extreme difficulty in coping with all psychosocial and environmental problems centering around education, occupation, housing, economics, family, and interpersonal aspects.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Axis V - His Global Assessment of Functioning over the past two years would put him into the category of 41; with serious symptoms in personal, family, marital, social, occupational, and all other aspects of his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major psychiatric diagnosis centres around the Major Depressive Disorder, nevertheless, Mr. Wong also suffers from the Generalized Anxiety Disorder and he does have Panic Disorder with serious Agoraphobia, that is to say serious social inhibitions and fears.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Global Assessment of Functioning Scale is an attempt to grade the individual's functioning on a scale of 0 to 100, with 100 being superior functioning. This scale considers overall psychological, social, and occupational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diagnosis of Major Depressive Disorder is a major psychiatric disturbance. Such a psychiatric disorder produces severe disturbance in all aspects of the patient's functioning and interferes with all bodily systems. Such a condition is treatable, but unfortunately the prognosis for Mr. Wong is doubtful because of the multiplicity of systems involved and the wide range of disorders in all aspects of Mr. Wong's total life functions. He continues to receive excellent treatment in all aspects, but he had been seriously injured in all aspects and total recovery is doubtful in the foreseeable future. His Major Depressive Discover is now in a chronic stage. The prognosis is less favourable.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it is all possible to settle the first M.V.A., then Mr. Wong would benefit medically in terms of avoiding any further stress and exacerbation of his condition with the protracted litigation aspect.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 however, remains sufficiently competent to provide your office with appropriate instructions on all such matters.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Psychiatric treatment will continue along the lines of supportive office psychotherapy, and the prescription for various medications to help him with his depression and anxiety. He should continue in private psychological therapy with Dr. Wild. I'm not familiar with her fee structure. The fee structure for continued psychiatric consultations at present is $140.83 per hour. He should be seen at least every two weeks by a psychiatrist and indefinitely, at this point. He may require a more intensive psychiatric day program if he does not improve.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will be necessary for Mr. Wong to continue indefinitely on various antidepressants and various antianxiety agents. Furthermore, his doctors would determine his need for chiropractic or physiotherapy or massage therapy treatments.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it is extremely difficult for Mr. Wong to continue his professional practice. He is totally unable to cope with the demands of a professional law practice, and at this point he is totally disabled to practice in any capacity because of the serious psychiatric disorders.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 could have recovered from the motor vehicle crash of September 1998, and the prognosis could have been favourable.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very strong possibility that Mr. Wong may never fully recover all functions because of the motor vehicle crash of October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Wong's overall prognosis is highly guarded. There is a severe risk that his psychiatric conditions could become worse depending on other stress factors both physical and psychological that may impact upon him in the near future. He has been made fragile and vulnerable by the M.V.A.'s of September 1998 and October 1999, but more so by the October 1999 M.V.A. which initiated a progressive decline in his condition and level of productive function. He is more likely to succumb both physically and psychologically to future stress precipitants.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 subsequent report of December 16, 2003, commenting on a report by Dr. Janke, a psychiatrist retained by Belair Insurance, Dr. Matrick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October 1, 2003, I was again most concerned about Mr. Wong's severe depression and thoughts of suicide, and recommended that he enter the Psychiatric Treatment Inpatient Program at the Lion's Gate Hospital. Mr. Wong agreed with this suggestion but wanted to wait two to three weeks because of family reasons. Nevertheless, I would agree with Dr. Janke's recommendation of "Aggressive psychopharmacology". However, the difficulty is that Mr. Wong has gastrointestinal and genitourinary and skin disorder difficulties, which consistently flare up when he is on high doses of medication.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this reason, I have referred him to the Mood Disorders Clinic for further evaluation, assessment and medication recommendation. I also suggested the possibility of an intensive course of electro-convulsive therapy for his serious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I would agree with Dr. Janke that Mr. Wong should continue in cognitive therapy with Dr. Wild, but the focus should be on treating the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Ongoing stress factors continue to complicate and add to Mr. Wong's depression and anxiety. For example, his father died recently and he is attempting to deal with the family grief and despair. As a result of these ongoing multiple stress factors in Mr. Wong's life, I think that it is extremely difficult that "With appropriate intervention, return to pre-accident status is to be expected", as Dr. Janke stated. I do believe that the prognosis is severely guarded on a short-term basis, but favourable on a very long-term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Wong was examined by Dr. Raymond Ancill, a specialist in Post-Trauma Psychiatry on February 4, 2004. Dr. Ancill's opinion expressed in his letter of February 27, 2004 is:</w:t>
      </w:r>
      <w:r>
        <w:rPr>
          <w:rFonts w:ascii="arial" w:eastAsia="arial" w:hAnsi="arial" w:cs="arial"/>
          <w:sz w:val="20"/>
          <w:lang w:val="en-US" w:eastAsia="en-US" w:bidi="ar-SA"/>
        </w:rPr>
        <w:cr/>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it is a medical probability that Mr. Wong's persistent complaints and functional impairments are a direct result of the MVA in which he was involved on the 19th of October. I can establish no other reasonable explanation. He was recovering, albeit slowly from the 2nd MVA in 1998. This third MVA not only exacerbated the injuries from the 2nd accident but led to the emergence of new persistent symptoms and impairments. There seems to be general agreement about this from all the reports I have reviewed.</w:t>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also my opinion that Mr. Wong suffers from a persistent post-concussion syndrome as a result of the accident. It is generally thought that this syndrome results from diffuse axonal damage and is included in the term Mild Traumatic Brain Injury. However, proving this to medical certainty lies beyond our medical abilities at this time. Such a diagnosis is therefore essentially a clinical one based on the presence of an event that produced the injury, peritraumatic amnesia/confusion, post-injury symptoms and persistent functional impairments (as detailed in the various definitions listed in Appendix 1 of this report). The requirements of scientific medical certainty cannot be applied to this type of trauma or its consequences. I would point out that all the reports agree that there are cognitive and memory problems as well as pain, anxiety and depression. To what extent his cognitive and other complaints will improve if his depression improves may become moot if his depression does not fully recover - as I expect it not to. But for the accident of October 1999, such an issue would not have arisen.</w:t>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clinical evidence supporting that this man has sustained a MTBI is as follows: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initial period of dense post-trauma amnesia followed by a longer period of discontinuous memory and confusion</w:t>
      </w:r>
    </w:p>
    <w:p>
      <w:pPr>
        <w:numPr>
          <w:numId w:val="1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neuropsychological assessment and opinion</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opinion of his long-time treating psychiatrist</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opinion of his treating psychologist</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Emergence of persistent cognitive and behavioral changes consistent with the post-concussion syndrome</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Emergence of OCD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prognosis is poor from the probable MTBI as he has risk factors known to be associated with a poorer outcome - he is aged over 40 and has prior and current psychiatric symptoms (Hanlon RE et al, Brain Injury, 13: 873-887, 1999). That does not factor in his chronic pain, depression, PTSD, and OCD.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also my opinion that this man suffers from a complex of psychiatric disorders with symptoms that are consistent with Major Depression (chronic), Post-Trauma Stress Disorder and an Obsessive-Compulsive Disorder. Although Dr. Matrick and I might vary on the different formal DSM-IV 'labels', in our recent telephone conversation - we agreed on the general diagnoses and the causative relationship to the accident. While I would support his referral of Mr. Wong to UBC, I am not optimistic that he will make a significant recovery, given the length of time that has now elapsed since the accident.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it is my opinion that Mr. Wong suffers from a Pain Disorder with medical and psychological factors.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his ongoing symptoms and functional impairments, it is also my opinion that this man will be unable to return to full time competitive employment as a lawyer or in any other capacity - he is also approaching his 60th birthday. He will continue to have significant impairment of her [sic] work, social and personal life.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it is my opinion that I could find no clinical evidence to support that Mr. Wong is willfully, consciously or unconsciously manufacturing her [sic] symptoms for the purposes of any form of 'secondary gain'. I could find no evidence that he was suffering from a Conversion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Wong was assessed by Dr. Shuckett, a rheumatologist, February 20, 2004. She concluded he did not fulfil the features of fibromyalgia syndrome. Her diagnoses were:</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whiplash associated with disorder of the cervical spine and cerviogenic headaches;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pain syndrome of the right neck shoulder girdle region;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thoracic outlet syndrome of the right upper extremities;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thorecolumbar and lumbosacral mechanical back pain;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sacroiliac ligament strain, bilateral but worse on the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Shuckett comments that she believes Mr. Wong has chronic pain syndrome with the caveat that in her opinion there are discrete specific psychological causes of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Dr. Shuckett's opinion, "Mr. Wong's prognosis for regression of symptoms or significant recovery is poor. ... I consider it to be likely that he will have ongoing long term pain in the areas of involvement. I consider it to be likely that he will not significantly improve over his current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Wong was evaluated by Dr. Rochelle Winnett, a neurologist of the Virginia Mason Medical Centre in Seattle, Washington January 3, 2001. Her assessment at that time was that Mr. Wong's neuropsychological test results "showed a pattern of cognitive inefficiencies that are consistent with the patient's report." She concludes her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present time, it appears that there are mixtures of both organic and psychological factors interacting at present to yield this gentleman's present neurocognitive inefficiencies. The pattern of neurocognitive difficulties discerned on his testing are quite consistent with the pattern seen after a mild traumatic brain injury within the postconcussive spectrum. I suspect that there is also a not insignificant interplay with this gentleman's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recommendations at present would be that in addition to his ongoing contact with Dr. Wild, that some more aggressive treatment of his mood disorder be pursued. This might take the form of a trial of an SSRI such as Paxil, which has often times been very successful with the mixture of depression and irritability often times seen in individuals after mild traumatic brain injury. I have some concerns about this gentleman's ability to continue to function in his profession in the short term and not jeopardize his clientele or quality of his work and would recommend that he perhaps consider a brief medical leave of absence until he and his treating physicians see some functional improvement in his mood and cognition. Finally, I would recommend consideration for some cognitive rehabilitation efforts being geared towards his difficulties with attention and higher level organization and planning inefficiencies, as well as developing efficient memory compensatory strategies. It is quite possible that Dr. Wild would be able to perform some of the cognitive rehabilitation or refer in Vancouver to professionals experienced in this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the opportunity to consult on this obviously distressed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 subsequent report of February 17, 2004, Dr. Winnett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present time, in my opinion, Mr. Wong continues to demonstrate a very significant major depression and likely meets criteria for an additional chronic pain disorder given the length of time that has elapsed from his 1999 injury. He also continues to complain of cognitive difficulties, although repeat neuropsychological evaluation to the best of my knowledge has not occurred. Given the length of time that has elapsed from his 1999 injury, I suspect at this point in time that significant psychological, sleep disturbance, and chronic pain factors are significantly contributing to ongoing cognitive complaints. It may well be too difficult to separate out the signal of residual neurocognitive difficulties at this time from the very prominent noise of all of these nonneurologic factors. It is clear, however, that at this point in time, I do not think that Mr. Wong is capable of effectively managing his practice and should pursue at least a temporary medical disability. He needs ongoing aggressive treatment of his mood disorder, chronic pain, and cognitive inefficiencies. I think that he really could benefit from a coordinated rehabilitation approach to address the multiple issues that are persisting. Whether this can be accomplished in Vancouver or down here at Virginia Mason remains to be seen, but I doubt whether any significant improvement in function will occur without such a coordinated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Wong was also examined by Dr. Beckman, a neurologist, and Dr. Janke, a psychiatrist, at the request of the Third Party insurance company. Dr. Beckman's conclusion was that the 1999 accident basically aggravated the soft tissue injury from the 1998 accident. In his opinion, "the main stay of treatment in this gentleman will be psychiatric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Janke examined Mr. Wong August 27 and September 24, 2003. Dr. Janke's opinion in his letter of November 17, 2003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and 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Mr. Wong, we have a gentleman who has been involved in two motor vehicle accidents. The first motor vehicle accident on September 17, 1998 produced soft tissue injuries. He was by his report recovering from that accident at the time of the second accident of October 19, 1999. At the time of the second accident, he was still unable to help with household chores and was reporting some decrease in his work output.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second accident of October 19, 1999 Mr. Wong again suffered soft tissue injuries. He does describe being stunned but there is no clear report of loss of consciousness neither is there a clear description of confusion consistent with even a mild traumatic brain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the second motor vehicle accident, Mr. Wong developed symptoms of a Pain Disorder. He has had chronic, ongoing pain with disturbance in sleep. He has had accompanying marked irritability and has developed significant depressive symptomatology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 has also developed marked symptoms of Obsessive-Compulsive Disorder with a number of phobic symptoms including a phobia with respect to germs as well as a fear of cancer. It is not clear as to whether this represents recurrence of pre-existing symptomatology as the absence of clinical records makes it impossible to determine this. Mr. Wong also has developed significant symptoms of depression that have only been partially responsive to treatment to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records and Mr. Wong's history in my opinion clearly rule out even a mild traumatic brain injury. Mr. Wong has been involved in both psychiatric and psychological treatment. The psychological treatments with Dr. Wild appear to have had a strong focus of neurocognitive rehabilitation. I would not expect this to be effective in the presence of chronic pain and depression. The cognitive dysfunction seen in chronic pain and depression will resolve when the pain and depression are appropriately treated. Mr. Wong continues to have significant pain symptoms and does not appear to have responded to the interventions made available to him. Clearly an aggressive and appropriate treatment approach to his Pain Disorder will be expected to produce significant benefit with permanent improvement in his cognitive functioning. Additionally, his depression is very poorly controlled at present. He has not been able to tolerate the Remeron and at the time of my assessment of him was receiving only a low dose of Wellbutrin. This would not be expected to produce resolution of his symptoms. His treating psychiatrist was contacted because of the nature of Mr. Wong's suicidal ideation. His psychiatrist indicated that Mr. Wong was being referred to the mood disorders clinic at U.B.C. This is a tertiary care clinic which provides assessments and treatment recommendations in cases of complicated depression. I would highly advise that this be followed through with and would expect that with appropriate treatment Mr. Wong's symptoms would resolve. I would note he has had a previous episode of depression at a time of high stress and it would be useful to know the details of his functioning at that time and his response to intervention.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Mr. Wong, it is clear that he had a pre-existing Mood Disorder. He had had an episode of depression requiring treatment. His current episode would then be described as a relapse of a pre-existing condition. There is a suggestion that he may have been depressed in the year prior to the first motor vehicle accident but it is unclear the degree of persisting symptoms, if any, he had at the time of the accident in 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functioning post-1998 is consistent with the development of a Pain Disorder with accompanying sleep disturbance and eventually the development of significant Mood Disorder. Mr. Wong's Mood Disorder is marked by obsessive-compulsive features and this may well be an additional underlying disorder. This can only be accurately assessed with access to full pre-accident clinical records to determine if there were pre-existing obsessive-compulsive behaviours. Alternatively, that diagnosis may become clear as the depression resolves if the obsessive-compulsive symptoms persist.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present time, treatment should consist of aggressive psychopharmacology. This aspect of the treatment is being pursued by Mr. Wong's treating psychiatrist, Dr. Matrick. The expectation is that he will eventually respond to appropriate treatment with resolution of symptoms. This should also be accompanied by appropriate psychological treatment. Mr. Wong is seeing Dr. Wild who is a competent registered clinical psychologist. It would be my recommendation that the emphasis of treatment should be on the depressive symptoms. It is my opinion that his cognitive complaints will improve with improvement of his depression. Focusing treatment on the cognitive complaints will undoubtedly lead to increased frustration and possibly exacerbate Mr. Wong's depression as he will not experience improvement as there is no traumatic brain injury underlying his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Mr. Wong's history, psychopharmacological treatment will likely be prolonged. It is likely that he will require either maximal or near maximal does of medication and may require multiple medication therapy. I expect the cost of treatment will be between $50 and $150 per month depending upon choice of medications and dose. I suspect the cost will be at the higher end of the scale. Treatment will be required for between 12 and 18 months depending upon Mr. Wong's response. It should be combined with an aggressive psychological rehabilitation program. I would recommend that he have made available to him 10 to 20 sessions. I would emphasize that the focus needs to be upon a cognitive-behavioral approach to depression with possible additional focus of the treatment on obsessive-compulsive symptoms. I would strongly advise against cognitive rehabilitation as it will only reinforce Mr. Wong's perception of disability which in my opinion is inappropriate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Wong has previously had by history successful resolution of symptomatology similar to that with which he is presenting at the current time. This would predict that with appropriate intervention return to pre-accident status is to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trial, Dr. Ancill testified that 60% of people who suffered a major depression will have another episode, 70% of those who have a second episode will have a third and 90% of those who have a third episode will have a fourth. No medical expert took issue with this statistical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evidence at trial does not prove on the balance of probabilities that Mr. Wong suffered a concussion or some sort of traumatic injury to his brain in the October 19, 1999 collision. There is no evidence that he struck his head in the collision, nor that there was any period of unconsciousness. While he reported being stunned and confused momentarily and confusing the direction he gave to his wife about the hospital, the ambulance crew reports show his Glasgow Coma Scale as 15 which is normal, and the hospital records record him as being alert on admission. He gives logical and coherent evidence of what happened to him in the collision and his transport to the hospital - the gaps in his memory are no worse that the gaps in the memory of ordinary witnesses who have not been suspected of head injuries. Major depression can cause cognitive difficulties such as Mr. Wong has experienced, irritability and other symptoms associated with traumatic brain injury. Mr. Wong clearly has had, and at the time of neuropsychological testing did have, Major Depression. There is no record of contemporaneous report of headaches or dizziness associated with the October 19, 1999 collision, although there was with the one of September 1998. Taken as a whole, it is probable Mr. Wong's condition suggestive of possible brain injury as observed since October 1999 was caused by his depressive condition, not a brain injury in October 1999. I prefer the opinion of Dr. Janke on this point to that of the expert witnesses of contrary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Wong already had chronic pain in essentially the same areas of his body when he was reinjured in October 1999. He already had episodes of depression in 1979, 1984, 1985, 1986 and 1993 and was extremely likely to experience further episodes. The October 19, 1999 collision aggravated the existing pain he had and contributed to the onset and severity of his current depression. It is possible he could have recovered from his 1998 chronic pain state if the October 19, 1999 injury had not occurred, however his medical history suggests that was not likely to occur quickly. I am persuaded that the central feature of his condition is his depression. Were that to be alleviated he would be in a much better position to deal with pain issues - but unfortunately - the pain itself contributes to his depression. There is some hope that a facility like the St. Paul's Chronic Pain program may help Mr. Wong. Although his psychiatric outlook is uncertain, he did recover from previous depressions. Dr. Matrick assessed his Global Assessment of Functioning score March 4, 2003 at 41 out of 100, 100 representing superior functioning. The UBC Mood Disorder Clinic assessed his GAF at 60 on admission and 69 on discharge. This would indicate significant progress. There is no evidence of severe damage to the bone structure of his body. He has recovered from previous car accidents and he has recovered from previous depressions.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Matrick, in his report of January 8, 2003, notes that this legal action is impairing his recovery. Once the legal issues are resolved this will no longer be a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report of December 16, 2003, Dr. Matrick states, "I do believe that the prognosis is severely guarded on a short-term basis, but favourable on a very long term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Treatment with electroconvulsive therapy was recommended in the mood disorder clinic. It has not occurred either because Mr. Wong did not wish to pursue that course or there were difficulties with allergy to anesthetic; however, that treatment holds out hope of progress if pursued. It is anticipated that treatment in a Pain Clinic would bring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possible he will not improve in the future but I would rate that possibility at 20%. I find there is an 80% chance he will make significant functional recovery in the future, but likely at best to the state he was before his 1998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Considering Mr. Wong's condition just prior to his October 19, 1999 injury, and the fact that he had active chronic pain and was extremely likely to suffer further depression, I assess the contribution of his October 19, 1999 injuries to his current and future state to be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assess Mr. Wong's claim for general damages for pain, suffering and loss of enjoyment of life to the present time, and considering the reasonable and real possibilities for the future, to the extent that the October 19, 1999 caused or contributed to them, at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and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Wong's claim for past and future wage loss is presented upon the basis that his earnings as a lawyer were impaired and are now ended, and that he has lost the opportunity to earn money as an entrepreneur.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Wong took part in the successful launch of a pharmaceutical company now listed on the Toronto Stock Exchange, he made a 6% commission on about $1,600,000 he raised in mortgage money for the Oasis Motel, and he was part of a company promoting a Casino game called Wizards Are Wild which has failed to progress. His income history, however, includes his income from all sources, whether entrepreneurial or from his law practice (except to the extent that some of his business efforts produced non-taxable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Wong's primary income was from his legal practice which was based upon real estate conveyancing with some estate and company work. Mr. Wong carried on his practice of law through a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 record of new files opened in Mr. Wong's practice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6"/>
        <w:gridCol w:w="1987"/>
        <w:gridCol w:w="177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1994 - 781</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1998 - 256</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2002 - 68</w:t>
            </w:r>
          </w:p>
        </w:tc>
        <w:tc>
          <w:tcPr>
            <w:tcW w:w="460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1995 - 563</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1999 - 164</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2003 - 44</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987"/>
        <w:gridCol w:w="64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1996 - 505</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2000 - 112</w:t>
            </w:r>
          </w:p>
        </w:tc>
        <w:tc>
          <w:tcPr>
            <w:tcW w:w="634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6"/>
        <w:gridCol w:w="1778"/>
        <w:gridCol w:w="66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1997 - 384</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2001 - 73</w:t>
            </w:r>
          </w:p>
        </w:tc>
        <w:tc>
          <w:tcPr>
            <w:tcW w:w="655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record is remarkable for the inexorable downward trend. An effort was made to suggest that a drop in the real estate market was a major contributor - in particular - the return of many Hong Kong Chinese in 1997 as fears of China's takeover of Hong Kong subsided. Mr. Wong's business was chiefly with Chinese and East Indian clients. The steadily diminishing number of files opened, however, suggests that the real estate market is not the explanation. Mr. Mackay, in his report at page 5, does not find a correlation between Mr. Wong's earnings and the real estate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Wong's law company had revenues as follows (company years ended January 30th - Steven G. Wong Personal Law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2614"/>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1990 - 167,152</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1997 - 199,415</w:t>
            </w:r>
          </w:p>
        </w:tc>
        <w:tc>
          <w:tcPr>
            <w:tcW w:w="522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1991 - 126,791</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1998 - 177,190</w:t>
            </w:r>
          </w:p>
        </w:tc>
        <w:tc>
          <w:tcPr>
            <w:tcW w:w="522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1992 - 470,610</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1999 - 149,698</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1568"/>
        <w:gridCol w:w="1046"/>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1993 - 397,518</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85,087</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2614"/>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1994 - 332,539</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2001 - 105,744</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1568"/>
        <w:gridCol w:w="1046"/>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1995 - 407,388</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2002 -</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74,596</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2614"/>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1996 - 249,800</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2003 - 110,722</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8"/>
        <w:gridCol w:w="1046"/>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2004 -</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95,805</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Wong's income from his law practice and other income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823"/>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Law Practice*</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Personal Income from Firm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1673"/>
        <w:gridCol w:w="3346"/>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1992</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207,397</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204,701</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1464"/>
        <w:gridCol w:w="3555"/>
        <w:gridCol w:w="49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1993</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1,623</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121,782</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1673"/>
        <w:gridCol w:w="3137"/>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1994</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157,563</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96,705</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1568"/>
        <w:gridCol w:w="3241"/>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1995</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30,896</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51,208</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1996</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27,372</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38,848</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1997</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39,722</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54,748</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1464"/>
        <w:gridCol w:w="3346"/>
        <w:gridCol w:w="51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7,444</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40,386</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836"/>
        <w:gridCol w:w="2091"/>
        <w:gridCol w:w="1882"/>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w:t>
            </w:r>
          </w:p>
        </w:tc>
        <w:tc>
          <w:tcPr>
            <w:tcW w:w="819"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&lt;29,308&gt;</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49,464</w:t>
            </w:r>
          </w:p>
        </w:tc>
        <w:tc>
          <w:tcPr>
            <w:tcW w:w="501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&lt;4,318&gt;</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41,036</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1464"/>
        <w:gridCol w:w="3346"/>
        <w:gridCol w:w="51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3,295</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31,999</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1568"/>
        <w:gridCol w:w="3241"/>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19,372</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87,702</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[*Calculated by adding his company's net income before other income and taxes to the salary and wages paid to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According to records from Revenue Canada, Mr. Wong's net income from previous years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568"/>
        <w:gridCol w:w="773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1979</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41,971</w:t>
            </w:r>
          </w:p>
        </w:tc>
        <w:tc>
          <w:tcPr>
            <w:tcW w:w="757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42,732</w:t>
            </w:r>
          </w:p>
        </w:tc>
        <w:tc>
          <w:tcPr>
            <w:tcW w:w="757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1981</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14,676</w:t>
            </w:r>
          </w:p>
        </w:tc>
        <w:tc>
          <w:tcPr>
            <w:tcW w:w="757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1982</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12,958</w:t>
            </w:r>
          </w:p>
        </w:tc>
        <w:tc>
          <w:tcPr>
            <w:tcW w:w="757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941"/>
        <w:gridCol w:w="836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1983</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819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568"/>
        <w:gridCol w:w="773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1984</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46,434</w:t>
            </w:r>
          </w:p>
        </w:tc>
        <w:tc>
          <w:tcPr>
            <w:tcW w:w="757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941"/>
        <w:gridCol w:w="836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1985</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819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568"/>
        <w:gridCol w:w="773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1986</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93,595</w:t>
            </w:r>
          </w:p>
        </w:tc>
        <w:tc>
          <w:tcPr>
            <w:tcW w:w="757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1987</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23,196</w:t>
            </w:r>
          </w:p>
        </w:tc>
        <w:tc>
          <w:tcPr>
            <w:tcW w:w="757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1988</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94,215</w:t>
            </w:r>
          </w:p>
        </w:tc>
        <w:tc>
          <w:tcPr>
            <w:tcW w:w="757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1778"/>
        <w:gridCol w:w="75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1989</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106,209</w:t>
            </w:r>
          </w:p>
        </w:tc>
        <w:tc>
          <w:tcPr>
            <w:tcW w:w="737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568"/>
        <w:gridCol w:w="773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97,848</w:t>
            </w:r>
          </w:p>
        </w:tc>
        <w:tc>
          <w:tcPr>
            <w:tcW w:w="757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1991</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90,911</w:t>
            </w:r>
          </w:p>
        </w:tc>
        <w:tc>
          <w:tcPr>
            <w:tcW w:w="757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Howard Teasley, the business valuator retained on Mr. Wong's behalf, in his written opinion of March 11, 2002, calculates Mr. Wong's past loss of income to May 10, 2004 to be from $239,700 - $349,200 (after taxes) and his future loss of income to be between $433,200 and $643,200.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Robert D. Mackay, the business valuator retained by the Third Party in his written opinion of May 7, 2004 states, "there was no clear indication to us that Mr. Wong suffered any past loss of income due to the October 19, 1999 accident" and with respect to the claim for future loss writes, "We have not performed any calculations with respect to Mr. Wong's future loss of income, if any, because there was no indication of any past or future award loss." Clearly, the certainty of mathematics provides little comfort in this case where the assumptions upon which calculations are made are so divergent.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do not accept Mr. Teasley's approach of comparing Mr. Wong's 1986 to 1993 earnings to typical B.C. lawyers as a basis for his calculations, while failing to take into account his earnings from 1994 - 1998, as a valid approach for my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am satisfied that Mr. Wong's ability to practice law from October 19, 1999, which was already compromised before the accident, was further compromised by the October 19, 1999 injuries, and the ensuing major depression to which those injuries contributed. What was compromised however, was not Mr. Wong's practice as it was in his best days but a practice, both in law and in his entrepreneurial endeavours, that was in decline, and overshadowed by the likelihood of a further major depression even without the October 1999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Mathematical calculations of Mr. Wong's past and future loss is neither possible nor appropriate in the circumstances. The best I can do is make an assessment of what is reasonable compensation for losses which I am certain he has experienced but which are very difficult to quantify. Allowing for the extent to which the October 19, 1999 injuries have contributed to his past and future loss of income, which includes an allowance for the contingencies of life, I award Mr. Wong for past loss of income from October 19, 1999 to the date of trial, June 2004, $50,000 and for future loss of income, which in Mr. Wong's case, I find is more appropriately compensated as reduced earning capacity (allowing for the compromised state he was in prior to October 1999), $150,000. This is an award to compensate him globally for the reduction in his ability to pursue gainful employment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Despite the numerous massage, chiropractic and physiotherapy treatment Mr. Wong has attended, there is little or no evidence of improvement from those treatments. I make no award for future care costs for those kinds of treatment which appear to have consumed a great deal of Mr. Wong's time and given him nothing of lasting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find there is no necessity for Mr. Wong to travel to Seattle to obtain treatment and therefore do not award any amount for attendance at the Virginia Mason Clinic. I do find that attendance at a Vancouver Pain Clinic would be appropriate and I award Mr. Wong $8,458 being 60% of the $14,098 cost of the Vancouver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find that the cost of further psychological counselling (including some spousal counselling) is also an appropriate head of compensation as future care costs and award Mr. Wong $12,000 being 60% of the sum of $20,000, which I find a reasonable amount for his present and likely condition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Wong will need the services of Dr. Matrick, his psychiatrist; however, those services are paid by the Medical Services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Wong will also experience significant costs for drugs in the future. The current estimated annual costs are $1,030; however, what he takes and what it costs is subject to wide variation. Using Mr. Teasley's future care costs multiplier, I calculate the appropriate award to be 60% ($1,030 x $14,233) = $8,796.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do not find it appropriate to award an amount to have a registered occupational therapist manage treatment in Mr. Wong's case. I believe he is fully capable of organizing the psychiatric and counselling appointments he needs, arranging to attend a pain clinic and obtaining the necessary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do find Mr. Wong is entitled to some award for his decreased ability to do home and yard maintenance. Allowing for the fact that he already employed gardeners and other tradesmen on occasion, I find suitable compensation for the future cost of work he would have done himself but now will not, is 60% of (52 x $35 x 14,233) = $15,542.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also award the sum of $14,335 being the gross up for taxes on these future expenses at a rate of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While I do not accept the cost of massage, physiotherapy and chiropractic treatment as an appropriate head of damage for cost of future care, I do accept that Mr. Wong's attempt to rehabilitate himself, through these forms of treatment to date, while largely without success, was reasonable. I also accept that the following expenses were incurred in relation to the October 19, 1999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Wong is entitled to recover the following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Prescription Drugs</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$1,728.17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Treatment by Dr. Wild</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$5,150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Ocean Walk Chiropractic</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$5,815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647"/>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Dundarave Orthopaedic Sport Therapy</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$1,195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Ambulance Service</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Ronald Laye</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Travel Expense (as claimed)</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$2,720.40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attendance at the Virginia Mason Clinic was part of the cost of the trial, not a special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Management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There is no basis upon which to award a management fee. Mr. Wong is capable of investing his award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Subject to deductions for Part VII benefits and adjustments for any mathematical errors, Mr. Wong is entitled to recover the amounts as set out in this Judgment, plus court order interest on his past loss of income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Counsel may address the issue of costs, and any other matters arising out of this Judgment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CURTIS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 w:history="1">
        <w:r>
          <w:rPr>
            <w:rFonts w:ascii="arial" w:eastAsia="arial" w:hAnsi="arial" w:cs="arial"/>
            <w:b/>
            <w:bCs/>
            <w:i/>
            <w:color w:val="0077CC"/>
            <w:kern w:val="32"/>
            <w:sz w:val="28"/>
            <w:szCs w:val="32"/>
            <w:u w:val="single"/>
            <w:shd w:val="clear" w:color="auto" w:fill="FFFFFF"/>
            <w:lang w:val="en-US" w:eastAsia="en-US" w:bidi="ar-SA"/>
          </w:rPr>
          <w:t>Cannon v. Al Perrett Enterprises Inc. (c.o.b. Kamloops Harley-Davidson), [2018] B.C.J. No. 382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Donegan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8-10,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S144383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337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Roy Garnet Cannon, Plaintiff, and Al Perrett Enterprises Inc. d.b.a. Kamloops Harley-Davidson,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(144 paras.)</w:t>
      </w:r>
    </w:p>
    <w:p>
      <w:pPr>
        <w:jc w:val="both"/>
        <w:rPr>
          <w:rFonts w:ascii="arial" w:eastAsia="arial" w:hAnsi="arial" w:cs="arial"/>
          <w:sz w:val="20"/>
          <w:lang w:val="en-US" w:eastAsia="en-US" w:bidi="ar-SA"/>
        </w:rPr>
      </w:pPr>
      <w:bookmarkStart w:id="42" w:name="Counsel_6"/>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J.V. Payne.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 Rhone.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3" w:name="Judgment_6"/>
      <w:bookmarkEnd w:id="43"/>
      <w:r>
        <w:pict>
          <v:line id="_x0000_s1059" style="position:absolute;z-index:251716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4" w:name="S.A. DONEGAN J."/>
            <w:bookmarkEnd w:id="44"/>
            <w:r>
              <w:rPr>
                <w:rFonts w:ascii="arial" w:eastAsia="arial" w:hAnsi="arial" w:cs="arial"/>
                <w:b/>
                <w:color w:val="000000"/>
                <w:sz w:val="30"/>
                <w:lang w:val="en-US" w:eastAsia="en-US" w:bidi="ar-SA"/>
              </w:rPr>
              <w:t>S.A. DONEGAN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August 21, 2013, the plaintiff, Roy Garnet Cannon, was injured when the motorcycle he was operating crashed on a highway near Merritt, British Columbia. No other vehicles were involved. The motorcycle had just been repaired at a repair shop owned by the defendant, Al Perrett Enterprises Inc. d.b.a. Kamloops Harley-Davidson. The plaintiff seeks damages from the defendant for the injuries he suffered in the crash, alleging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denies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It denies in any manner causing or contributing to the plaintiff's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now applies,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to have the issue of its liability determined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commenced this action on June 5, 2014, alleging that following repairs done at the defendant's repair shop, he was operating his motorcycle when "the rear axle sheared off" causing him to lose control and crash. The defendant filed its Response to Civil Claim on July 23, 2014. A conventional trial was scheduled for nine days to commence February 5,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August 2017, the defendant approached the plaintiff seeking to schedule a one-day summary trial on the issue of liability. The defendant's present application was filed on October 16, 2017, the plaintiff's response filed on November 6, 2017 and the application scheduled for November 8, 2017. The plaintiff was of the view the issue of liability should not be resolved by way of summary trial. His primary objection revolved around the contentious and conflicting evidence of the parties' experts. The parties agreed to cross-examine each other's expert at the summary trial, but the plaintiff felt one day was insufficient to conduct a thorough cross-examination of the defendant's expert. For this reason, the duration of the summary trial was extended to three days. Although thorough cross-examination eliminated the plaintiff's central objection to the summary trial procedure, he maintains some objection to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Given the jury trial scheduled to commence February 5, 2018, I advised the parties following the hearing that I considered the determination of the issue of liability suitable for the summary trial process. I was subsequently advised that counsel agreed to adjourn the conventional trial, with dates to be reset in the event a trial on the issue of damages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begin by explaining why I find this issue suitable for determination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Rule 9-7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applies to applications for summary trial. Rule 9-7(2) permits a party to an action to apply to the court for judgment under the Rule either on an issue or generally. Evidence may be tendered in a variety of forms - affidavits, answers to interrogatories, examinations for discovery transcripts, admissions and expert reports: Rule 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scope of the summary trial application is set out in Rule 9-7(15):</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Under this Rule, the court "tries the issues raised by the pleadings on affidavits", that a "triable issue or arguable defence will not always defeat a summary trial application" and that "cases will be decided summarily if the court is able to find the facts necessary for that purpose, even though there may be disputed issues of fact and law," provided the court does not find "it unjust to do so":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 30 citing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determining whether it would be unjust to proceed, the court is to consider a number of non-exhaustive factors, including the amount involved, the complexity of the matter, its urgency, any prejudice likely to arise by reason of delay, the cost of taking the case forward to a conventional trial in relation to the amount involved, the course of the proceedings, costs of the litigation and time of the summary trial, whether credibility is a critical factor in determination of the dispute, whether the summary trial may create an unnecessary complexity in the resolution of the dispute and whether the application will result in litigation in slices: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paras. 30-31.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summarized the jurisprudence in this area at paras. 34-35: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summary, the jurisprudence is clear that, subject to certain guidelines, the decision as to the suitability of proceeding by way of summary trial to determine an action (or issue), is a discretionary one. Appellate deference is given to the exercise of discretionary powers in the absence of a clear conclusion that the discretion has been wrongly exercised, in that no weight or insufficient weight has been given to relevant considerations (see </w:t>
      </w:r>
      <w:r>
        <w:rPr>
          <w:rFonts w:ascii="arial" w:eastAsia="arial" w:hAnsi="arial" w:cs="arial"/>
          <w:i/>
          <w:color w:val="000000"/>
          <w:sz w:val="20"/>
          <w:lang w:val="en-US" w:eastAsia="en-US" w:bidi="ar-SA"/>
        </w:rPr>
        <w:t>Creasey v. Sweny</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(1942), 57 B.C.R. 457</w:t>
        </w:r>
      </w:hyperlink>
      <w:r>
        <w:rPr>
          <w:rFonts w:ascii="arial" w:eastAsia="arial" w:hAnsi="arial" w:cs="arial"/>
          <w:color w:val="000000"/>
          <w:sz w:val="20"/>
          <w:lang w:val="en-US" w:eastAsia="en-US" w:bidi="ar-SA"/>
        </w:rPr>
        <w:t xml:space="preserve"> at 459 (C.A.); </w:t>
      </w:r>
      <w:r>
        <w:rPr>
          <w:rFonts w:ascii="arial" w:eastAsia="arial" w:hAnsi="arial" w:cs="arial"/>
          <w:i/>
          <w:color w:val="000000"/>
          <w:sz w:val="20"/>
          <w:lang w:val="en-US" w:eastAsia="en-US" w:bidi="ar-SA"/>
        </w:rPr>
        <w:t>Friends of the Oldman River Society v. Canada (Minister of Transport)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w:t>
      </w:r>
      <w:r>
        <w:rPr>
          <w:rFonts w:ascii="arial" w:eastAsia="arial" w:hAnsi="arial" w:cs="arial"/>
          <w:color w:val="000000"/>
          <w:sz w:val="20"/>
          <w:lang w:val="en-US" w:eastAsia="en-US" w:bidi="ar-SA"/>
        </w:rPr>
        <w:t xml:space="preserve"> at para. 104; </w:t>
      </w:r>
      <w:r>
        <w:rPr>
          <w:rFonts w:ascii="arial" w:eastAsia="arial" w:hAnsi="arial" w:cs="arial"/>
          <w:i/>
          <w:color w:val="000000"/>
          <w:sz w:val="20"/>
          <w:lang w:val="en-US" w:eastAsia="en-US" w:bidi="ar-SA"/>
        </w:rPr>
        <w:t>Stone v. Ellerman</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2009 BCCA 294</w:t>
        </w:r>
      </w:hyperlink>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92 B.C.L.R. (4th) 203</w:t>
        </w:r>
      </w:hyperlink>
      <w:r>
        <w:rPr>
          <w:rFonts w:ascii="arial" w:eastAsia="arial" w:hAnsi="arial" w:cs="arial"/>
          <w:color w:val="000000"/>
          <w:sz w:val="20"/>
          <w:lang w:val="en-US" w:eastAsia="en-US" w:bidi="ar-SA"/>
        </w:rPr>
        <w:t xml:space="preserve"> at para. 94, leave to appeal ref'd </w:t>
      </w:r>
      <w:hyperlink r:id="rId110" w:history="1">
        <w:r>
          <w:rPr>
            <w:rFonts w:ascii="arial" w:eastAsia="arial" w:hAnsi="arial" w:cs="arial"/>
            <w:i/>
            <w:color w:val="0077CC"/>
            <w:sz w:val="20"/>
            <w:u w:val="single"/>
            <w:shd w:val="clear" w:color="auto" w:fill="FFFFFF"/>
            <w:lang w:val="en-US" w:eastAsia="en-US" w:bidi="ar-SA"/>
          </w:rPr>
          <w:t>[2009] S.C.C.A. No. 364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Bell v. Levy</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2011 BCCA 417</w:t>
        </w:r>
      </w:hyperlink>
      <w:r>
        <w:rPr>
          <w:rFonts w:ascii="arial" w:eastAsia="arial" w:hAnsi="arial" w:cs="arial"/>
          <w:color w:val="000000"/>
          <w:sz w:val="20"/>
          <w:lang w:val="en-US" w:eastAsia="en-US" w:bidi="ar-SA"/>
        </w:rPr>
        <w:t xml:space="preserve"> at para. 75), or it appears that the decision is clearly wrong and may result in an injustice (see </w:t>
      </w:r>
      <w:r>
        <w:rPr>
          <w:rFonts w:ascii="arial" w:eastAsia="arial" w:hAnsi="arial" w:cs="arial"/>
          <w:i/>
          <w:color w:val="000000"/>
          <w:sz w:val="20"/>
          <w:lang w:val="en-US" w:eastAsia="en-US" w:bidi="ar-SA"/>
        </w:rPr>
        <w:t>Taylor v. Vancouver General Hospital</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(1945), 62 B.C.R. 42</w:t>
        </w:r>
      </w:hyperlink>
      <w:r>
        <w:rPr>
          <w:rFonts w:ascii="arial" w:eastAsia="arial" w:hAnsi="arial" w:cs="arial"/>
          <w:color w:val="000000"/>
          <w:sz w:val="20"/>
          <w:lang w:val="en-US" w:eastAsia="en-US" w:bidi="ar-SA"/>
        </w:rPr>
        <w:t xml:space="preserve"> at 50, </w:t>
      </w:r>
      <w:hyperlink r:id="rId112" w:history="1">
        <w:r>
          <w:rPr>
            <w:rFonts w:ascii="arial" w:eastAsia="arial" w:hAnsi="arial" w:cs="arial"/>
            <w:i/>
            <w:color w:val="0077CC"/>
            <w:sz w:val="20"/>
            <w:u w:val="single"/>
            <w:shd w:val="clear" w:color="auto" w:fill="FFFFFF"/>
            <w:lang w:val="en-US" w:eastAsia="en-US" w:bidi="ar-SA"/>
          </w:rPr>
          <w:t>[1945] 3 W.W.R. 510</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authorities are also clear that a summary trial, although heard on affidavits in chambers, remains a trial of the action for which the plaintiff (even if not the applicant) retains the onus of proof of establishing his or her claim(s) and the defendant (even if not the applicant) retains the burden of establishing any defence that is raised. Mr. Justice Wood, writing for the Court in </w:t>
      </w:r>
      <w:r>
        <w:rPr>
          <w:rFonts w:ascii="arial" w:eastAsia="arial" w:hAnsi="arial" w:cs="arial"/>
          <w:i/>
          <w:color w:val="000000"/>
          <w:sz w:val="20"/>
          <w:lang w:val="en-US" w:eastAsia="en-US" w:bidi="ar-SA"/>
        </w:rPr>
        <w:t>Miura v. Miura</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(1992), 66 B.C.L.R. (2d) 345</w:t>
        </w:r>
      </w:hyperlink>
      <w:r>
        <w:rPr>
          <w:rFonts w:ascii="arial" w:eastAsia="arial" w:hAnsi="arial" w:cs="arial"/>
          <w:color w:val="000000"/>
          <w:sz w:val="20"/>
          <w:lang w:val="en-US" w:eastAsia="en-US" w:bidi="ar-SA"/>
        </w:rPr>
        <w:t xml:space="preserve"> (C.A.), clarified this issue (at page 352):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reason why the onus should be reversed simply because the defendant moves for judgment under Rule 18A, thus requiring the plaintiff to prove her case in a summary trial proceeding.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onus of proof does not shift simply because a trial is conducted summarily under rule 18A [now R. 9-7]. As in an ordinary trial, the party asserting the affirmative of an issue must prove it on a balance of probabilities. I believe that such a result is also consistent with what was said by McEachern, C.J.B.C. in </w:t>
      </w:r>
      <w:r>
        <w:rPr>
          <w:rFonts w:ascii="arial" w:eastAsia="arial" w:hAnsi="arial" w:cs="arial"/>
          <w:i/>
          <w:color w:val="000000"/>
          <w:sz w:val="20"/>
          <w:lang w:val="en-US" w:eastAsia="en-US" w:bidi="ar-SA"/>
        </w:rPr>
        <w:t>Inspiration Management et al. v. McDermid et al</w:t>
      </w:r>
      <w:r>
        <w:rPr>
          <w:rFonts w:ascii="arial" w:eastAsia="arial" w:hAnsi="arial" w:cs="arial"/>
          <w:color w:val="000000"/>
          <w:sz w:val="20"/>
          <w:lang w:val="en-US" w:eastAsia="en-US" w:bidi="ar-SA"/>
        </w:rPr>
        <w:t>. [citation omitted] at page 215 of the report: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test for R. 18A, in my view, is the same as on a trial. Upon the facts being found the chambers judge must apply the law and all appropriate legal principles. If then satisfied that the claim or defence has been established according to the appropriate onus of proof he must give judgment according to the law unless he has the opinion that it will be unjust to give such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Indeed, the respondents gave express notice to Mr. Gichuru of his burden in the application by referring to the first paragraph of this passage in their summary of the legal basis for their application to strike Mr. Gichuru's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submits that all relevant facts necessary to determine the issue of liability in a fair and just manner are before me, that the matter is not complex and the only evidence in dispute, the opinions of the experts, has been thoroughly tested by cross-examination. The defendant also emphasizes that the parties would suffer unnecessary cost if the matter proceeded by way of conventional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the plaintiff's primary objection to the summary trial process eliminated by cross-examination of the experts and the extended length of the hearing, his remaining objections include his view that the court may be unable to resolve the contest in the expert evidence, that his right to a jury trial is undermined and that proceeding to a conventional trial would allow the plaintiff "more time and flexibility to deal with complex expert evidence, and any other evidentiary issues or shortcomings that may arise.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this application seeks to effectively sever the liability and quantum issues in this trial, I am first to consider whether there are "extraordinary, exceptional or compelling reasons" to do so: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2011 BCSC 412</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conclude there are compelling reasons for severance in this case. Unlike the situation in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xml:space="preserve">, there are no credibility issues that can be seen to be an integral part of both the liability and quantum sides of this case. As was the case in </w:t>
      </w:r>
      <w:r>
        <w:rPr>
          <w:rFonts w:ascii="arial" w:eastAsia="arial" w:hAnsi="arial" w:cs="arial"/>
          <w:i/>
          <w:color w:val="000000"/>
          <w:sz w:val="20"/>
          <w:lang w:val="en-US" w:eastAsia="en-US" w:bidi="ar-SA"/>
        </w:rPr>
        <w:t>Gladney v. Capital (Regional District)</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2015 BCSC 2585</w:t>
        </w:r>
      </w:hyperlink>
      <w:r>
        <w:rPr>
          <w:rFonts w:ascii="arial" w:eastAsia="arial" w:hAnsi="arial" w:cs="arial"/>
          <w:color w:val="000000"/>
          <w:sz w:val="20"/>
          <w:lang w:val="en-US" w:eastAsia="en-US" w:bidi="ar-SA"/>
        </w:rPr>
        <w:t>, there is, in the case at bar, no suggestion that the assessment of the plaintiff's damages is relevant to the defendant's liability. To borrow Weatherill J.'s words, I conclude "there is no good reason why the parties should proceed to a full trial on liability and damages where, as is the case here, the question of liability can easily be determined without a full trial": Gladney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Given the evidence adduced, the issues at play and the use of cross-examination of the experts, I think the issue of liability is perfectly suited for determination on a summary trial basis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I am able to find the facts necessary to resolve the issue, even in the disputed areas. The use of discovery transcripts, pre-trial cross-examination and cross-examination at trial assists greatly. I also find it would be just to try the issue of liability on a summary trial basis. Both parties came to this summary trial fully prepared. The evidence adduced derives from a number of sources, including affidavits, examination for discovery transcripts, admissions, pre-trial cross-examination, expert reports and, of course, cross-examination of the experts. Other than the opinions of the experts and perhaps some aspects of the plaintiff's evidence, there is very little controversy on the factual issues. The factual determinations and the applicable law are not overly complex. Credibility of the defence expert was the only issue of credibility raised and, through cross-examination of that witness, I find I am able to make determinations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three-day summary trial with cross-examination of the experts is certainly more cost-effective than a conventional trial. If liability is resolved in the defendant's favour, no further trial time would be needed. If liability is resolved in the plaintiff's favour, settlement negotiations may be promoted or, if necessary, a conventional trial could still be held within a reasonable time, for a shorter duration and with less complexity and cost than the original conventional trial. As well, I see no potential for duplication or inconsistent findings by deciding liability first as there are no issues intertwined between liability and quantum that would remain.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reaching this conclusion, I considered the plaintiff's position that he should not be deprived of his right to a jury trial. The plaintiff argues that the wisdom and combined decision-making of a jury should not be sacrificed in the name of expediency. For this proposition, he relies upon </w:t>
      </w:r>
      <w:r>
        <w:rPr>
          <w:rFonts w:ascii="arial" w:eastAsia="arial" w:hAnsi="arial" w:cs="arial"/>
          <w:i/>
          <w:color w:val="000000"/>
          <w:sz w:val="20"/>
          <w:lang w:val="en-US" w:eastAsia="en-US" w:bidi="ar-SA"/>
        </w:rPr>
        <w:t>Gish v. Hooper Insurance and Financial Services Inc.</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2010 BCSC 605</w:t>
        </w:r>
      </w:hyperlink>
      <w:r>
        <w:rPr>
          <w:rFonts w:ascii="arial" w:eastAsia="arial" w:hAnsi="arial" w:cs="arial"/>
          <w:color w:val="000000"/>
          <w:sz w:val="20"/>
          <w:lang w:val="en-US" w:eastAsia="en-US" w:bidi="ar-SA"/>
        </w:rPr>
        <w:t xml:space="preserve">, reversed on other grounds, </w:t>
      </w:r>
      <w:hyperlink r:id="rId117" w:history="1">
        <w:r>
          <w:rPr>
            <w:rFonts w:ascii="arial" w:eastAsia="arial" w:hAnsi="arial" w:cs="arial"/>
            <w:i/>
            <w:color w:val="0077CC"/>
            <w:sz w:val="20"/>
            <w:u w:val="single"/>
            <w:shd w:val="clear" w:color="auto" w:fill="FFFFFF"/>
            <w:lang w:val="en-US" w:eastAsia="en-US" w:bidi="ar-SA"/>
          </w:rPr>
          <w:t>2011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However, </w:t>
      </w:r>
      <w:r>
        <w:rPr>
          <w:rFonts w:ascii="arial" w:eastAsia="arial" w:hAnsi="arial" w:cs="arial"/>
          <w:i/>
          <w:color w:val="000000"/>
          <w:sz w:val="20"/>
          <w:lang w:val="en-US" w:eastAsia="en-US" w:bidi="ar-SA"/>
        </w:rPr>
        <w:t>Gish</w:t>
      </w:r>
      <w:r>
        <w:rPr>
          <w:rFonts w:ascii="arial" w:eastAsia="arial" w:hAnsi="arial" w:cs="arial"/>
          <w:color w:val="000000"/>
          <w:sz w:val="20"/>
          <w:lang w:val="en-US" w:eastAsia="en-US" w:bidi="ar-SA"/>
        </w:rPr>
        <w:t xml:space="preserve"> does not appear to stand for this proposition. In </w:t>
      </w:r>
      <w:r>
        <w:rPr>
          <w:rFonts w:ascii="arial" w:eastAsia="arial" w:hAnsi="arial" w:cs="arial"/>
          <w:i/>
          <w:color w:val="000000"/>
          <w:sz w:val="20"/>
          <w:lang w:val="en-US" w:eastAsia="en-US" w:bidi="ar-SA"/>
        </w:rPr>
        <w:t>Gish</w:t>
      </w:r>
      <w:r>
        <w:rPr>
          <w:rFonts w:ascii="arial" w:eastAsia="arial" w:hAnsi="arial" w:cs="arial"/>
          <w:color w:val="000000"/>
          <w:sz w:val="20"/>
          <w:lang w:val="en-US" w:eastAsia="en-US" w:bidi="ar-SA"/>
        </w:rPr>
        <w:t xml:space="preserve">, the defendant made a summary trial application to have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dismissed. Madam Justice Ker reviewed the jurisprudence on the role a jury notice has on the issue of summary trial suitability and held (at para. 168)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filing of a jury notice is one of the factors to consider in assessing whether a matter is appropriate or suitable for determination under the summary trial procedure of Rule 18A. Thus the fact that the plaintiff would be deprived of a trial by jury is a factor that must be given consideration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Ker J. went on to state, in the same paragraph,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the rule contemplates that this [deprivation of a jury trial] may occur in appropriate cases. While the denial of a jury trial is a factor the court can consider, it is far from determinative and should be viewed in the light of other factors bearing on the test of comparative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have given consideration to the denial of a jury trial on the issue of liability and am satisfied in light of all of the other factors I have outlined, it is not a factor to be given significant weight. Should the matter of damages need to be assessed, the plaintiff's trial by jury is still preserved.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To address the plaintiff's submission that a conventional trial is necessary to give him extra time to subpoena Corporal Lyons, one of the RCMP officers who attended the scene, and address potential evidentiary issues, I note the plaintiff did adduce an affidavit from Corporal Lyons in this summary trial. In the context of a summary trial, each party has the obligation to come prepared to prove their claim and runs the risk of judgment being rendered against them if they do not: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paras. 32-33. In any event, the plaintiff has clearly met his obligation to come prepared to prove his claim and did address all evidentiary issues that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Finally, I see no prejudice to the plaintiff arising from any reason of delay. Given the extensive pre-trial procedures utilized by the parties and the cross-examination of the experts, I see no prejudice to the plaintiff through use of this summary trial procedure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has tendered evidence from several witnesses, including the plaintiff, Corporal Lyons, the plaintiff's friend, and mechanical engineer Dr. Toor. The defendant has tendered evidence from Tanner Olsen (the technician who repaired the plaintiff's motorcycle) and mechanical engineer Dr. Cepu?.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section, I will make many of my findings of facts, most of which are not contentious, and outline the evidence of the experts (which is very contentious). I will make additional necessary findings of fact in the analysis portion of these reasons where they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was 54 years old at the time of the accident. The accident occurred at approximately 10 a.m. on August 21, 2013. The plaintiff is an industrial insulator by trade and, at the time of the accident, lived in Coquitlam with his family. He has been riding motorcycles since he was eight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is a company incorporated under the laws of British Columbia. At the time of the accident, it was doing business as Kamloops Harley-Davidson.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Tanner Olsen was an employee of the defendant at the relevant time and performed some repair work on the defendant's motorcycle on the day before the accident. Mr. Olsen was a Harley-Davidson trained motorcycle technician who started working in the defendant's business about ten years ago. He continues to work there, although the business has changed hands in recent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had been having problems with his motorcycle - a 2000 Harley-Davidson Softail Deuce Model FXSTDI (the "Motorcycle")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August 2012, the plaintiff had both tires on the Motorcycle replaced by a business called Outta Control Cycles.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June 3, 2013, the plaintiff had repair work done on the Motorcycle, this time using the services of Kreater (West) Custom Motorcycles ("Kreater").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or about August 18, 2013, while in the midst of an annual motorcycle trip with his friend, the Motorcycle had engine trouble. The plaintiff was operating the Motorcycle about 100 kilometres outside of Banff, Alberta, when, as he described it, the "engine blew up". The plaintiff had the Motorcycle towed to Kelowna, British Columbia and arranged for it to be repaired at Kreater.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August 18 or 19, 2013, Kreater repaired the Motorcycle engine at a cost of $8,600.00. The plaintiff then retrieved the Motorcycle and carried on his road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August 20, 2013, the day before the accident, the plaintiff again had problems with the Motorcycle. The rear drive belt broke. This occurred not far from Kamloops (about a 20-minute tow ride away), so the plaintiff had the Motorcycle towed to the defendant's repair shop. The plaintiff hired the defendant to inspect, service and repair the Motorcycle. Mr. Olsen was the technician who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Olsen's evidence comes to me in the form of an affidavit and from a transcript of his pre-trial cross-examination on that affidavit. Mr. Olsen, as of 2013, had worked on many Harley Davidson motorcycles, taken courses in the repair and maintenance of them and was very familiar with removing and replacing motorcycle wheels.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Olsen replaced the broken drive belt, rear tire and brake pads on the Motorcycle on August 20, 2013. Mr. Olsen recalled the drive belt, an after-market belt, "was shredded and blown off and wrapped around the front sprocket", but that upon inspection "no damage was caused by the drive belt to the other parts of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Olsen attached copies of two relevant documents to his affidavit - the service invoice for work and parts for the Motorcycle (the "Service Invoice") and the service order worksheet (the "Worksheet") for the Motorcycle. Mr. Olsen used these documents to explain the work he did on the Motorcycle as he has little to no recollection of the actual work. In accordance with his usual practice, Mr. Olsen explained that if he came across a concern or issue when working on a motorcycle, he would write it down on the Worksheet. For his work on the Motorcycle this day, Mr. Olsen wrote down that he replaced the belt and all primary seals and replaced the rear tire and brake pads. He further wrote down details about the belt he was replacing.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Motorcycle's mileage was recorded when it arrived and left at the defendant's repair shop on the Service Invoice. When the Motorcycle arrived at the repair shop on August 20, 2013, the mileage was 58,037 kilometres. When it left on August 21, 2013, the mileage was 58,040 kilometres.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Olsen explained that as part of his usual practice following repairs, he took the Motorcycle for a test drive on his usual test drive route, which is about three kilometres. This explains the three kilometre difference referenced above. If Mr. Olsen found a problem on any test drive that needed to be repaired, he would write it down on the service order worksheet. He made no such notations on the Motorcycle Worksheet. From this, I infer that he found no problems with the Motorcycle on its test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Olsen also explained that the parts listed on the Service Invoice are the usual parts that he would use for replacing a belt on a motorcycle, except for the "rubber bumper", an item that keeps the brake calipers from rattling. Mr. Olsen believes the only reason he would have put a rubber bumper on the Motorcycle was because the old one was either missing or damaged in some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Olsen had a Harley Davidson service manual for Softail Models at the time he worked on the Motorcycle. Three pages from that manual are attached to his affidavit, showing the procedure for replacing the rear tire. Mr. Olsen deposed that he follows that procedure when he replaces rear tires on motorcycles. Instruction 3.a. requires the rear axle to be inserted right to left. Mr. Olsen installed it left to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August 21, 2013, the plaintiff collected the Motorcycle from the defendant's repair shop and rode off on it. He described that the Motorcycle "felt great" when he drove it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was heading south to Merritt, in order to meet up with his friend and travelling companion again. The two friends had discussed which route would be best for the plaintiff to take from Kamloops to Merritt. Originally, the plaintiff had leaned towards taking Highway 5 (the Coquihalla Highway); however, his friend suggested that taking Highway 5A would be the better choice because it had switch-back turns and a relatively lower speed. These considerations were relevant to the plaintiff because travelling at a relatively lower speed would give him the opportunity to "break-in" his new rear tire. He knew he had a new tire that can be "slippery" during its initial use and that he, like all riders, have to be careful during its break-in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About 15 or 20 minutes after leaving the defendant's repair shop in Kamloops on Highway 5A, the plaintiff reached a curve in the road with a scenic pull-out area by a lake. It was about 10 a.m. and the plaintiff was approximately 59 kilometres away from his starting point at the defendant's repair shop. The pull-out area has a gravel surface. Vehicles use the pull-out to leave the highway and stop to look at the view. It was a clear, dry, summer day. No other vehicles were involved in the accident. No one saw the accident occur, although a truck driver parked at the pull-out heard the crash. The Motorcycle slid off the roadway, through the gravel pull-out area and into a cement no-post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to his speed at the time of the accident, the plaintiff has given slightly varying accounts. He said during his examination for discovery that the Motorcycle was travelling between 80 or 90 kilometres per hour. To Corporal Lyons shortly after the accident, he said that the Motorcycle was travelling at maybe 100 kilometres per hour. During his examination for discovery, he insisted he was travelling 90 kilometres per hour and explained that his inconsistent statement to the officer was perhaps the result of pain killers given to him at the hospital after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the basis of the plaintiff's evidence, the only evidence of speed adduced at trial, I find he was operating the Motorcycle at a rate of speed between 80 to 100 kilometres per hour as it entered the curve in the roadway. The posted speed limit in that area of Highway 5A is 90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to what happened, the plaintiff deposed that he believes he crashed the Motorcycle because: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rear axle of the Motorcycle broke and that the back wheel of the Motorcycle locked up immediately prior to [the] Accident. I felt the Motorcycle stop moving and the momentum carried my body through the windshield of the Motorcycle and over the handlebars.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I cannot accept this evidence. The plaintiff does not explain the basis for this belief, but more importantly, this evidence contradicts what he told paramedics and police on the day of the crash and the evidence he gave at his examination for discovery in January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To the paramedics on scene, the plaintiff said he was coming around a corner and "wiped out" and that he had a new tire on the back of the Motorcycle that may be a "little greasy". To Corporal Lyons, he said the Motorcycle "just come up from underneath me", it "just went" and that he did not "know what, just I don't really know the hell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expressed similar uncertainty about what happened at his examination for discovery, but added a recollection that he did not apply his brakes before the crash, that he down-shifted and the next thing he knew he was sliding down the road. However, at least three times in his examination for discovery the plaintiff said he did not know what happened. Of note, he was specifically asked if he recalled "flipping over the handlebars" and he said that he could not recall that. This contradicts his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his inconsistent versions of events, I am left to question the reliability of his current evidence to the extent that I find I cannot accept it. At most, all I can find is that the plaintiff cannot really say what happened in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Corporal Lyons cannot say what happened either. Corporal Lyons was not tendered as an expert witness in any field. As part of his investigation into the Motorcycle crash, he prepared an investigative report. This report is attached to his affidavit. It was not prepared for the purposes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Corporal Lyons attended the scene at 11:30 a.m. on the day of the accident. He saw the Motorcycle leaning against the cement no-post at the pull-out. He observed a skid mark in the centre of the southbound lane of the roadway that connected to scrapes and skid marks in the gravel of the pull-out. He noted the skid mark was straight and about 15 metres long before "the Motorcycle was laid down". He saw the scrape marks continue to the edge of the pavement and then on to the gravel where they ended at the cement no-post. On the cement no-post, Corporal Lyons noticed the Motorcycle had left some rubber and scrape marks as a result of the impact and that it had come to rest about five metres from the point of impact. Corporal Lyons took no formal measurements, but paced the length of the skid marks on the road at "89 paces or approximately 70 metres" in total. He also noticed the Motorcycle's rear tire and rim were severely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Another officer took photographs of the scene, which are before me. Corporal Lyons deposed to their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While the officer's evidence about what he saw and did are admissible, Corporal Lyons also opined in his investigative report about the cause of the skid mark, the Motorcycle's speed at the time of the crash and the cause of the crash itself. The defendant correctly opposes the admission of these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Generally, opinion evidence is inadmissible unless it is expert evidence. Expert witnesses are permitted to offer opinions where a trier of fact is unable to form his or her own conclusions without help. In order to be admissible as expert opinion evidence, certain well-established criteria must be met. The expert must be properly qualified to offer the opinion and his or her evidence must be found to be relevant, necessary and not subject to any exclusionary rule. The plaintiff does not seek to tender Corporal Lyons as an expert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Another exception to the general rule that opinion evidence is inadmissible exists with respect to lay witnesses, as outlined in </w:t>
      </w:r>
      <w:r>
        <w:rPr>
          <w:rFonts w:ascii="arial" w:eastAsia="arial" w:hAnsi="arial" w:cs="arial"/>
          <w:i/>
          <w:color w:val="000000"/>
          <w:sz w:val="20"/>
          <w:lang w:val="en-US" w:eastAsia="en-US" w:bidi="ar-SA"/>
        </w:rPr>
        <w:t>Graat v. The Queen</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[1982] 2 S.C.R. 819</w:t>
        </w:r>
      </w:hyperlink>
      <w:r>
        <w:rPr>
          <w:rFonts w:ascii="arial" w:eastAsia="arial" w:hAnsi="arial" w:cs="arial"/>
          <w:color w:val="000000"/>
          <w:sz w:val="20"/>
          <w:lang w:val="en-US" w:eastAsia="en-US" w:bidi="ar-SA"/>
        </w:rPr>
        <w:t xml:space="preserve">. As Grauer J. summarized in </w:t>
      </w:r>
      <w:r>
        <w:rPr>
          <w:rFonts w:ascii="arial" w:eastAsia="arial" w:hAnsi="arial" w:cs="arial"/>
          <w:i/>
          <w:color w:val="000000"/>
          <w:sz w:val="20"/>
          <w:lang w:val="en-US" w:eastAsia="en-US" w:bidi="ar-SA"/>
        </w:rPr>
        <w:t>American Creek Resources Ltd. v. Teuton Resources Corp.</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2013 BCSC 1042</w:t>
        </w:r>
      </w:hyperlink>
      <w:r>
        <w:rPr>
          <w:rFonts w:ascii="arial" w:eastAsia="arial" w:hAnsi="arial" w:cs="arial"/>
          <w:color w:val="000000"/>
          <w:sz w:val="20"/>
          <w:lang w:val="en-US" w:eastAsia="en-US" w:bidi="ar-SA"/>
        </w:rPr>
        <w:t xml:space="preserve">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...Lay opinion evidence may be admissible under circumstances discussed at length in Part II of Chapter 12 in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where the learned authors state at paragraph 12.14: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Courts now have greater freedom to receive lay witnesses' opinions if: (1) the witness has personal knowledge of observed facts; (2) the witness is in a better position than the trier of fact to draw the inference; (3) the witness has the necessary experiential capacity to draw the inference, that is, form the opinion; and (4) the opinion is a compendious mode of speaking and the witness could not as accurately, adequately and with a reasonable facility describe the facts she or he is testifying about. But as such evidence approaches the central issues that the courts must decide, one can still expect an insistence that the witnesses stick to the primary facts and refrain from giving their inferences. It is always a matter of degree. As the testimony shades towards a legal conclusion, resistance to admissibility develops.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Corporal Lyons' evidence about what he saw and did in the course of his investigation is, of course, admissible evidence, available to me to be weighed in the final analysis. However, the opinions that he offers in his investigative report go beyond what he saw and did. They go to the principal issue in this case. There is no evidence about Corporal Lyons' experiential capacity to form the opinion and his opinions go well beyond matters of everyday inferences from observed facts or a compendious mode of describing his observations. Rather, his opinion evidence concerns matters of specialised, technical expertise for which he is not qualified to give.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turn now to outline the evidence of the two experts. The plaintiff and defendant each retained highly qualified engineers to examine the Motorcycle and the scene as depicted in the photographs. Neither expert attended the scene or conducted a reconstruction analysis. The experts reached different conclusions about the likely cause of the accident and are both highly critical of one another's findings and conclusions. Each expert tendered two reports, his second report a rebuttal to the other. Each expert was cross-examined at trial. I will make my findings with respect to their evidence in the analysis portion of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Amrit S. Toor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retained Dr. Toor, an expert witness qualified to give opinion evidence in the areas of mechanical engineering and accident reconstruction, to document the damage to the Motorcycle (specifically the rear wheel and axle) and to "technically assess the likely cause of the damage sustained to the Motorcycle". Dr. Toor prepared two reports - the first dated November 20, 2013 and his rebuttal report dated October 27,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For his first report, Dr. Toor was given a list of assumptions upon which he was to rely, found at page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assumptions were provided and relied upon for the basis of the report: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incident occurred on August 21st 2013, at approximately 10:00 am.</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incident occurred on Highway 5A, between Kamloops and Merritt, BC.</w:t>
      </w:r>
    </w:p>
    <w:p>
      <w:pPr>
        <w:numPr>
          <w:numId w:val="1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Roy Cannon was the operator of a 2000 Harley Davidson Softail motorcycle (the Cannon motorcycle), at the time of the incident:</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rear axle sheared off the Cannon motorcycle.</w:t>
      </w:r>
    </w:p>
    <w:p>
      <w:pPr>
        <w:numPr>
          <w:numId w:val="1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Mr. Cannon was thrown from the motorcycle.</w:t>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Mr. Cannon and the motorcycle skidded along the pavement, coming to rest when they hit a concrete barrier.</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some time before the incident occurred:</w:t>
      </w:r>
    </w:p>
    <w:p>
      <w:pPr>
        <w:numPr>
          <w:numId w:val="1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Mr. Cannon had experienced issues with the motorcycle, including:</w:t>
      </w:r>
    </w:p>
    <w:p>
      <w:pPr>
        <w:numPr>
          <w:numId w:val="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 belt coming off.</w:t>
      </w:r>
    </w:p>
    <w:p>
      <w:pPr>
        <w:numPr>
          <w:numId w:val="1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new rear tire being quickly worn and needing to be replaced.</w:t>
      </w:r>
    </w:p>
    <w:p>
      <w:pPr>
        <w:numPr>
          <w:numId w:val="1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of the above noted mechanical issues were addressed at a repair facility shortly before the incident of August 21st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Toor also listed the data that was provided to assist him in preparing his report at page 2 as well:</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Components/pieces from the Cannon motorcycle, including part of the rear axle and welded nut (provided in a small plastic bag).</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Receipts for repair work done between August 28th 2012 and August 21st 2013;</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Invoice 575, Outta Control Cycles, dated August 28th 2012.</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Invoice 46663, Kreater (West) Custom Motorcycles, dated June 3rd 2013.</w:t>
      </w:r>
    </w:p>
    <w:p>
      <w:pPr>
        <w:numPr>
          <w:numId w:val="2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Invoice 50933, Kreater (West) Custom Motorcycles, dated August 19th 2013.</w:t>
      </w:r>
    </w:p>
    <w:p>
      <w:pPr>
        <w:numPr>
          <w:numId w:val="2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Invoice 166365, Al Perrett Enterprises Inc., o/ a Kamloops Harley-Davidson, dated August 21st 2013.</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ICBC Vehicle Registration for the Cannon motorcycle.</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Digital copies of 3 photographs of the Cannon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Toor conducted no formal accident reconstruction analysis. The actual mechanics of the accident were provided to him as assumptions that the rear axle sheared off, the plaintiff was thrown from the Motorcycle and the plaintiff and Motorcycle skidded along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addition to the various pieces of the Motorcycle, Dr. Toor inspected the Motorcycle twice - once on October 1, 2013 at a towing facility in Merritt and the second on November 12, 2013 at a storage facility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Toor observed the following damage to the Motorcycle:</w:t>
      </w:r>
      <w:r>
        <w:rPr>
          <w:rFonts w:ascii="arial" w:eastAsia="arial" w:hAnsi="arial" w:cs="arial"/>
          <w:sz w:val="20"/>
          <w:lang w:val="en-US" w:eastAsia="en-US" w:bidi="ar-SA"/>
        </w:rPr>
        <w:cr/>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rear axle was fractured at its left side; the provided detached fractured rear axle piece matched with the fracture edge on the motorcycle axle.</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rear tire bead was separated from its rim and the rear wheel was directed to the right.</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air filter cover was detached.</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side of the motorcycle had multiple abrasions, including the right side of the exhaust and fuel tank.</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left side of the motorcycle had multiple abrasions, including the left side of fuel tank and the crank casing.</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front signal light lenses were missing and the front right signal light bulb was broken.</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rear left signal light was deformed and displaced toward the rear tire.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rear tail light was partially detached and hanging loose.</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rear fender was deformed to the right.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rear seat (for a pillion passenger) was scuffed and torn.</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left side rearview mirror was detached.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left side clutch lever was deformed and the edge of the hand grip had abrasions.</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headlight casing was dented.</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windshield was found separated with multiple abrasions.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Toor also observed that the left side rear axle cover was detached, but the right side rear axle cover remained attached. He, therefore, removed the right side rear axle cover to inspect the underlying components. There, he found the adjuster bolt "broken and deformed". He also observed the right arm of the rear fork was "deformed inwards (left)". The deformation to the right arm of the rear fork was, in his view, visibly "notable via the geometrical differences between the left and right arms of the forks and stress cracks in the chrome plating".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Toor's analysis is found at pages 7 and 8. He opined that the right rear fork arm deformation he observed was likely present before the crash and that this deformation (and associated cracking of the chrome plating) would have been visible upon inspection. Dr. Toor further opined that this pre-accident deformation of the right rear fork arm likely prevented proper alignment and tightening of the rear wheel. As a result, he believes pre-stresses generated in an attempt to align the rear wheel on the deformed fork which likely led to a "chain of failure of the rear right adjuster bolt and rear axle" ultimately causing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Toor's theory forms the primary basis of the plaintiff's case. In short, the plaintiff says there was a deformed rear fork arm that should have been seen by Mr. Olsen when he worked on the Motorcycle. The plaintiff says the deformation either caused a misalignment in the rear wheel, or Mr. Olsen caused the misalignment by tightening the adjustment bolt despite the deformation. This misalignment caused a build up of pressure which caused the failure of the rear axle and lock up of the rear tire, causing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Toor prepared a second report to respond to a report prepared by the defendant's expert, Dr. Cepu?. In response to Dr. Cepu?' opinion that the new rear tire was slippery and control of the Motorcycle was lost around a corner, Dr. Toor re-affirmed his conclusion that the accident was caused by pre-existing damage to the Motorcycle combined with action taken by Mr. Olsen. For this report, he was provided with photographs taken at the crash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Toor disputed Dr. Cepu?' opinions that the crash was likely caused by a slippery rear tire and that the deformation of the right rear fork was caused by the accident. Although Dr. Toor did not rule out the possibility that all of the damage to the Motorcycle occurred as a result of the crash, he disagreed with Dr. Cepu?' assumption that the plaintiff simply lost control on the corner. He explained the reasoning behind his disagreement at page 12:</w:t>
      </w:r>
      <w:r>
        <w:rPr>
          <w:rFonts w:ascii="arial" w:eastAsia="arial" w:hAnsi="arial" w:cs="arial"/>
          <w:sz w:val="20"/>
          <w:lang w:val="en-US" w:eastAsia="en-US" w:bidi="ar-SA"/>
        </w:rPr>
        <w:cr/>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incident occurred near the end of a relatively straight section of road and within a minor curved section of the highway.</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characteristic patterns of the tire mark deposited by the Cannon motorcycle are neither consistent with the application of brakes by the rider or a loss of control due to a lack of friction.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features of the tire mark are most consistent with the orientation of the rear wheel misaligned from the direction of travel of the motorcycle.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physical evidence provides a good indictor of rear wheel misalignment.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Toor concluded that Dr. Cepu? considered incorrect and incomplete dynamics of the incident and was incorrect in his assessment of the cause of the accident. He further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physical evidence is consistent with the observations made during the Cannon motorcycle examination and the Intech report dated November 20th 2013, which indicates that the rear wheel of the Cannon motorcycle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Cross-examination of Dr. Toor was brief. Dr. Toor agreed that he did not attend the scene, did not prepare detailed measurements of scene geometries, did not prepare a scaled vehicle and scene drawings, nor did he conduct component failure stress analysis tests. Dr. Toor also conceded the possibility of gravel on the roadway at the location of the incident and acknowledged that he did not know precisely where the plaintiff had been operating his Motorcycle in the laneway when the incident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 takes the position that Dr. Toor's opinions about the cause of the accident should not be accepted because they are unsupportable on the evidence and their fatal flaws were exposed by the opinion of Dr. Cepu?.</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Cepu?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retained Dr. Cepu?, an expert witness qualified to give opinion evidence in the areas of mechanical, metals and materials engineering and accident reconstruction, to review Dr. Toor's report and findings and conduct his own examination to offer an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Cepu? prepared two reports - his initial report dated April 20, 2017 and a rebuttal report dated November 5,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Cepu? was highly critical of Dr. Toor's findings and opinions, calling them "largely theoretical and unsupportable by the evidence". He emphasized throughout his report that Dr. Toor's theory impossibly required, as its foundation, that a small selective element of damage found on the Motorcycle after the crash actually pre-existed the crash, while the balance of the extensive damage occurred in the crash dynamics.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Cepu? first challenged the assumptions given to Dr. Toor. He emphasized to assume that the rear axle of the Motorcycle was sheared off and that the plaintiff was then thrown from the Motorcycle assumes a fact very much in issue. Rather, Dr. Cepu? opined that the fractured axle is consistent with "a significant overload event" such as losing control and crashing. In other words, the damaged rear axle was caused by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Cepu? criticised Dr. Toor's report in a number of other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First, he was critical of Dr. Toor's failure to consider the legitimate and logical possibility that the tire may have slipped out from under the Motorcycle as it navigated the curve due to a combination of environmental, road and/or tire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Second, Dr. Cepu? disagreed strongly with Dr. Toor's conclusion that the deformed rear right fork arm likely caused misalignment in the rear wheel before the accident. He explained that it is not possible for Dr. Toor to say the deformation in the right rear fork arm existed prior to the crash, rather than being a result of the crash, or that the deformation caused the accident. Rather, in his view, the more logical view is that the crash caused all of the damage. Dr. Cepu? explained that in order for Dr. Toor to select a damaged component from a post-crash motorcycle and identify it as pre-crash damage, he would have to provide a compelling explanation and Dr. Cepu? could see no such explanation.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such compelling explanation is provided. Instead, Dr. Toor reaches the unsupported conclusion that tire wear was abnormal, hypothesizes that the rear right fork was misaligned to cause it, arbitrarily selects traumatic damage to the rear right fork as having pre-existed the extensive list of traumatic damage to the motorcycle, applies dubious solid mechanics to the analysis, and states that were the pre-existing damage detected this might have been avoided. There is no means to prove that there was any pre-existing damage, and no explanation of how the rear end was traumatically damaged prior to the accident. As such Dr. Toor's opinion requires circular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Cepu? went on to demonstrate that damage to the adjuster bolt is explainable by the accident forces. The forward movement of the axle, caused by the crash itself, in turn caused the damage. The visible "witness marks of scratches" at the right side wheel drop out were explained to be evidence of this 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Cepu? disputed Dr. Toor's opinions on the pre-crash sequence of events likely leading to the crash. Dr. Toor's opinion was that there was "good and clear evidence" of deformation of the rear right arm fork which lead to improper alignment and tightening of the rear wheel, which lead to "pre-stresses" generated in an attempt to align the rear wheel on the deformed fork, which lead to a "sequence of failures" of the rear right alignment bolt and rear axle thereby causing the crash. Dr. Cepu? addressed each of these propositions and explained how, in his view, Dr. Toor's individual findings leading to his broader theory all collapse under scrutiny. He wrote at pages 12 and 13 of his first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the damage he requires to have pre-existed the accident is traumatic in nature - bent dropouts with cracked chrome plating. This requires forces well in-excess of regular operating conditions to have formed. He does not explain how this initial traumatic damage was accumulated. Pre-existing forces capable of bending dropouts would have required very significant lateral loading, which would have likely destroyed the motorcycle, rendering it un-ridable, and unavailable for this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Secondly, by virtue of Dr. Toor's pre-existing damage being traumatically created, there is no means by which it could objectively be separated from traumatic damage caused by this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Thirdly, and most importantly, there is no connection between alleged wheel misalignment and the axle fracturing. Dr. Toor has performed no metallurgical failure analysis on the axle to determine if it was suitably manufactured, free of defects, and otherwise suitable to the task. He does not examine the fracture surface or comment on its morphology. He has not shown there to be any indication of progressive failure to the axle - which is mandatory for his explanation to have any footing, and technically not negotiable. There is no mechanism of metallurgical crack growth in a ductile material such as this axle which allows for an undamaged axle to spontaneously fracture due to normal installation forces. The axle was installed using a properly calibrated torque wrench -I verified this as a first step in my investigation. Since the adjuster bolt is used </w:t>
      </w:r>
      <w:r>
        <w:rPr>
          <w:rFonts w:ascii="arial" w:eastAsia="arial" w:hAnsi="arial" w:cs="arial"/>
          <w:i/>
          <w:color w:val="000000"/>
          <w:sz w:val="20"/>
          <w:lang w:val="en-US" w:eastAsia="en-US" w:bidi="ar-SA"/>
        </w:rPr>
        <w:t>prior</w:t>
      </w:r>
      <w:r>
        <w:rPr>
          <w:rFonts w:ascii="arial" w:eastAsia="arial" w:hAnsi="arial" w:cs="arial"/>
          <w:color w:val="000000"/>
          <w:sz w:val="20"/>
          <w:lang w:val="en-US" w:eastAsia="en-US" w:bidi="ar-SA"/>
        </w:rPr>
        <w:t xml:space="preserve"> to tightening the axle nut, there can be no stresses associated with the adjuster, it simply positions the axle prior to it being tightened. The only stresses on the axle were operational and installation. While the installation stresses were verified to be appropriate by the torque wrench - the operational stresses would have been exceeded in an accident, due to the force applied to the wheel during the crash event - as evidenced by the fractured rim.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way installation stresses and regular operational loads would cause an axle to fail would be if the axle was flawed. If it were flawed it would have very likely displayed evidence of progressive crack growth prior to failure, this is because these components are specifically manufactured from materials which yield before breaking and have relatively good damage tolerance. They do not spontaneously fracture unless exposed to a massive overload.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Cepu? also disputed Dr. Toor's opinion that "replacement of the rear tire after only 8,076 kms coupled with worn rear brakes" was a strong indicator that the rear wheel was misaligned before the crash. Dr. Cepu?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covered earlier, it is impossible to objectively state that there was previously existing damage to the rear right fork arm. In fact, there is similar damage to the left rear fork arm identical in appearance. There is no logical basis upon which to attribute damage to the right rear fork arm as having existed prior to the accident, but somehow damage to the left as having been formed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 to both sides was formed under traumatic loading conditions present during this accident. There is no objective evidence to indicate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rear tire acquired 8,076 km before requiring replacement. This is 36% higher than average based on the following source: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On average, a sport motorcycle's front tire can last 3,700 miles (5,954 km) and 1,800 miles (2,896 km) for a rear before both need to be changed. This is if both tires are well maintained and are regularly checked. However, by running two or even three psi less than the recommended pressures you can actually cut the life of a tire by as much as half</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brake issue, Dr. Toor only mentions it a single time in his report. He does not provide any backing information or facts, does not explore it further, nor does he use it in any opinion. More importantly, there is no mention of when the last brake job prior to August 20, 2013 was performed. It is known when the tire was last changed prior to August 20, 2013, but the brake history is not known. If any brake work was performed prior to August 20, 2013, it predates all available invoices, making it a very long time since the last change - the brake was due for a change. There is simply no supporting evidence that brake wear was out of the ordinary.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Cepu? specifically addressed Dr. Toor's opinion that the "failure of the rear right adjustment belt indicates there was an attempt to align the wheel with the deformed rear right arm fork". Disagreeing strongly with this opinion, Dr. Cepu?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with the above conclusion. Failure of the right rear adjustment bolt in no way indicates that there was an attempt to align the rear wheel - it indicates that the bolt experienced a massive overload during the accident and subsequently failed. This is the simplest and most logical explanation, which also has the benefit of being supported by the evidence. Contrary to Dr. Toor's opinion or assumption, the bolt's failure cannot be isolated from the extensive list of damage to the motorcycle for the purposes of advancing an accident reconstruction theory,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Toor provides no explanation as to how an attempt to align the wheel using the adjustment bolt prior to the accident could be related to the failure of the adjustment bolt. There is a brief unexplained mention of a </w:t>
      </w:r>
      <w:r>
        <w:rPr>
          <w:rFonts w:ascii="arial" w:eastAsia="arial" w:hAnsi="arial" w:cs="arial"/>
          <w:i/>
          <w:color w:val="000000"/>
          <w:sz w:val="20"/>
          <w:lang w:val="en-US" w:eastAsia="en-US" w:bidi="ar-SA"/>
        </w:rPr>
        <w:t>buildup of lateral forces</w:t>
      </w:r>
      <w:r>
        <w:rPr>
          <w:rFonts w:ascii="arial" w:eastAsia="arial" w:hAnsi="arial" w:cs="arial"/>
          <w:color w:val="000000"/>
          <w:sz w:val="20"/>
          <w:lang w:val="en-US" w:eastAsia="en-US" w:bidi="ar-SA"/>
        </w:rPr>
        <w:t xml:space="preserve"> on page 7 of his report, but if Dr. Toor had created a freebody diagram of the loads at work it would be apparent that a much smaller diameter adjustment bolt could not possibly generate the forces required to fracture the axle - more-so considering that the fracture took place at the left side of the motorcycle.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Dr. Toor's argument reflects a poor understanding of the function and correct use of the adjustment bolt. Qualified mechanics would not attempt to use the adjustment bolt while the axle was tightened, the evidence does not support that any such activity was performed, yet Dr. Toor requires this to advance his theory. The wheel axle nut is not tightly clamped when the adjustment bolt is used, otherwise attempting to move the adjuster would be futile. Instead, the wheel is resting in the dropouts against the adjuster, at which point it is turned in or out to achieve the desired wheel alignment. Only then is the axle tightened to a torque of 30-45 lbs, as recommended by the Harley-Davidson Service Manual, equating to between 320 lbf and 480 lbf of clamping force at the rear fork drop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went on to explain why, in his opinion, there is compelling evidence the adjustment bolt failed as a result of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Cepu? summarized his view of Dr. Toor's findings and conclusions at page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Toor's conclusion is largely theoretical and unsupportable by the evidence. He requires that a small selective element of damage pre-existed the crash, while the balance of damage surrounding it is post-crash. He concludes that a broken adjuster implies that an alignment operation was performed, and that therefore the selected element of damage should have been detected by the person performing the adjustment. He does not offer what should have been done at that point in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the damage is most logically and attributed to the accident. The evidence [supports] this explanation. There is no evidence of pre-existing damage. There is no evidence of an incorrectly aligned rear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Cepu? also opined about the cause of the accident at pages 21-22: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evidence overwhelmingly supports a clear sequence of events leading to the accident, which does not require tenuous assumptions or selective unsupportable observations, conclusions, or opinions.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motorcycle was on a brand-new rear tire, known to be initially slippery.</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Control of the motorcycle was lost around a corner.</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crash resulted in extensive damage to the motorcycle, rendering it unrideable.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damage is consistent with the traumatic impact associated with crashing - including the fractured axle and adjuster.</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damage to the rear end of the motorcycle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his second report, Dr. Cepu? reiterated the conclusions from his first report and disagreed with Dr. Toor's newest opinions that the skid mark from the scene suggested rear wheel misalignment before the crash. He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skid mark photographic evidence I reviewed is poor and unclear. At best, it is consistent with the rear tire of the motorcycle yawing towards the apex of the turn, as would be expected if it began to slide outwards. This is consistent with my initial report. No detailed photographs were taken which might suggest the direction the rear tire was pointed - only that it was sliding in the direction it was compelled by the physics of the 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which would suggest any degree of rear wheel misalignment. I do not believe this would be possible regardless the wheel alignment. Once the rear tire starts to slide it can yaw left and right while generally following the front of the motorcycle. It would not require any degree of misalignment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say the skid mark is most consistent with any manner of misalignment ignores the far more obvious fact that regular yaw will generate an identical skid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Cepu? also noted that the plaintiff's description of the Motorcycle as feeling "great" prior to the accident is inconsistent with the degree of misalignment of the rear wheel necessary to make Dr. Toor's theory possible.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Toor cannot have it both ways. The motorcycle cannot have "felt great" prior to the accident, yet be so grotesquely misaligned that it resulted in a spontaneous fracture at the axle.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must be reiterated - the theory of spontaneous fracture is, as best as I can interpret, driven by stresses that cannot be, or thus far have not been, calculated or illustrated in any scientifically coherent means. The rear wheel axle is a closed system, any-and-all forces and stresses are calculable, yet they have not been.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was no handling issue, there was no misalignment issue. The skid mark was a result of losing control and sliding into the barricade - which caused all damage to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Cross-examination of Dr. Cepu? was extensive. He was not shaken on his opinions critical of Dr. Toor. He was unshaken in his view that there was no objective or scientific way, based on the available evidence, to differentiate between pre-crash and post-crash damage to the Motorcycle. He was similarly unmoved from his opinion that there was no support for the theory that the rear wheel of the Motorcycle was misaligned prior to the accident leading to the eventual progressive breakdown of the axle causing the crash. Dr. Cepu? steadfastly maintained that he could not see how Dr. Toor could possibly identify pre-existing damage to the rear fork arm, the rear fork drop out and the adjuster nut, ultimately leading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Where Dr. Cepu? was shaken, however, was on the strength of his opinion on the "slippery tire", a topic that dominated much of the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Cepu? was challenged on his sources for this aspect of his opinion. He admitted that four of the "authorities" in support of his opinion about the "slippery tire" were websites that he located as a result of a Google search and that he did not know anything about the authors of two of those websites. He also admitted that he did not remember referring to Dunlop's (the maker of the Motorcycle tire at issue in this case) website for information about the break-in period for Dunlop tires.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Cepu? also acknowledged that the 1977 Marshall Study cited in his report was about testing for the purpose of isolating certain variables for future testing. Other than its observation that the effect from the break-in period is likely due to the tire structure, not wear on the tire, it had little relevance to breaking in tires in the real world or the distance that tires needed to travel to be safely broken in. He also conceded that the second report he cited did little more than paraphrase and perhaps provide some commentary or insights on the 1977 Marshall study. Dr. Cepu? also agreed that the 1981 Pottinger study he cited was about tire age and he had no reason to believe tire age had any relevance to this case. He also agreed that he did not know the type of rubber the Motorcycle tires were made out of, that he did not test the surface of the tire for any slippery material or residue and did not know that the Motorcycle tires were bias ply construction. He did not find this out, even though one of the main points of his only authoritative citation was that the changes in the internal structure or carcass of the tire is the source of the break-in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Although Dr. Cepu? made reference to the release of parting agents as a cause of the "slippery tire" phenomena, during cross-examination he eventually appeared to concede that this explanation was a "wives tale".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Like Dr. Toor, Dr. Cepu? acknowledged that he did not do a formal accident reconstruction analysis of the crash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plaintiff contends the defendant is liable in both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With respect to breach of contract, the plaintiff argues that it was an implied term of the contract between the plaintiff and defendant that the defendant perform the work on the Motorcycle properly and safely, and that the Motorcycle be inspected for any hazards or imminent safety concerns during the course of the repair work. The plaintiff argues that if not proven by the evidence of Dr. Toor in consideration of the whole of the evidence, whatever the precise cause of the wheel failure that led to the crash, it can be inferred from the circumstances of the crash that it was as a result of the defendant's breach of that implied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With respect to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plaintiff contends that the defendant's breach of the standard of care owed to him and causation, if not proven by the evidence of Dr. Toor in consideration of the whole of the evidence, can at the very least be inferred in a case like this where, through no fault of the plaintiff, the subject matter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badly damaged or destroyed such that it is no longer possible to prove the precise breach of the standard of care and causal mechanism. The plaintiff argues the only explanation for the crash is mechanical failure that was either caused or should have been identified and prevented by the defendant. He argues that the defendant's proposed theory of a "slippery tire", road conditions and/or driver error as causes of the accident do not accord with common sense, nor do they accord with the evidence that I am urged to accept. In all of the circumstances, the plaintiff asks the court to draw an inference of liability and causation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 agrees that it owed the plaintiff a duty of care in the circumstances, but denies breaching that duty or causing damage in the ways alleged by the plaintiff,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defendant urges me to reject Dr. Toor's opinions and find that the plaintiff has failed to establish even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Although it is not incumbent upon the defendant to proffer an alternative theory for what caused the crash, it says that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could be found, it is negated by a reasonable, alternative possibility explaining the accident that does not involve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To reiterate, the plaintiff takes the position it has proven, on a balance of probabilities, breach of the standard of care and causation (or breach of contract) on the evidence it has tendered, or has at least made a </w:t>
      </w:r>
      <w:r>
        <w:rPr>
          <w:rFonts w:ascii="arial" w:eastAsia="arial" w:hAnsi="arial" w:cs="arial"/>
          <w:i/>
          <w:color w:val="000000"/>
          <w:sz w:val="20"/>
          <w:lang w:val="en-US" w:eastAsia="en-US" w:bidi="ar-SA"/>
        </w:rPr>
        <w:t>prima face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has not been negated by the defendant, such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causation can be inferred. The parties focussed much of their submissions on the latter of these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Both parties referred to the legal principles outlined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In that case, a car left the roadway resulting in the death of the plaintiff's husband. There were no witnesses to the accident and no one knew precisely how it happened. Weather had been bad the weekend the plaintiff's husband and the driver of the vehicle went missing, with heavy rain, washouts and heavy winds. Police investigators testified at trial about a swale in the highway where the vehicle was believed to have left the road. Given the amount of rain, it was believed that rain was likely to have collected in this swale. One officer opined at trial that if the vehicle had driven straight through the water-filled swale, loss of control was unlikely, but if the driver had to suddenly turn the wheel, the vehicle might hydroplane, particularly if it had worn tires. There was some evidence that the two front tires of the vehicles showed "excessive wear". The officer also testified that certain damage to the tire and rim of the vehicle was consistent with the tire hitting a rock or other solid object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trial judge found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driver had not been proven. She rejected the contention that the fact the vehicle left the highway was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of the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even if it were, the defendant had succeeded in producing several explanations for the accident that were equally consistent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action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trial decision was upheld on appeal. In reasons indexed at </w:t>
      </w:r>
      <w:hyperlink r:id="rId121" w:history="1">
        <w:r>
          <w:rPr>
            <w:rFonts w:ascii="arial" w:eastAsia="arial" w:hAnsi="arial" w:cs="arial"/>
            <w:i/>
            <w:color w:val="0077CC"/>
            <w:sz w:val="20"/>
            <w:u w:val="single"/>
            <w:shd w:val="clear" w:color="auto" w:fill="FFFFFF"/>
            <w:lang w:val="en-US" w:eastAsia="en-US" w:bidi="ar-SA"/>
          </w:rPr>
          <w:t>(1996) 22 B.C.L.R. (3d) 371</w:t>
        </w:r>
      </w:hyperlink>
      <w:r>
        <w:rPr>
          <w:rFonts w:ascii="arial" w:eastAsia="arial" w:hAnsi="arial" w:cs="arial"/>
          <w:color w:val="000000"/>
          <w:sz w:val="20"/>
          <w:lang w:val="en-US" w:eastAsia="en-US" w:bidi="ar-SA"/>
        </w:rPr>
        <w:t xml:space="preserve"> (B.C.C.A.). Gibbs J.A., for the majority, found that it is "possible to speculate but speculation does not discharge the burden of proof on a plaintiff": p. 376. Noting the absence of any proven facts from which an inference pointing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drawn, the Court upheld the trial judge's decision to dismiss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At the Supreme Court of Canada, Major J., writing for the Court, dismissed the appeal. In so doing, he addressed the value of the maxim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and ultimately concluded that it would be best to treat the maxim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p. 435. Finding it more "confusing than helpful" in its application and "nothing more than an attempt to deal with circumstantial evidence", Major J. held that it is better to just: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[w]eigh the circumstantial evidence with the direct evidence, if any, to determine whether the plaintiff has established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Once the plaintiff has done so, the defendant must present evidence negating that of the plaintiff or necessarily the plaintiff will succeed [p. 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Applying these principles, the Court framed the task of the trial judge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appeal, the trial judge had to consider whether there was direct evidence from which the cause of the accident could be determined, or, failing that, whether there was circumstantial evidence from which it could be inferred that the accident was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attributable to Loewen [p. 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Major J. specifically rejected the argument that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drawn whenever a vehicle leaves the roadway in a single-vehicle accident holding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 submitted that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drawn whenever a vehicle leaves the roadway in a single-vehicle accident. This bald proposition ignores the fact that whether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drawn is highly dependent upon the circumstances of each case: see </w:t>
      </w:r>
      <w:r>
        <w:rPr>
          <w:rFonts w:ascii="arial" w:eastAsia="arial" w:hAnsi="arial" w:cs="arial"/>
          <w:i/>
          <w:color w:val="000000"/>
          <w:sz w:val="20"/>
          <w:lang w:val="en-US" w:eastAsia="en-US" w:bidi="ar-SA"/>
        </w:rPr>
        <w:t>Gauthier &amp; Co.</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[1945] S.C.R. 143</w:t>
        </w:r>
      </w:hyperlink>
      <w:r>
        <w:rPr>
          <w:rFonts w:ascii="arial" w:eastAsia="arial" w:hAnsi="arial" w:cs="arial"/>
          <w:color w:val="000000"/>
          <w:sz w:val="20"/>
          <w:lang w:val="en-US" w:eastAsia="en-US" w:bidi="ar-SA"/>
        </w:rPr>
        <w:t xml:space="preserve"> supra, at p. 150. The position advanced by the appellant would virtually subject the defendant to strict liability in cases such as the present one [p. 437].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parties have referred me to other cases, some of which I will address in the analysis portion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bears the burden of proof. In order to assess the reliability of Dr. Toor's opinion upon which the plaintiff relies, I must first address the evidence of Dr. Cepu?.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submits that Dr. Cepu? 'opinions, particularly in respect of the "slippery tire" theory, were so undermined and exposed as unreliable in cross-examination that the court should give no weight to any of his opinions. The plaintiff also emphasizes that when challenged on a number of points not related to the "slippery tire" theory, but related to other parts of his expert opinion, Dr. Cepu? improperly "retreated to the position that because of his expertise he just knows the answer or that he could calculate something but simply did not" (paragraph 39 of the plaintiff's written submissions). Overall, the plaintiff urges me to reject all aspects of Dr. Cepu?'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Cepu?' evidence was two-fold: (1) to critically analyze Dr. Toor's findings and opinions; and (2) to provide an opinion about the cause of the accident. One aspect of his opinion regarding the cause of the accident was that there was "overwhelming evidence" that the slippery new tire on the Motorcycle was part of the crash. In this area of his evidence, I agree with the plaintiff that cross-examination revealed that some of the authorities supporting the strength of this theory were not reliable or suitable. This does undermine the reliability of the strength of his opinion that there was "overwhelming evidence" that a slippery tire was part of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However, while Dr. Cepu?' definitive view about the overwhelming nature of the evidence in support of the "slippery tire" was undermined, I find the deficiencies in this area were not such that his credibility was undermined or the balance of his evidence negatively impacted. I find the balance of his evidence well supported.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Cepu?' opinions critically analyzing Dr. Toor's findings and opinions were well founded, explained thoroughly and not undermined in cross-examination. His opinions accord with common sense and logic and are well within his areas of expertise. I accept his evidence, other than his opinion about the strength of the "slippery tire" being part of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find I cannot rely upon Dr. Toor's opinion about the likely cause of the crash. His opinion rests on the legitimacy of his first conclusion - the pre-existing right rear fork deformation. This is a necessary pre-condition for Dr. Toor's entire theory and is a finding that is not tenable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First, as Dr. Cepu? observes, Dr. Toor fails to explain how the left side of the fork was bent or deformed in the same direction as the right and how only one of these pre-dates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Second, the deformation Dr. Toor says pre-existed the accident that led to the other difficulties causing the crash are, even to the untrained eye, very noticeable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accept Mr. Olsen's evidence. There is no challenge to his credibility. His pre-trial cross-examination assists me in assessing the reliability of his evidence and I find it to be reliable. In answer to Dr. Toor's opinions, he deposed:</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see at p. 6 of his report Dr. Toor writes that at the time of the accident the motorcycle was ridden 59 km on the new tire that I put on it. In my experience a new tire can be very slippery at first. It needs to be driven at least 100 km before it loses the slipperiness.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see at p. 7 of his report that Dr. Toor writes that "The deformed rear right fork arm likely resulted in misalignment of the rear wheel...The deformed right arm of the rear fork also would have misaligned the right adjustment screw seating in the right axle collar and proper seating of the rear right axle collar against the fork arm. The misalignment likely resulted in the angled seating of the adjustment screw in the collar alignment slot. It is also likely that as the alignment screw was tightened, the misalignment and the corresponding adjustment resulted in buildup of lateral forces in the alignment bolt..."</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have easily seen a deformed rear right fork arm and a misaligned rear wheel. Even if I did not notice it right away I would have noticed it when I removed and tried to re-install the rear wheel on a deformed fork. While I would have easily noticed the problem I also note the following. I would not have been able to properly fit the adjustment screw into the axle collar if the rear right fork arm had been deformed. I would also never try to adjust the adjustment bolt when the axle is already tightened. There is no way to do this.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also have noticed a misaligned adjustment screw seating in the axle collar, improper seating of the rear right axle collar against the fork arm, and angled seating of an adjustment screw in the collar alignment slot. I would have worked on these very parts of the Motorcycle when I replaced the rear tire. I would have found these very obvious problems to be serious if they had existed when I worked on the Motorcycle. I would not have put the wheel back on if the Motorcycle had a deformed fork arm and all the other problems that Dr. Toor mentioned.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Much more work would have been needed on the Motorcycle if it had a deformed rear right fork arm. I would have written the problems down on the Service Order Worksheet (Exhibit B). I would have told the owner that the further work was needed.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see at p. 8 of his report Dr. Toor states that the rear tire was replaced "</w:t>
      </w:r>
      <w:r>
        <w:rPr>
          <w:rFonts w:ascii="arial" w:eastAsia="arial" w:hAnsi="arial" w:cs="arial"/>
          <w:i/>
          <w:color w:val="000000"/>
          <w:sz w:val="20"/>
          <w:lang w:val="en-US" w:eastAsia="en-US" w:bidi="ar-SA"/>
        </w:rPr>
        <w:t>after only 8076 km</w:t>
      </w:r>
      <w:r>
        <w:rPr>
          <w:rFonts w:ascii="arial" w:eastAsia="arial" w:hAnsi="arial" w:cs="arial"/>
          <w:color w:val="000000"/>
          <w:sz w:val="20"/>
          <w:lang w:val="en-US" w:eastAsia="en-US" w:bidi="ar-SA"/>
        </w:rPr>
        <w:t>". In my experience as a motorcycle technician, this is a normal lifespan for a motorcycle tire. I have switched out many tires worn down after even less than 8076 km. Rear tires wear down quicker than front tires.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cross-examination, Mr. Olsen was consistent and provided explanations that accord with common sense. He conceded memory frailties, did not exaggerate and was forthright.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Olsen is an experienced technician and would have easily noticed such obvious and serious problems. If, for some reason, he failed to notice them, he would not have been physically able to do the repair job he did. Had there been such a deformation, Mr. Olsen would have followed his usual practice, noted the problems and advised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Third, the Motorcycle handled normally before the accident, which is inconsistent with the pre-existing deformation notion.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Olsen took the Motorcycle on a three-kilometre test drive after he finished the repairs, in accordance with his usual practice, and noticed no problems. Under cross-examination, he explained the test drive route. The route is a road that is "off-set away from everything", with no posted speed limit. He takes the vehicles he test drives up to speeds of 90 and to 100 kilometres per hour. The road has "one mild corner", a left turn, a sharp corner and a straight stretch. It is "mostly flat", with a small hill just before the main road. Mr. Olsen explained what he looks for on such a test drive: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how would you notice a problem on the test drive? What would you be noticing for - looking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Well, we test the brakes and everything. So you test for pulsations in the brakes. You test for any shaking while you're riding, things like that, and just abnormal things that you might feel. If anything was, say, out of alignment, the bike would be pulling in either direction. Things like that on a motorcycle with only two wheels are very noticeable. And it doesn't matter what speed you're going, you're on two wheels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re-examination, Mr. Olsen explained his reference to checking to see if a vehicle is "out of alignment" on a test drive.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...what do you mean by misalignment - or "out of alignment," you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rear wheel alignment, if it is off, the tire will be pointed obviously a different direction than the rest of the motorcycle, so in turn, driving straight down the road, the bike is going to pull whichever direction the tire is pointed.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What's your common practice if something like that - if you notice something like that during a test drive?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You ride the motorcycle back to the shop, put it up on the bench, and check for alignment and check for anything else that might cause something like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It was not only Mr. Olsen who did not note any alignment or other problems after the repairs and before the accident. The plaintiff, a very experienced motorcycle rider, also noticed no such problems. He gave evidence at his examination for discovery that when he picked up the Motorcycle from the defendant's repair shop and then operated it for 15 to 20 minutes before the accident, the Motorcycle "felt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deformation and associated cracks that Dr. Toor points to as pre-dating the crash are very noticeable. I prefer Dr. Cepu?' opinion that the: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[d]egree of misalignment required to make any calculable difference in the stress experienced by the axle would need to be so egregious and extreme that it would likely cause the rear tire to rub the rear fork or swing arm. More importantly, the motorcycle handling would be noticeably abnormal, difficult to control and track unpredictably. It would not likely be reported as "feeling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Fourth, the right rear fork arm damage observed by both experts cannot be isolated from the other post-crash damage to the Motorcycle. Dr. Toor selects this one item of damage from a severely damaged motorcycle and simply concludes it pre-existed the accident without explaining why. Dr. Cepu?' criticism of this is convincing. He explains, in detail, why it is impossible to isolate this damage from pre-existing damage. His conclusion that "all damage is consistent with traumatic impact associated with crashing - including the fractured axle and adjuster" and that "there was no damage to the rear end of the motorcycle prior to the accident" (page 22 of his first report), is well grounded in his analysis and accords with common sense. Dr. Toor does not adequately address this in his rebuttal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Fifth, given the significant nature of the defect Dr. Toor asserts pre-existed the crash, there would have to be some evidence of prior trauma, of which there is none. As well, I accept Dr. Cepu?' explanation that given the significant pre-existing forces capable of bending drop outs would have required significant lateral loading, these forces would have likely destroyed the Motorcycle, rendering it inoperable and "unavailable for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Cepu?' opinion finds support in Mr. Olsen's evidence. Mr. Olsen has significant experience in repairing motorcycles. During his cross-examination, he noted that rear fork arms are not generally damaged unless in an accident. There is no evidence of any other accident with the Motorcycle that may have caused the rear fork arm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Overall, Dr. Toor's opinion involves a reasoning process that seems circular. His opinion depends upon pre-existing damage that is, in reality, explained by the accident. The forces required to deform the rear fork, the deformation that Dr. Toor says pre-existed the accident, are precisely the type of forces that occurred in the crash itself, forces that rendered the Motorcycle unrideable.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Overall, based on the evidence I accept, considered as a whole, I find I cannot rely upon Dr. Toor's opinion on causation as it is unsupportable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 has also, separately of the pre-existing deformed fork theory, suggested that the defendant was negligent in installing the rear axle in the wrong way - from left to right, instead of from right to left, as indicated in the manual. However, Dr. Toor did not opine either in his reports that the accident was caused, or could have been caused, by this method of installing the rear axle. Dr. Cepu? did address this issue in cross-examination and opined that installing the rear axle from left to right, instead of from right to left, would not have made any difference and would not have caused the axle to fail. I accept this unchallenged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As I find I am unable to rely on the opinion offered by Dr. Toor, the plaintiff then points to the plaintiff's substantial experience as a motorcyclist, combined with the absence of any other reason for the crash, as sufficient for the court to draw an inference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repair technician. The plaintiff also relies on the close temporal proximity between the work performed by the defendant and the accident. The crash occurred 59 kilometres away from the repair shop, on the day following the repairs done by the defendant. However, I am of the view that this submission "comes perilously close to an application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in a manner similar to what was criticised by Newbury J.A. in </w:t>
      </w:r>
      <w:r>
        <w:rPr>
          <w:rFonts w:ascii="arial" w:eastAsia="arial" w:hAnsi="arial" w:cs="arial"/>
          <w:i/>
          <w:color w:val="000000"/>
          <w:sz w:val="20"/>
          <w:lang w:val="en-US" w:eastAsia="en-US" w:bidi="ar-SA"/>
        </w:rPr>
        <w:t>Haynes v. Haynes</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2017 BCCA 131</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Miller (Next friend of) v. Sinclair</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[1980] O.J. No. 209</w:t>
        </w:r>
      </w:hyperlink>
      <w:r>
        <w:rPr>
          <w:rFonts w:ascii="arial" w:eastAsia="arial" w:hAnsi="arial" w:cs="arial"/>
          <w:color w:val="000000"/>
          <w:sz w:val="20"/>
          <w:lang w:val="en-US" w:eastAsia="en-US" w:bidi="ar-SA"/>
        </w:rPr>
        <w:t xml:space="preserve"> for the proposition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causation can be inferred in a case where the subject matter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through no fault of the plaintiff, is badly damaged or destroyed and it is no longer possible to prove the precise breach of the standard of care and causal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is an Ontario Superior Court decision decided before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xml:space="preserve">. In any event,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does not seem to precisely stand for the proposition for which the plaintiff uses it. In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alleged when a boy fell off a horse and the horse was found shortly after without a stirrup. The plaintiff alleged that the stirrup was not properly attached, while the defendant claimed the stirrup came loose only after the boy had already fallen, through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Lerner J. stated at para. 12 that the maxim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was applicable and that the maxim: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[a]pplies where proof of the accident itself affords some evidence that what happened did in fact arise through the failure to discharge the obligation of proper care.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decision does not appear to stand for the specific proposition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causation can be inferred where the subject matter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destroyed through no fault of the plaintiff. I also question the precedential value of this decision given the subsequent decision in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plaintiff similarly cites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for the same proposition.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is largely concerned with clarifying the material contribution to risk doctrine in tort law, which the plaintiff indicated is not relevant to this case.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Chief Justice McLachlin, writing for the majority, also held that the "but for" causation test should be applied in a robust common sense fashion: para. 9. Again, the Court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does not specifically state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causation can be inferred where the subject matter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destroyed through no fault of the plaintiff, as the plaintiff in the case at bar asserts. To the contrary, in holding that the material contribution to risk doctrine cannot simply be applied where it would otherwise be "impossible" for the plaintiff to prove her case using the "but for" test, the Court reiterated that proof of causation continues to underpin tort law: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Fontaine</w:t>
      </w:r>
      <w:r>
        <w:rPr>
          <w:rFonts w:ascii="arial" w:eastAsia="arial" w:hAnsi="arial" w:cs="arial"/>
          <w:color w:val="000000"/>
          <w:sz w:val="20"/>
          <w:lang w:val="en-US" w:eastAsia="en-US" w:bidi="ar-SA"/>
        </w:rPr>
        <w:t xml:space="preserve">, if the plaintiff establishes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then the defendant must present evidence negating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In the case before me, I conclude that the plaintiff has not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so there is no requirement for the defence to negate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plaintiff's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relies on the expert evidence of Dr. Toor and/or the circumstantial evidence relating to the plaintiff's experience (which includes his knowledge that he should be careful when breaking in a new tire), the otherwise unexplained cause of the crash in good road and weather conditions, and the close proximity in time and distance between the repair work and the crash. I have already concluded that I cannot rely upon Dr. Toor's opinion evidence with respect to the likely cause of the crash. I also conclude the plaintiff's reliance on the temporal proximity between the repair work and the accident essentially amounts to reliance on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which is no longer the law. When I weigh all of the evidence, I simply cannot conclude the plaintiff has established,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If it could be said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made out, I would conclude the defence has provided sufficient evidence to negate this case. In </w:t>
      </w:r>
      <w:r>
        <w:rPr>
          <w:rFonts w:ascii="arial" w:eastAsia="arial" w:hAnsi="arial" w:cs="arial"/>
          <w:i/>
          <w:color w:val="000000"/>
          <w:sz w:val="20"/>
          <w:lang w:val="en-US" w:eastAsia="en-US" w:bidi="ar-SA"/>
        </w:rPr>
        <w:t>Haynes</w:t>
      </w:r>
      <w:r>
        <w:rPr>
          <w:rFonts w:ascii="arial" w:eastAsia="arial" w:hAnsi="arial" w:cs="arial"/>
          <w:color w:val="000000"/>
          <w:sz w:val="20"/>
          <w:lang w:val="en-US" w:eastAsia="en-US" w:bidi="ar-SA"/>
        </w:rPr>
        <w:t xml:space="preserve">, at para. 23, the Court explained that in order to overcome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defendant's explanation must be reasonable, and not just speculative. The strength of the explanation required will vary in accordance with the strength of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sought to be drawn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Although the strength of the opinion of Dr. Cepu? regarding the "slippery tire" was effectively undermined, the plaintiff himself admitted the Motorcycle was on a new tire and that it could be slippery. Shortly after the crash, he offered the "slippery tire" as part of his explanation to emergency personnel. At his examination for discovery, he testified that the rear tire was new and that one has to "put at least 50 to 60 kilometres on" before doing "anything stupid" because "all the oil has come out of the rear tire and makes it very slippery and very, very dangerous, so you have to be very careful". When asked about his recollection of telling the paramedics about the slippery rear tire,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I remember - because what they asked me, he says, you know, what happened? So I said, well, I'm breaking in an engine and breaking in a new tire. And I says, you know, maybe the tire was a little bit slick or something, but that wouldn't - it wouldn't have happened if the tire was slick or whatever and just - I don't know how to explain it, but 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defendant says it is a reasonable explanation that the plaintiff was simply unable to negotiate the turn in the road due to his speed, which the plaintiff admitted could have been as high as 100 kilometres. On a new tire, that was prone to be slippery, the Motorcycle went into a yaw, slid off the road, over dirt and gravel until the Motorcycle contacted heavily with the concrete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Even if I were able to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these circumstances, it would be modest. The above explanation offered by the defendant is well-grounded in the evidence and is adequate to neutralize whatever inference the circumstantial evidence could be said to be permitted to be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the end, I conclude the plaintiff cannot prove that, on a balance of probabilities, the crash occurred due to any fault resting upon the defendant. The action is dismissed, with costs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If the parties wish to speak to costs, written submissions may be submitted on a timeline agreed by counsel, but no later than April 30, 2018. All that remains is to thank both counsel for their excellent advocacy.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DONEGAN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767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Chamberlin v. Canadian Physiotherapy Assn., [2015] B.C.J. No. 1536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G.R.J. Gaul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7 and October 14,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14-0358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1536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1260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 C.C.L.T. (4th) 314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256 A.C.W.S. (3d) 238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2036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Rosanna Chamberlin, Plaintiff, and Canadian Physiotherapy Association, Physiotherapy Association of British Columbia (A branch of the Canadian Physiotherapy Association), David Koretchuk, Marjorie Belot, Christine Balkwill, Jennifer Lee, and Leif Cope,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(104 paras.)</w:t>
      </w:r>
    </w:p>
    <w:p>
      <w:pPr>
        <w:jc w:val="both"/>
        <w:rPr>
          <w:rFonts w:ascii="arial" w:eastAsia="arial" w:hAnsi="arial" w:cs="arial"/>
          <w:sz w:val="20"/>
          <w:lang w:val="en-US" w:eastAsia="en-US" w:bidi="ar-SA"/>
        </w:rPr>
      </w:pPr>
      <w:bookmarkStart w:id="45" w:name="Counsel_7"/>
      <w:bookmarkEnd w:id="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Quantz.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 Schalke.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6" w:name="Judgment_7"/>
      <w:bookmarkEnd w:id="46"/>
      <w:r>
        <w:pict>
          <v:line id="_x0000_s1062" style="position:absolute;z-index:251717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7" w:name="G.R.J. GAUL J."/>
            <w:bookmarkEnd w:id="47"/>
            <w:r>
              <w:rPr>
                <w:rFonts w:ascii="arial" w:eastAsia="arial" w:hAnsi="arial" w:cs="arial"/>
                <w:b/>
                <w:color w:val="000000"/>
                <w:sz w:val="30"/>
                <w:lang w:val="en-US" w:eastAsia="en-US" w:bidi="ar-SA"/>
              </w:rPr>
              <w:t>G.R.J. GAUL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she was injured when she participated in a continuing education course that was organized and administered by the defendant, the Canadian Physiotherapy Association (the "Course" and the "CPA").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say the plaintiff signed a waiver releasing them from any responsibility for any injuries or losses attributable to her participation in the Course. They also maintain they are not liable because the plaintiff willingly assumed the risks participation in the Course posed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By notice of application filed 14 June 2014, the defendants seek to have the plaintiff's claims dismissed by summary trial, pursuant to Rule 9-7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Ms. Chamberlin, is a physiotherapist registered with the College of Physical Therapists of British Columbia (the "College"). Ms. Chamberlin was a recent graduate when she enrolled in the Course in January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CPA is a professional organization that provides continuing education to practicing physiotherapists. The Physiotherapy Association of British Columbia ("PABC") is a branch of the CPA. The CPA and PABC are separate legal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David Koretchuk, Marjorie Belot, and Christine Balkwill are registered physiotherapists with the College. They served as CPA-certified instructors for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Jennifer Lee and Leif Cope are registered physiotherapists who were, along with Ms. Chamberlin, participants in the Course.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Course that the CPA hosted was entitled "Advanced Manual and Manipulative Therapy: Level 2 Upper Quadrant" and was designed to train physiotherapists in advanced manual and manipulative techniques for upper quadrant musculoskeletal conditions. It took place over a period of four consecutive months, one weekend per month, at the University of British Columbia campus in Vancouver. The actual dates were:</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Weekend #1: 17 to 19 February, 2012;</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Weekend #2: 16 to 18 March, 2012;</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Weekend #3: 27 to 29 April, 2012;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Weekend #4: 18 to 20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appears that a total of 84 hours of training time was scheduled on these dates, inclusive of 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Ms. Chamberlin registered for the course in early 2012 she was aware that it had a practical "hands-on" aspect to it that would involve the physical manipulation of her body. She believed Course participants were expected to take part in the practical exercises, but they could "opt-out" where a pre-existing injury would prevent safe participation. She explained that she attended the Course as part of her ongoing professional obligation to the College to remain current in the field of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Prior to the commencement of the Course, Ms. Chamberlin received an email from the CPA confirming her registration. Attached to the email was a two-page document which included the address of the Course, the dates and times of the various sessions, and other relevant information. The second page of the document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Participants are responsible for their own well being while attending the course. It is also their responsibility to inform the instructor and their fellow participants if there is some contraindication to examination or treatment for a part of their musculo-skelatal system and therefore they should not act as model in the practical sessions.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PARTICIPANT PREPARATION FOR COURSES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expected the participant will review the appropriate musculo-skelatal anatomy prior to the course. All participants must be physically able to take part in the practical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end of the document provides in bold: "Proof of completion of previous courses is required for you to start the course." Nowhere in the email or the attachments to it is there any mention of a requirement to sign a waiver.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Chamberlin says that she first learned of the requirement for her to sign a waiver on 17 February 2012, the first day of the Course. The waiver was included in a course manual that was provided to her and it reads as follows (the "Waiver"):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Canadian physiotherapy association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Diploma of Advanced Orthopaedic Manual and Manipulative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Physiotherapy courses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WAIVER OF COURSE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that there are risks involved in this course's techniques and procedures and thereby waive any and all claims which I might have at any time have (sic), against the: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Physiotherapy Association,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Orthopaedic Division, Education Committee,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Provincial Orthopaedic Division Course Representative,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Members of 1.-3. staff and agents,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Site of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manner whatsoever relating to my participation in this Diploma of Advanced Orthopaedic Manual and Manipulative Physiotherapy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Diploma of Advanced Orthopaedic Manual and Manipulative Physiotherapy Course Level: __________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Senior or Chief Instructor Name: __________</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Senior or Chief Instructor Registration Number: __________</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If Applicable: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Co-Instructor Name: __________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Co-Instructor Registration Number: __________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Lab Assistant Name: __________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Lab Assistant Registration Number: __________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Participant's printed name in full: __________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Participant's Signature: __________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 signed: 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will note parenthetically at this point, that during his submissions, counsel for the defendants acknowledged that there was grammatical problem with the first full sentence of the Waiver. To correct the problem and to allow the sentence to make grammatical sense, counsel proposed that the second "have" be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Attached as an exhibit to Ms. Belot's affidavit #1 sworn 13 June 2014, is a copy of the speaking notes she used during her introductory comments to the participants on the first day of the Course. The notes include the following as the sixth item to address: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"Signed Waivers (Advocate for yourself and protect your body; give honest feedback)".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Belot asked all of the participants to sign and return the Waiver. She also asked them to confirm that they had passed the course's predecessor: "Advanced Manual and Manipulative Therapy: Level 1 Upper Quadrant."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evidence is a copy of the Waiver that Ms. Chamberlin completed and returned to the Course organizers. Under the heading "Diploma of Advanced Orthopaedic Manual and Manipulative Physiotherapy Course Level", the phrase "2 Upper Quadrant" is handwritten. The fields relating to senior or chief instructor name and registration number, co-instructor name and registration number, and lab assistant name and registration number are all blank. Ms. Chamberlin's printed name and what appears to be her signature are handwritten on the document. The date of "Feb 17, 2012" is also handwritten.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no dispute among the parties that the Waiver was brought to the attention of the Course participants, including Ms. Chamberlin. However, what Ms. Belot said about the Waiver, and what Ms. Chamberlin understood to have signed, remains contentious.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Consistent with Ms. Belot's speaking notes, Ms. Chamberlin says the participants were told they were responsible for their bodies and needed to give honest feedback to the instructors. However, she maintains the Waiver was simply presented as a form for participants to review and sign so that the course could continue. According to Ms. Chamberlin, the Waiver and its implications were not otherwise explained to the participants. At paragraph 11 of her affidavit #1 sworn 16 July 2014, Ms. Chamberlin explained how she was made aware of the Waiver and what she was told about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first I learned of the waiver was when it was presented as part of our course materials. We were told that we were responsible for our bodies and we needed to give honest feedback. The waiver was presented as a form for us to review and sign so we could continue in the course. I was never told about the meaning of the waiver. My review of the waiver was that I would not be able to make any claims about soreness or trips and falls on the premise.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 to Ms. Belot, she told the participants that they could not proceed in the Course without first reading and signing the Waiver. She also contends that she emphasized the importance of the Waiver and told the participants that they were responsible for their own bodies. At paragraph 6 of her affidavit #2 sworn 28 July 2014, Ms. Belot described what she said to the participants at the outset of the Course: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In response to paragraph 11 of the Plaintiff's Affidavit, during the first day of the Course </w:t>
      </w:r>
      <w:r>
        <w:rPr>
          <w:rFonts w:ascii="arial" w:eastAsia="arial" w:hAnsi="arial" w:cs="arial"/>
          <w:color w:val="000000"/>
          <w:sz w:val="20"/>
          <w:u w:val="single"/>
          <w:lang w:val="en-US" w:eastAsia="en-US" w:bidi="ar-SA"/>
        </w:rPr>
        <w:t>I indicated to participants that it was important to read and sign the Waiver</w:t>
      </w:r>
      <w:r>
        <w:rPr>
          <w:rFonts w:ascii="arial" w:eastAsia="arial" w:hAnsi="arial" w:cs="arial"/>
          <w:color w:val="000000"/>
          <w:sz w:val="20"/>
          <w:lang w:val="en-US" w:eastAsia="en-US" w:bidi="ar-SA"/>
        </w:rPr>
        <w:t xml:space="preserve">, as participants could not proceed with the Course's practical session without having done so. As even the Plaintiff acknowledges, </w:t>
      </w:r>
      <w:r>
        <w:rPr>
          <w:rFonts w:ascii="arial" w:eastAsia="arial" w:hAnsi="arial" w:cs="arial"/>
          <w:color w:val="000000"/>
          <w:sz w:val="20"/>
          <w:u w:val="single"/>
          <w:lang w:val="en-US" w:eastAsia="en-US" w:bidi="ar-SA"/>
        </w:rPr>
        <w:t>I told participants that they were "responsible for their own bodies" at the same time I asked for the Waiver to be signed</w:t>
      </w:r>
      <w:r>
        <w:rPr>
          <w:rFonts w:ascii="arial" w:eastAsia="arial" w:hAnsi="arial" w:cs="arial"/>
          <w:color w:val="000000"/>
          <w:sz w:val="20"/>
          <w:lang w:val="en-US" w:eastAsia="en-US" w:bidi="ar-SA"/>
        </w:rPr>
        <w:t>. As indicated in my prior Affidavit, I advised of the Course Format.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Aside from confirming that she told the Course participants that it was "important" for them to "read and sign the Waiver" and that they were "responsible for their bodies", Ms. Belot provides no further evidence on the topic of the Waiver or what she said about it, including anything to address Ms. Chamberlin's assertion that she was given no explanation of its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their evidence, both Ms. Lee and Mr. Cope say that Ms. Belot gave the participants sufficient time to read the Waiver. Moreover, they explained that no one appeared to ask any questions about the Waiver during the first day of the course. They say they believed the Waiver would prevent participants in the Course from pursuing a legal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CPA, the Course instructors, or any of the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Chamberlin, however, says that she did not know or understand that by executing the Waiver she might be relinquishing her rights to sue those involved with the Course. At paragraph 12 of her affidavit #1, Ms. Chamberlin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 had no idea that the CPA meant this document to waive all ability to sue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instructors or my fellow participants. Had I know that the CPA wanted to use this waiver for this purpose, I would not have signed it. There are other courses that I could have attended and, in fact, have attended with the CPA that did not require a waiver.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the first weekend session of the Course, in February 2012, Ms. Chamberlin participated in all of the practical exercises. At the end of the weekend, she began suffering from headaches and neck pain. Ms. Chamberlin missed a few days of work the following week, and required massage therapy, physiotherapy, and pain medication to alleviate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March 2012, at the second weekend session of the Course, Ms. Chamberlin informed the defendant Ms. Balkwill of the injury to her neck from the first session. According to Ms. Chamberlin, Ms. Balkwill showed little concern. Moreover, Ms. Balkwill failed to investigate anything in relation to the complaint or suggest any remedial steps to accommodate Ms. Chamberlin's situation. Ms. Chamberlin was left with the impression that her symptoms were normal. Ms. Chamberlin knew Ms. Balkwill was a senior, experienced physiotherapist and one of the instructors on the Course. As such, she relied on Ms. Balkwill's judgment and opinion to continue participating in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During this same weekend session, Ms. Chamberlin trained with a fellow participant, Mr. Cope. At paras. 20 and 21 of her affidavit #1, Ms. Chamberlin explained what happened during that training session: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During weekend 2, I was practicing with the Defendant Leif Cope. I was hesitant and did not allow Mr. Cope to perform any techniques on my neck, which made it difficult because the instructors had not authorized me to not participate as a model. Mr. Cope was not able to practice his techniques since there was not enough time in the course for a group of three to practice together. As a result, I allowed Mr. Cope to perform a "lateral shear test" on my neck and he injured me instantly. The moment I stood up I fell to my knees crying, feeling nauseous and light-headed.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 approached the Defendant Marjorie Belot in tears explaining what happened and that something was wrong. It was only at this point that Ms. Belot conducted an assessment of me and said that my vertebrae were pushed off to the side misaligning my neck. Ms. Belot re-aligned my neck and briefly told Mr. Cope what he did wrong and said that no one else would perform neck techniques on me. As she was doing this, Ms. Belot joked that I had signed the waiver. I went and got an ice-pack and Advil.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evidence from Ms. Chamberlin went unchallenged on this summary trial, and in particular Ms. Belot did not address it in her responsive affidavit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May 2012, at the fourth weekend session of the Course, Ms. Chamberlin was partnered with the defendant Ms. Lee. Ms. Chamberlin informed the Course instructors and Ms. Lee of a pre-existing condition in her shoulder, which results in hypermobility of her joints. The defendant Mr. Koretchuk used Ms. Chamberlin as a model to illustrate a shoulder test. She says that Mr. Koretchuk commented to her that she had unusual joints, but he did not caution Ms. Lee on using Ms. Chamberlin as a training partner. According to Ms. Chamberlin, when Ms. Lee was performing on her one of the techniques demonstrated by Mr. Koretchuk, Ms. Chamberlin's shoulder made a popping sound that startled Ms. Lee. Ms. Chamberlin says that she reported this injury to Mr. Koretchuk, who was working on a computer and not supervising any of the participants. Mr. Koretchuk did not assess Ms. Chamberlin's shoulder injury. According to Ms. Chamberlin, Mr. Koretchuk joked with her that it was a good thing she had signed a waiver. Aside from offering to place her arm in traction, Mr. Koretchuk offered little other assistance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During the lunch break, Ms. Chamberlin purchased an ice-pack and some ibuprofen. The pain in her shoulder increased during the afternoon to the point where she could not move her arm. At the conclusion of this last session of the Course, Ms. Chamberlin returned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assumption of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who deny the plaintiff's account of the events, say that Ms. Chamberlin had pre-existing medical conditions relating to her neck and shoulders. They also contend that she failed to adequately inform her instructors, the CPA, or her fellow participants about these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submit that Ms. Chamberlin's circumstances and conduct evidence a knowing and willing acceptance on her part of the risks involved in participating in the Course. In support of this position, the defendants point to Ms. Chamberlin's evidence where she acknowledges a medical history with respect to her shoulders and a pre-existing condition resulting in hypermobility of her joints. The defendants also refer to a lawsuit from 2009, where they say Ms. Chamberlin claimed compensation for injuries to her neck, shoulders, and back that she attributed to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response, Ms. Chamberlin says that she did not think or believe that the Course was a risky activity. While she knew that some of the exercises might cause her to feel mildly stiff or sore afterwards, she did not anticipate or expect that her participation could result in serious injuries. She believed that the CPA would provide a safe and well-structured learning environment. She says that participants were told to report any issues to their instructors, which she did at the start of the Course, at the start of the third weekend, and after each successive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his written submissions, counsel for the defendants explained the foundation of their application as follows:</w:t>
      </w:r>
      <w:r>
        <w:rPr>
          <w:rFonts w:ascii="arial" w:eastAsia="arial" w:hAnsi="arial" w:cs="arial"/>
          <w:sz w:val="20"/>
          <w:lang w:val="en-US" w:eastAsia="en-US" w:bidi="ar-SA"/>
        </w:rPr>
        <w:cr/>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ask that the Plaintiff's action against the Defendants be dismissed, and that the Plaintiff pay the Defendants' costs, because: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entitled to rely upon the Waiver;</w:t>
      </w:r>
    </w:p>
    <w:p>
      <w:pPr>
        <w:numPr>
          <w:numId w:val="1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that the Waiver does not bar the Plaintiff's claim in respect of some or all of the Defendants, the Plaintiff with full knowledge of the format of the Course and the risk of injury or damage to herself, willingly accepted the risk of participating in the Course and its practical sessions, thereby waiving any claim with respect to injury, loss damage or expense which might have been occasioned to her, per the doctrine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and / or</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specific reference to the Defendant PABC, in the event that neither the Waiver nor the doctrine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bar the Plaintiff's action against the Defendant PABC, the Plaintiff's action against the Defendant PABC still ought to be dismissed because the Defendant PABC had no role in arranging or administering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Using this as a framework for this application, there are four questions that need to be addressed and answered:</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matters raised on this application suitable for determination by summary trial?</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Waiver bar the plaintiff from claiming against the defendants?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doctrine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bar the plaintiff from claiming against the defendants?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PABC have any role in the Course and if not should the plaintiff's action against it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Evidentiary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Before addressing the substantive issues raised on this application, I first need to rule on a number of evidentiary objections raised by counsel for Ms. Chamberlin.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support of its application, the defendants seek to rely upon the following evidence:</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Belot's affidavit #2;</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Lee's affidavit #1, sworn 28 July 2014;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Cope's affidavit #1, sworn 28 July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objects to the admissibility of these affidavits on two grounds. First, the plaintiff maintains that the affidavits do not comply with Rule 9-7(8)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in that they are not proper rebuttal evidence. Supplementing that ground of objection, the plaintiff also contends that the affidavits contain impermissible hearsay, speculation or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say the affidavits are necessary and appropriate in that they respond to and address issues raised in the plaintiff's application response and the evidence she has marshalled in support of her position on this application. As for the alleged hearsay, the defendants submit this evidence should be admitted under the principled approach to the hearsay rule. With regard to any portions of the affidavits that the court finds to be argumentative, the defendants submit those extracts can be redacted from the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begin by observing that where a contested application can result in a final order, the chambers judge hearing the application must be vigilant to ensure the evidentiary foundation presented in support of the application complies with the appropriate rules of evidence (See: </w:t>
      </w:r>
      <w:r>
        <w:rPr>
          <w:rFonts w:ascii="arial" w:eastAsia="arial" w:hAnsi="arial" w:cs="arial"/>
          <w:i/>
          <w:color w:val="000000"/>
          <w:sz w:val="20"/>
          <w:lang w:val="en-US" w:eastAsia="en-US" w:bidi="ar-SA"/>
        </w:rPr>
        <w:t>Cotton v. Wellsby</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[1991] B.C.J. No. 2783</w:t>
        </w:r>
      </w:hyperlink>
      <w:r>
        <w:rPr>
          <w:rFonts w:ascii="arial" w:eastAsia="arial" w:hAnsi="arial" w:cs="arial"/>
          <w:color w:val="000000"/>
          <w:sz w:val="20"/>
          <w:lang w:val="en-US" w:eastAsia="en-US" w:bidi="ar-SA"/>
        </w:rPr>
        <w:t xml:space="preserve"> (C.A.)). Hearsay evidence tendered as proof of the truth of the fact asserted, evidence based on information and belief, and evidence that amounts to speculation or argument will generally be ruled inadmissible on applications for final orders (See: </w:t>
      </w:r>
      <w:r>
        <w:rPr>
          <w:rFonts w:ascii="arial" w:eastAsia="arial" w:hAnsi="arial" w:cs="arial"/>
          <w:i/>
          <w:color w:val="000000"/>
          <w:sz w:val="20"/>
          <w:lang w:val="en-US" w:eastAsia="en-US" w:bidi="ar-SA"/>
        </w:rPr>
        <w:t>Kour Estate v. Bhandar</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[1996] B.C.J. No. 2379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Tundra Helicopters Ltd. v. Allison Gas Turbine</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0690860 Manitoba Ltd. v. Country West Construction Ltd.</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opinion the affidavits in question properly respond to the evidence presented by the plaintiff on this application and therefore they do not run afoul of Rule 9-7(8). However, I also find portions of the affidavits are inadmissible because they contain impermissible hearsay, speculation or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Ms. Belot's Affidavit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paragraph 4, Ms. Belot attests to the fact that the College "does not expressly require a physiotherapist to take a continuing education course". Aside from her being a physiotherapist who is registered with the College, it does not appear that Ms. Belot has any official or administrative role with the College that would permit her to testify about what the College actually requires of its members. I take it Ms. Belot's evidence is based on her personal experience and what she believes the College's rules to be. In the context of this case, that evidence is not admissible for the truth of its contents. A similar concern arises with respect to paragraph 5. In this paragraph Ms. Belot indicates that "continuing education courses put on by the Defendant CPA routinely if not always require execution of a waiver at the outset". Once again, there is no evidence that Ms. Belot has been authorized to provide evidence on behalf of the CPA. While she can testify about her personal experience at CPA sponsored events, in my view the suggestion she makes that the CPA regularly requires waivers to be signed is beyond her competency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paragraph 7, Ms. Belot provides her opinion of what a reasonable person would conclude if they were given the same information that Ms. Chamberlin had at the outset of the course. This is not evidence; this is argument in the guise of evidence and it should not have found its way into Ms. Belot's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Paragraph 9 of Ms. Belot's affidavit consists of the following: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 I am advised by the lawyer for the Defendants that:</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received a package from the Plaintiff's lawyer in this action on July 18, 2014 which purported to contain copies of the documents listed under Part 1 of the Plaintiff's List of Documents in this action; and</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contained in this package were the employment agreement and a practitioner registration form, both attached as </w:t>
      </w:r>
      <w:r>
        <w:rPr>
          <w:rFonts w:ascii="arial" w:eastAsia="arial" w:hAnsi="arial" w:cs="arial"/>
          <w:b/>
          <w:color w:val="000000"/>
          <w:sz w:val="20"/>
          <w:lang w:val="en-US" w:eastAsia="en-US" w:bidi="ar-SA"/>
        </w:rPr>
        <w:t>Exhibit "A"</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begin by noting that Exhibit "A" contains much more than what Ms. Belot says it does. Beyond the employment agreement and practitioner registration form that Ms. Belot refers to, the exhibit also includes:</w:t>
      </w:r>
      <w:r>
        <w:rPr>
          <w:rFonts w:ascii="arial" w:eastAsia="arial" w:hAnsi="arial" w:cs="arial"/>
          <w:sz w:val="20"/>
          <w:lang w:val="en-US" w:eastAsia="en-US" w:bidi="ar-SA"/>
        </w:rPr>
        <w:cr/>
      </w:r>
    </w:p>
    <w:p>
      <w:pPr>
        <w:numPr>
          <w:numId w:val="2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excerpts from an employment manual;</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 entitled "Personal Information Collection, Use and Disclosure"; and</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involving the Medical Services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employment agreement appears to have been signed by Ms. Chamberlin. It is not signed by any authorized representative of the purported employer. A number of the other documents also have Ms. Chamberlin's name on them and what appears to be her signature. Ms. Belot does not attest to the veracity of any of these documents nor does she say they were in fact signed by the plaintiff and are in force. The defendants seek to rely upon the documents in Exhibit "A" as proof of the truth of the facts asserted in them. In my opinion, the evidence contained in paragraph 9 and Exhibit "A" cannot be admitted on this summary trial as it is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same concern applies to paragraph 10 of Ms. Belot's affidavit. This paragraph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Attached as </w:t>
      </w:r>
      <w:r>
        <w:rPr>
          <w:rFonts w:ascii="arial" w:eastAsia="arial" w:hAnsi="arial" w:cs="arial"/>
          <w:b/>
          <w:color w:val="000000"/>
          <w:sz w:val="20"/>
          <w:lang w:val="en-US" w:eastAsia="en-US" w:bidi="ar-SA"/>
        </w:rPr>
        <w:t>Exhibit "B"</w:t>
      </w:r>
      <w:r>
        <w:rPr>
          <w:rFonts w:ascii="arial" w:eastAsia="arial" w:hAnsi="arial" w:cs="arial"/>
          <w:color w:val="000000"/>
          <w:sz w:val="20"/>
          <w:lang w:val="en-US" w:eastAsia="en-US" w:bidi="ar-SA"/>
        </w:rPr>
        <w:t xml:space="preserve"> are documents from British Columbia Supreme Court Action ... (Victoria Registry), namely an Amended Writ of Summons and Statement of Claim, Statement of Defence and two Trial Briefs. To my knowledge the Plaintiff never disclosed to anyone in the Course any of the injuries specified in </w:t>
      </w:r>
      <w:r>
        <w:rPr>
          <w:rFonts w:ascii="arial" w:eastAsia="arial" w:hAnsi="arial" w:cs="arial"/>
          <w:b/>
          <w:color w:val="000000"/>
          <w:sz w:val="20"/>
          <w:lang w:val="en-US" w:eastAsia="en-US" w:bidi="ar-SA"/>
        </w:rPr>
        <w:t>Exhibit "B"</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same vein as paragraph 9, the defendants seek to rely upon paragraph 10 and the documents in Exhibit "B" for the truth of their contents. Nowhere in her affidavit does Ms. Belot say anything about whether the plaintiff in the present action is the same person as the plaintiff in the action referenced in paragraph 10. Although the plaintiffs in both cases are named Rosanna Chamberlin, the plaintiff in the present case resides in Victoria, B.C. whereas the plaintiff in the other case resides in Edmonton, Alberta. Ms. Belot seems to presume or speculate that the plaintiffs are one and the same person. She may be correct, but I have no evidence that this is so. Even if I were to accept that the plaintiffs are the same person, Ms. Belot has no personal knowledge of these documents, beyond what she has been told by her counsel, and in any event she does not and cannot attest to the truth of their contents. Given the purpose for which the defendants seek to rely upon paragraph 10 and Exhibit "B", I find the evidence is hearsay and therefore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Finally, there is paragraph 12,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My understanding is that the Plaintiff had been a registered, practicing physiotherapist in British Columbia for over a years at the time of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Belot does not explain the foundation for her "understanding" that she expressed in paragraph 12. Whether it was her legal counsel or someone else who told her or some document that she reviewed, I find the contents of this paragraph to be inadmissible hearsay.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Ms. Lee's Affidavit #1 / Mr. Cope's Affidavit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affidavits of Ms. Lee and Mr. Cope are, except for the affiant's name, word-for-word identical. While this fact can go to the weight to be attributed to the evidence, it does not on its own render the affidavits automatically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satisfied the affidavits are responsive to the plaintiff's evidence and therefore they do not breach Rule 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paragraph 4 of their respective affidavits, Ms. Lee and Mr. Cope explain what they understood the Waiver to mean and what they did as a result of that understanding. They also add what they would have done if they had objected to the Waiver. At paragraph 5, they attest that they were not surprised to learn of the Waiver on the first day of the Course and that similar waivers were required for other CPA courses they had attended. What Ms. Lee or Mr. Cope thought of the Waiver, what they understood it to mean, and what they did as a result of the Waiver, is of little relevance or consequence to this summary trial application. While I will admit the evidence, I find it of little assistance in determining the issues that are currently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Waiver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Mr. Justice Binnie explained the legal principles relating to the enforceability of a contractual clause excluding liability at paras. 121-123: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The present state of the law, in summary, requires a series of enquiries to be addressed when a plaintiff seeks to escape the effect of an exclusion clause or other contractual terms to which it had previously agreed.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The first issue, of course, is whether as a matter of interpretation the exclusion clause even </w:t>
      </w:r>
      <w:r>
        <w:rPr>
          <w:rFonts w:ascii="arial" w:eastAsia="arial" w:hAnsi="arial" w:cs="arial"/>
          <w:i/>
          <w:color w:val="000000"/>
          <w:sz w:val="20"/>
          <w:lang w:val="en-US" w:eastAsia="en-US" w:bidi="ar-SA"/>
        </w:rPr>
        <w:t>applies</w:t>
      </w:r>
      <w:r>
        <w:rPr>
          <w:rFonts w:ascii="arial" w:eastAsia="arial" w:hAnsi="arial" w:cs="arial"/>
          <w:color w:val="000000"/>
          <w:sz w:val="20"/>
          <w:lang w:val="en-US" w:eastAsia="en-US" w:bidi="ar-SA"/>
        </w:rPr>
        <w:t xml:space="preserve"> to the circumstances established in evidence. This will depend on the Court's assessment of the intention of the parties as expressed in the contract. If the exclusion clause does not apply, there is obviously no need to proceed further with this analysis. If the exclusion clause applies, the second issue is whether the exclusion clause was unconscionable at the time the contract was made, "as might arise from situations of unequal bargaining power between the parties" ([</w:t>
      </w:r>
      <w:r>
        <w:rPr>
          <w:rFonts w:ascii="arial" w:eastAsia="arial" w:hAnsi="arial" w:cs="arial"/>
          <w:i/>
          <w:color w:val="000000"/>
          <w:sz w:val="20"/>
          <w:lang w:val="en-US" w:eastAsia="en-US" w:bidi="ar-SA"/>
        </w:rPr>
        <w:t>Hunter Engineering Co. v. Syncrude Canada Ltd.</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[1989] 1 S.C.R. 426</w:t>
        </w:r>
      </w:hyperlink>
      <w:r>
        <w:rPr>
          <w:rFonts w:ascii="arial" w:eastAsia="arial" w:hAnsi="arial" w:cs="arial"/>
          <w:color w:val="000000"/>
          <w:sz w:val="20"/>
          <w:lang w:val="en-US" w:eastAsia="en-US" w:bidi="ar-SA"/>
        </w:rPr>
        <w:t>], at p. 462). This second issue has to do with contract formation, not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[123] If the exclusion clause is held to be valid and applicable, the Court may undertake a third enquiry, namely whether the Court should nevertheless refuse to enforce the valid exclusion clause because of the existence of an overriding public policy, proof of which lies on the party seeking to avoid enforcement of the clause, that outweighs the very strong public interest in the enforcement of contracts. [Italics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Although Binnie J. was one of four justices who dissented in the result, his approach to assessing the validity of contractual provisions that purport to exclude or limit liability was endorsed by the majority (See: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essence, when assessing the enforceability of a contractual clause excluding liability, the court must determine:</w:t>
      </w:r>
      <w:r>
        <w:rPr>
          <w:rFonts w:ascii="arial" w:eastAsia="arial" w:hAnsi="arial" w:cs="arial"/>
          <w:sz w:val="20"/>
          <w:lang w:val="en-US" w:eastAsia="en-US" w:bidi="ar-SA"/>
        </w:rPr>
        <w:cr/>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as a matter of contractual interpretation, the exclusion clause applies to the facts of the case;</w:t>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exclusion clause is unconscionable; and</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court should otherwise refuse to enforce the exclusion clause on public policy grounds.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Does the exclusion clause apply to the factual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addressing this first line of inquiry, Finch C.J.B.C. in </w:t>
      </w:r>
      <w:r>
        <w:rPr>
          <w:rFonts w:ascii="arial" w:eastAsia="arial" w:hAnsi="arial" w:cs="arial"/>
          <w:i/>
          <w:color w:val="000000"/>
          <w:sz w:val="20"/>
          <w:lang w:val="en-US" w:eastAsia="en-US" w:bidi="ar-SA"/>
        </w:rPr>
        <w:t>Keefer Laundry v. Pellerin Milnor Corporation</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2009 BCCA 273</w:t>
        </w:r>
      </w:hyperlink>
      <w:r>
        <w:rPr>
          <w:rFonts w:ascii="arial" w:eastAsia="arial" w:hAnsi="arial" w:cs="arial"/>
          <w:color w:val="000000"/>
          <w:sz w:val="20"/>
          <w:lang w:val="en-US" w:eastAsia="en-US" w:bidi="ar-SA"/>
        </w:rPr>
        <w:t xml:space="preserve"> at para. 59 adopted the following remarks of Geoff R. Hall in </w:t>
      </w:r>
      <w:r>
        <w:rPr>
          <w:rFonts w:ascii="arial" w:eastAsia="arial" w:hAnsi="arial" w:cs="arial"/>
          <w:i/>
          <w:color w:val="000000"/>
          <w:sz w:val="20"/>
          <w:lang w:val="en-US" w:eastAsia="en-US" w:bidi="ar-SA"/>
        </w:rPr>
        <w:t>Canadian Contractual Interpretation Law</w:t>
      </w:r>
      <w:r>
        <w:rPr>
          <w:rFonts w:ascii="arial" w:eastAsia="arial" w:hAnsi="arial" w:cs="arial"/>
          <w:color w:val="000000"/>
          <w:sz w:val="20"/>
          <w:lang w:val="en-US" w:eastAsia="en-US" w:bidi="ar-SA"/>
        </w:rPr>
        <w:t>, 2ed, (Markham, Ont.: LexisNexis, 2012), at para. 7.10: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release is a contract, and the general principles governing the interpretation of contracts apply equally to releases. However, there is also a special rule which is superadded onto the regular ones. This rule comes from </w:t>
      </w:r>
      <w:r>
        <w:rPr>
          <w:rFonts w:ascii="arial" w:eastAsia="arial" w:hAnsi="arial" w:cs="arial"/>
          <w:i/>
          <w:color w:val="000000"/>
          <w:sz w:val="20"/>
          <w:lang w:val="en-US" w:eastAsia="en-US" w:bidi="ar-SA"/>
        </w:rPr>
        <w:t>London and South Western Railway v. Blackmore</w:t>
      </w:r>
      <w:r>
        <w:rPr>
          <w:rFonts w:ascii="arial" w:eastAsia="arial" w:hAnsi="arial" w:cs="arial"/>
          <w:color w:val="000000"/>
          <w:sz w:val="20"/>
          <w:lang w:val="en-US" w:eastAsia="en-US" w:bidi="ar-SA"/>
        </w:rPr>
        <w:t xml:space="preserve">, an 1870 decision of the House of Lords. The rule in </w:t>
      </w:r>
      <w:r>
        <w:rPr>
          <w:rFonts w:ascii="arial" w:eastAsia="arial" w:hAnsi="arial" w:cs="arial"/>
          <w:i/>
          <w:color w:val="000000"/>
          <w:sz w:val="20"/>
          <w:lang w:val="en-US" w:eastAsia="en-US" w:bidi="ar-SA"/>
        </w:rPr>
        <w:t>London and South Western Railway</w:t>
      </w:r>
      <w:r>
        <w:rPr>
          <w:rFonts w:ascii="arial" w:eastAsia="arial" w:hAnsi="arial" w:cs="arial"/>
          <w:color w:val="000000"/>
          <w:sz w:val="20"/>
          <w:lang w:val="en-US" w:eastAsia="en-US" w:bidi="ar-SA"/>
        </w:rPr>
        <w:t xml:space="preserve"> holds that </w:t>
      </w:r>
      <w:r>
        <w:rPr>
          <w:rFonts w:ascii="arial" w:eastAsia="arial" w:hAnsi="arial" w:cs="arial"/>
          <w:color w:val="000000"/>
          <w:sz w:val="20"/>
          <w:u w:val="single"/>
          <w:lang w:val="en-US" w:eastAsia="en-US" w:bidi="ar-SA"/>
        </w:rPr>
        <w:t>a release is to be interpreted so that it covers only those matters which were specifically in the contemplation of the parties at the time the release was given</w:t>
      </w:r>
      <w:r>
        <w:rPr>
          <w:rFonts w:ascii="arial" w:eastAsia="arial" w:hAnsi="arial" w:cs="arial"/>
          <w:color w:val="000000"/>
          <w:sz w:val="20"/>
          <w:lang w:val="en-US" w:eastAsia="en-US" w:bidi="ar-SA"/>
        </w:rPr>
        <w:t>. The rule allows the court to consider a fairly broad range of evidence of surrounding circumstances in order to ascertain what was in fact in the specific contemplation of the parties at the relevant time, and it is not uncommon for a significant amount of extrinsic evidence to be examined when the rule is applied. However, like the law of contract interpretation generally, the scope of permissible extrinsic evidence does not extend to evidence of the parties' subjective intentions; such evidence is strictly inadmissible.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Karroll v. Silver Star Mountain Resorts Ltd.</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xml:space="preserve"> (S.C.), a decision that predated </w:t>
      </w:r>
      <w:r>
        <w:rPr>
          <w:rFonts w:ascii="arial" w:eastAsia="arial" w:hAnsi="arial" w:cs="arial"/>
          <w:i/>
          <w:color w:val="000000"/>
          <w:sz w:val="20"/>
          <w:lang w:val="en-US" w:eastAsia="en-US" w:bidi="ar-SA"/>
        </w:rPr>
        <w:t>Keefer Laundry</w:t>
      </w:r>
      <w:r>
        <w:rPr>
          <w:rFonts w:ascii="arial" w:eastAsia="arial" w:hAnsi="arial" w:cs="arial"/>
          <w:color w:val="000000"/>
          <w:sz w:val="20"/>
          <w:lang w:val="en-US" w:eastAsia="en-US" w:bidi="ar-SA"/>
        </w:rPr>
        <w:t xml:space="preserve">, McLachlin C.J.S.C. (as she then was) framed the issues as twofold: whether the terms of the release are broad enough to encompass the claims brought by the plaintiff against the defendants; and whether the plaintiff is bound by the terms of the release. The first issue is concerned with the construction of the terms of the contractual waiver and thus aligns with the first line of inquiry described by Binnie J.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The second issue addresses the question of whether the signing party read and understood the release. It arises in light of the special rule that applies to the interpretation of releases as described by Hall in </w:t>
      </w:r>
      <w:r>
        <w:rPr>
          <w:rFonts w:ascii="arial" w:eastAsia="arial" w:hAnsi="arial" w:cs="arial"/>
          <w:i/>
          <w:color w:val="000000"/>
          <w:sz w:val="20"/>
          <w:lang w:val="en-US" w:eastAsia="en-US" w:bidi="ar-SA"/>
        </w:rPr>
        <w:t>Canadian Contractual Interpretation Law</w:t>
      </w:r>
      <w:r>
        <w:rPr>
          <w:rFonts w:ascii="arial" w:eastAsia="arial" w:hAnsi="arial" w:cs="arial"/>
          <w:color w:val="000000"/>
          <w:sz w:val="20"/>
          <w:lang w:val="en-US" w:eastAsia="en-US" w:bidi="ar-SA"/>
        </w:rPr>
        <w:t>. In this context, McLachlin C.J.S.C. opined at para. 24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 there is no general requirement that a party tendering a document for signature to take reasonable steps to apprise the party signing of onerous terms or to ensure that he reads and understands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To this general rule, however, McLachlin C.J.S.C. identified the following three exceptions:</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document was signed by a plaintiff in circumstances in which it was not his or her act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agreement was induced by fraud or misrepresentation; and</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party seeking to enforce the document knew or had reason to know that the signing party was under a mistake as to its terms.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at paras. 18 and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my opinion, the first two exceptions to the general rule do not apply to the present case. The third, however, is relevant. In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xml:space="preserve"> at para. 25, McLachlin C.J.S.C., described the circumstances in which the third exception might arise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Many factors may be relevant to whether the duty to take reasonable steps to advise of an exclusion clause or waiver arises. The effect of the exclusion clause in relation to the nature of the contract is important because if it runs contrary to the party's normal expectations it is fair to assume that he does not intend to be bound by the term. The length and format of the contract and the time available for reading and understanding it also bear on whether a reasonable person should know that the other party did not in fact intend to sign what he was signing. The list is not exhaustive. Other considerations may be important, depending on the facts of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Consequently, it is only where the party tendering the document for signature knew or ought to have known that the signing party was not consenting to the terms in question that the obligation arises to take reasonable steps to advise the signing party of the details and implications of the waiver. To use the language of Hall in </w:t>
      </w:r>
      <w:r>
        <w:rPr>
          <w:rFonts w:ascii="arial" w:eastAsia="arial" w:hAnsi="arial" w:cs="arial"/>
          <w:i/>
          <w:color w:val="000000"/>
          <w:sz w:val="20"/>
          <w:lang w:val="en-US" w:eastAsia="en-US" w:bidi="ar-SA"/>
        </w:rPr>
        <w:t>Canadian Contractual Interpretation Law</w:t>
      </w:r>
      <w:r>
        <w:rPr>
          <w:rFonts w:ascii="arial" w:eastAsia="arial" w:hAnsi="arial" w:cs="arial"/>
          <w:color w:val="000000"/>
          <w:sz w:val="20"/>
          <w:lang w:val="en-US" w:eastAsia="en-US" w:bidi="ar-SA"/>
        </w:rPr>
        <w:t>, the party tendering the document must have been reasonably satisfied that the waiver, including any onerous terms, were in the specific contemplation of the signing party at the time the document was signed.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Is the exclusion clause unconscionable?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Even if the language of the release applies in the circumstances, the court may find the exclusion clause unconscionable.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Loychuk v. Cougar Mountain Adventures Ltd.</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2012 BCCA 122</w:t>
        </w:r>
      </w:hyperlink>
      <w:r>
        <w:rPr>
          <w:rFonts w:ascii="arial" w:eastAsia="arial" w:hAnsi="arial" w:cs="arial"/>
          <w:color w:val="000000"/>
          <w:sz w:val="20"/>
          <w:lang w:val="en-US" w:eastAsia="en-US" w:bidi="ar-SA"/>
        </w:rPr>
        <w:t xml:space="preserve"> at para. 30, Frankel J.A. confirmed that a party who seeks to set aside a contract because of unconscionability must prove:</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inequality in the position of the parties arising from the ignorance, need or distress of the weaker, which left him or her in the power of the stronger;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substantial unfairness in the bargain.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If those elements are present, then burden shifts to the party seeking to rely on the contract, who must then prove the agreement was otherwise fair, just, and reasonable. Overall, the "single question is whether the transaction, seen as a whole, is sufficiently divergent from community standards of commercial morality that it should be rescinded" (See: </w:t>
      </w:r>
      <w:r>
        <w:rPr>
          <w:rFonts w:ascii="arial" w:eastAsia="arial" w:hAnsi="arial" w:cs="arial"/>
          <w:i/>
          <w:color w:val="000000"/>
          <w:sz w:val="20"/>
          <w:lang w:val="en-US" w:eastAsia="en-US" w:bidi="ar-SA"/>
        </w:rPr>
        <w:t>Harry v. Kreutziger</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(1978), 9 B.C.L.R. 166</w:t>
        </w:r>
      </w:hyperlink>
      <w:r>
        <w:rPr>
          <w:rFonts w:ascii="arial" w:eastAsia="arial" w:hAnsi="arial" w:cs="arial"/>
          <w:color w:val="000000"/>
          <w:sz w:val="20"/>
          <w:lang w:val="en-US" w:eastAsia="en-US" w:bidi="ar-SA"/>
        </w:rPr>
        <w:t xml:space="preserve"> at 177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jurisprudence with respect to releases has most often involved sporting activities that carry inherent risks of injury. In the context of recreational sports such as zip-lining, skiing, white-water rafting, and snowmobiling, the Court of Appeal has held that it is not unconscionable to require a person who wishes to engage in such activities to "sign a release that bars all claims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operator and its employees" (See: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Are there public policy grounds to find the exclusion clause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third and final line of inquiry of the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analysis recognizes the residual power of the court to decline enforcement of a release on grounds of overriding public policy. At para. 117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Binnie J. noted this power will rarely be exercised "in the interest of certainty and stability of contractual relations". He continued by providing examples of when it would be appropriate to decline enforcement, such as where a party knowingly or recklessly provides a substandard product or service resulting in public harm. At para. 120, he concluded that "conduct approaching serious criminality" or "egregious fraud" are "well accepted" examples where public policy considerations may override freedom of contract. In contrast, with respect to inherently risky recreational activities, the court at para. 46 in </w:t>
      </w:r>
      <w:r>
        <w:rPr>
          <w:rFonts w:ascii="arial" w:eastAsia="arial" w:hAnsi="arial" w:cs="arial"/>
          <w:i/>
          <w:color w:val="000000"/>
          <w:sz w:val="20"/>
          <w:lang w:val="en-US" w:eastAsia="en-US" w:bidi="ar-SA"/>
        </w:rPr>
        <w:t>Loychuk</w:t>
      </w:r>
      <w:r>
        <w:rPr>
          <w:rFonts w:ascii="arial" w:eastAsia="arial" w:hAnsi="arial" w:cs="arial"/>
          <w:color w:val="000000"/>
          <w:sz w:val="20"/>
          <w:lang w:val="en-US" w:eastAsia="en-US" w:bidi="ar-SA"/>
        </w:rPr>
        <w:t xml:space="preserve"> found that releases for such activities do not give rise to public policy concerns that would justify declining enforcement.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Voluntary assumption of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doctrine of voluntary assumption of risk is captured in the maxim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("to the willing person, no injury is done"). It provides a complete defence to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persuasive burden lies on the defendant, who must prove the plaintiff expressly or by implication agreed not to hold the defendant responsible for the injury. The law on voluntary assumption of risk was summarized in </w:t>
      </w:r>
      <w:r>
        <w:rPr>
          <w:rFonts w:ascii="arial" w:eastAsia="arial" w:hAnsi="arial" w:cs="arial"/>
          <w:i/>
          <w:color w:val="000000"/>
          <w:sz w:val="20"/>
          <w:lang w:val="en-US" w:eastAsia="en-US" w:bidi="ar-SA"/>
        </w:rPr>
        <w:t>Joe v. Paradis</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2008 BCCA 57</w:t>
        </w:r>
      </w:hyperlink>
      <w:r>
        <w:rPr>
          <w:rFonts w:ascii="arial" w:eastAsia="arial" w:hAnsi="arial" w:cs="arial"/>
          <w:color w:val="000000"/>
          <w:sz w:val="20"/>
          <w:lang w:val="en-US" w:eastAsia="en-US" w:bidi="ar-SA"/>
        </w:rPr>
        <w:t xml:space="preserve">, where, at para. 14, Mackenzie J.A. cited the decision of </w:t>
      </w:r>
      <w:r>
        <w:rPr>
          <w:rFonts w:ascii="arial" w:eastAsia="arial" w:hAnsi="arial" w:cs="arial"/>
          <w:i/>
          <w:color w:val="000000"/>
          <w:sz w:val="20"/>
          <w:lang w:val="en-US" w:eastAsia="en-US" w:bidi="ar-SA"/>
        </w:rPr>
        <w:t>Lehnert v. Stein</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[1963] S.C.R. 38</w:t>
        </w:r>
      </w:hyperlink>
      <w:r>
        <w:rPr>
          <w:rFonts w:ascii="arial" w:eastAsia="arial" w:hAnsi="arial" w:cs="arial"/>
          <w:color w:val="000000"/>
          <w:sz w:val="20"/>
          <w:lang w:val="en-US" w:eastAsia="en-US" w:bidi="ar-SA"/>
        </w:rPr>
        <w:t xml:space="preserve"> at 44. Both </w:t>
      </w:r>
      <w:r>
        <w:rPr>
          <w:rFonts w:ascii="arial" w:eastAsia="arial" w:hAnsi="arial" w:cs="arial"/>
          <w:i/>
          <w:color w:val="000000"/>
          <w:sz w:val="20"/>
          <w:lang w:val="en-US" w:eastAsia="en-US" w:bidi="ar-SA"/>
        </w:rPr>
        <w:t>Joe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Lehnert</w:t>
      </w:r>
      <w:r>
        <w:rPr>
          <w:rFonts w:ascii="arial" w:eastAsia="arial" w:hAnsi="arial" w:cs="arial"/>
          <w:color w:val="000000"/>
          <w:sz w:val="20"/>
          <w:lang w:val="en-US" w:eastAsia="en-US" w:bidi="ar-SA"/>
        </w:rPr>
        <w:t xml:space="preserve"> quoted with approval the following passage from Glanville Williams, </w:t>
      </w:r>
      <w:r>
        <w:rPr>
          <w:rFonts w:ascii="arial" w:eastAsia="arial" w:hAnsi="arial" w:cs="arial"/>
          <w:i/>
          <w:color w:val="000000"/>
          <w:sz w:val="20"/>
          <w:lang w:val="en-US" w:eastAsia="en-US" w:bidi="ar-SA"/>
        </w:rPr>
        <w:t xml:space="preserve">Joint Torts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(1951) at 308: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submitted that the key to an understanding of the true scope of the </w:t>
      </w:r>
      <w:r>
        <w:rPr>
          <w:rFonts w:ascii="arial" w:eastAsia="arial" w:hAnsi="arial" w:cs="arial"/>
          <w:i/>
          <w:color w:val="000000"/>
          <w:sz w:val="20"/>
          <w:lang w:val="en-US" w:eastAsia="en-US" w:bidi="ar-SA"/>
        </w:rPr>
        <w:t>volens</w:t>
      </w:r>
      <w:r>
        <w:rPr>
          <w:rFonts w:ascii="arial" w:eastAsia="arial" w:hAnsi="arial" w:cs="arial"/>
          <w:color w:val="000000"/>
          <w:sz w:val="20"/>
          <w:lang w:val="en-US" w:eastAsia="en-US" w:bidi="ar-SA"/>
        </w:rPr>
        <w:t xml:space="preserve"> maxim lies in drawing a distinction between what may be called physical and legal risk. Physical risk is the risk of damage in fact; legal risk is the risk of damage in fact for which there will be no redress in law.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put this in general terms, the defence of </w:t>
      </w:r>
      <w:r>
        <w:rPr>
          <w:rFonts w:ascii="arial" w:eastAsia="arial" w:hAnsi="arial" w:cs="arial"/>
          <w:i/>
          <w:color w:val="000000"/>
          <w:sz w:val="20"/>
          <w:lang w:val="en-US" w:eastAsia="en-US" w:bidi="ar-SA"/>
        </w:rPr>
        <w:t>volens</w:t>
      </w:r>
      <w:r>
        <w:rPr>
          <w:rFonts w:ascii="arial" w:eastAsia="arial" w:hAnsi="arial" w:cs="arial"/>
          <w:color w:val="000000"/>
          <w:sz w:val="20"/>
          <w:lang w:val="en-US" w:eastAsia="en-US" w:bidi="ar-SA"/>
        </w:rPr>
        <w:t xml:space="preserve"> does not apply where as a result of a mental process the plaintiff decides to take a chance but there is nothing in his conduct to show a waiver of the right of action communicated to the other party. To constitute a defence, there must have been an express or implied bargain between the parties whereby the plaintiff gave up his right of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Joe</w:t>
      </w:r>
      <w:r>
        <w:rPr>
          <w:rFonts w:ascii="arial" w:eastAsia="arial" w:hAnsi="arial" w:cs="arial"/>
          <w:color w:val="000000"/>
          <w:sz w:val="20"/>
          <w:lang w:val="en-US" w:eastAsia="en-US" w:bidi="ar-SA"/>
        </w:rPr>
        <w:t xml:space="preserve"> the court also cited the majority judgment in </w:t>
      </w:r>
      <w:r>
        <w:rPr>
          <w:rFonts w:ascii="arial" w:eastAsia="arial" w:hAnsi="arial" w:cs="arial"/>
          <w:i/>
          <w:color w:val="000000"/>
          <w:sz w:val="20"/>
          <w:lang w:val="en-US" w:eastAsia="en-US" w:bidi="ar-SA"/>
        </w:rPr>
        <w:t>Hall v. Hebert</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[1993] 2 S.C.R. 159</w:t>
        </w:r>
      </w:hyperlink>
      <w:r>
        <w:rPr>
          <w:rFonts w:ascii="arial" w:eastAsia="arial" w:hAnsi="arial" w:cs="arial"/>
          <w:color w:val="000000"/>
          <w:sz w:val="20"/>
          <w:lang w:val="en-US" w:eastAsia="en-US" w:bidi="ar-SA"/>
        </w:rPr>
        <w:t xml:space="preserve"> at 173, where McLachlin J. (as she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defence of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is available only if it can be established that the plaintiff, with knowledge (objectively determined) of the risk, freely accepted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McLachlin J. further noted that the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defence is to be "narrowly applied". Mackenzie J.A. writing for a unanimous court in </w:t>
      </w:r>
      <w:r>
        <w:rPr>
          <w:rFonts w:ascii="arial" w:eastAsia="arial" w:hAnsi="arial" w:cs="arial"/>
          <w:i/>
          <w:color w:val="000000"/>
          <w:sz w:val="20"/>
          <w:lang w:val="en-US" w:eastAsia="en-US" w:bidi="ar-SA"/>
        </w:rPr>
        <w:t>Joe</w:t>
      </w:r>
      <w:r>
        <w:rPr>
          <w:rFonts w:ascii="arial" w:eastAsia="arial" w:hAnsi="arial" w:cs="arial"/>
          <w:color w:val="000000"/>
          <w:sz w:val="20"/>
          <w:lang w:val="en-US" w:eastAsia="en-US" w:bidi="ar-SA"/>
        </w:rPr>
        <w:t xml:space="preserve">, noted that commentators are generally critical of the doctrine in that the complete bar to recovery of the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defence is inconsistent with the apportionment of responsibility (See: </w:t>
      </w:r>
      <w:r>
        <w:rPr>
          <w:rFonts w:ascii="arial" w:eastAsia="arial" w:hAnsi="arial" w:cs="arial"/>
          <w:i/>
          <w:color w:val="000000"/>
          <w:sz w:val="20"/>
          <w:lang w:val="en-US" w:eastAsia="en-US" w:bidi="ar-SA"/>
        </w:rPr>
        <w:t>Joe</w:t>
      </w:r>
      <w:r>
        <w:rPr>
          <w:rFonts w:ascii="arial" w:eastAsia="arial" w:hAnsi="arial" w:cs="arial"/>
          <w:color w:val="000000"/>
          <w:sz w:val="20"/>
          <w:lang w:val="en-US" w:eastAsia="en-US" w:bidi="ar-SA"/>
        </w:rPr>
        <w:t xml:space="preserve">, at para. 16, citing </w:t>
      </w:r>
      <w:r>
        <w:rPr>
          <w:rFonts w:ascii="arial" w:eastAsia="arial" w:hAnsi="arial" w:cs="arial"/>
          <w:i/>
          <w:color w:val="000000"/>
          <w:sz w:val="20"/>
          <w:lang w:val="en-US" w:eastAsia="en-US" w:bidi="ar-SA"/>
        </w:rPr>
        <w:t>Clerk &amp; Lindsell on Torts</w:t>
      </w:r>
      <w:r>
        <w:rPr>
          <w:rFonts w:ascii="arial" w:eastAsia="arial" w:hAnsi="arial" w:cs="arial"/>
          <w:color w:val="000000"/>
          <w:sz w:val="20"/>
          <w:lang w:val="en-US" w:eastAsia="en-US" w:bidi="ar-SA"/>
        </w:rPr>
        <w:t xml:space="preserve">, 19th ed. (London: Sweet &amp; Maxwell, 2006) at s. 3-103). MacKenzie J.A. also noted that "the nominal standards of an implied waiver of legal liability will rarely be met" (See: </w:t>
      </w:r>
      <w:r>
        <w:rPr>
          <w:rFonts w:ascii="arial" w:eastAsia="arial" w:hAnsi="arial" w:cs="arial"/>
          <w:i/>
          <w:color w:val="000000"/>
          <w:sz w:val="20"/>
          <w:lang w:val="en-US" w:eastAsia="en-US" w:bidi="ar-SA"/>
        </w:rPr>
        <w:t>Joe</w:t>
      </w:r>
      <w:r>
        <w:rPr>
          <w:rFonts w:ascii="arial" w:eastAsia="arial" w:hAnsi="arial" w:cs="arial"/>
          <w:color w:val="000000"/>
          <w:sz w:val="20"/>
          <w:lang w:val="en-US" w:eastAsia="en-US" w:bidi="ar-SA"/>
        </w:rPr>
        <w:t xml:space="preserve">, at para. 16, citing Lewis N.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xml:space="preserve">, 3rd ed. (Toronto: Carswell, 2003) at 482). As Professor Klar writes: "It is not realistic to impose this implied agreement upon parties who are frequently unaware of the legal niceties surrounding these types of events, and who are not deliberating upon the physical or legal risks of dangerous conduct" (See: </w:t>
      </w:r>
      <w:r>
        <w:rPr>
          <w:rFonts w:ascii="arial" w:eastAsia="arial" w:hAnsi="arial" w:cs="arial"/>
          <w:i/>
          <w:color w:val="000000"/>
          <w:sz w:val="20"/>
          <w:lang w:val="en-US" w:eastAsia="en-US" w:bidi="ar-SA"/>
        </w:rPr>
        <w:t>Joe</w:t>
      </w:r>
      <w:r>
        <w:rPr>
          <w:rFonts w:ascii="arial" w:eastAsia="arial" w:hAnsi="arial" w:cs="arial"/>
          <w:color w:val="000000"/>
          <w:sz w:val="20"/>
          <w:lang w:val="en-US" w:eastAsia="en-US" w:bidi="ar-SA"/>
        </w:rPr>
        <w:t>,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Issue #1: Are the matters raised on this application suitable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On this application the defendants seek to have the plaintiff's claims against them dismissed because the Waiver she signed legally prohibits her from pursuing those claims and/or because she knowingly and willingly accepted the risk of personal injury that participation in the Course entailed. In short, the defendants seek to have the court determine the validity and enforceability of the Waiver and whether the doctrine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applies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her application response filed 17 July 2014, Ms. Chamberlin agreed that the issue of the Waiver and whether it barred her from pursuing damages against the defendants could be resolved by summary trial. However, she opposed having the question of whether her action against the defendants was also prohibited on account of her voluntary assumption of the risks involved in the Course determined by summary trial. Her opposition was based upon what she maintained was an insufficient evidentiary record before the court and the fact that there appeared to be questions of credibility that could not be resolved by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During his submissions, counsel for Ms. Chamberlin informed the court that the plaintiff had changed her position and was now content to proceed with a summary trial on all of the issues raised in the defendants'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Given the parties' positions on this issue, and having reviewed the materials contained in the application record, I am satisfied that the issues before me can be resolved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Issue #2: Does the Waiver bar the plaintiff from claiming against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As a matter of contractual interpretation, do the terms of the exclusion clause of the Waiver apply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Applying the legal framework set out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xml:space="preserve">, the first step is to consider the construction of the Waiver itself. The key principle of contractual interpretation is that the words excluding liability must not be read in isolation but rather considered in harmony with the rest of the agreement and in light of its purposes and commercial context (See: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at para. 64.) It is clear that the purpose of the Waiver was to shift some of the risks of the Course onto the signing party. What remains unclear is the nature and scope of the risks that each party reasonably agreed to assume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Waiver Ms. Chamberlin signed is one page in length and states at the top of the page "</w:t>
      </w:r>
      <w:r>
        <w:rPr>
          <w:rFonts w:ascii="arial" w:eastAsia="arial" w:hAnsi="arial" w:cs="arial"/>
          <w:color w:val="000000"/>
          <w:sz w:val="20"/>
          <w:u w:val="single"/>
          <w:lang w:val="en-US" w:eastAsia="en-US" w:bidi="ar-SA"/>
        </w:rPr>
        <w:t>WAIVER OF COURSE LIABILITY</w:t>
      </w:r>
      <w:r>
        <w:rPr>
          <w:rFonts w:ascii="arial" w:eastAsia="arial" w:hAnsi="arial" w:cs="arial"/>
          <w:color w:val="000000"/>
          <w:sz w:val="20"/>
          <w:lang w:val="en-US" w:eastAsia="en-US" w:bidi="ar-SA"/>
        </w:rPr>
        <w:t>". The operative terms of the release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that there are risks involved in this course's techniques and procedures and thereby waive any and all claims which I might have at any time have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against the ... [Defendants] in any manner whatsoever relating to my participation in this Advanced Orthopaedic Manual and Manipulative Physiotherapy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defendants argue that the language of the Waiver fully extinguishes the right of the plaintiff to bring any action against them. They submit that the Waiver is clear and unambiguous in this regard, using "simple, easy-to-understand language" rather than "complicated, dense legal jargon." They say the simplicity of the Waiver is a fact that supports its enforceability. In advancing this position, counsel for the defendants cites </w:t>
      </w:r>
      <w:r>
        <w:rPr>
          <w:rFonts w:ascii="arial" w:eastAsia="arial" w:hAnsi="arial" w:cs="arial"/>
          <w:i/>
          <w:color w:val="000000"/>
          <w:sz w:val="20"/>
          <w:lang w:val="en-US" w:eastAsia="en-US" w:bidi="ar-SA"/>
        </w:rPr>
        <w:t>Arnold v. Bekkers Pet Care Inc.</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[2010] O.J. No. 2153</w:t>
        </w:r>
      </w:hyperlink>
      <w:r>
        <w:rPr>
          <w:rFonts w:ascii="arial" w:eastAsia="arial" w:hAnsi="arial" w:cs="arial"/>
          <w:color w:val="000000"/>
          <w:sz w:val="20"/>
          <w:lang w:val="en-US" w:eastAsia="en-US" w:bidi="ar-SA"/>
        </w:rPr>
        <w:t xml:space="preserve"> (Ont. S.C.); </w:t>
      </w:r>
      <w:r>
        <w:rPr>
          <w:rFonts w:ascii="arial" w:eastAsia="arial" w:hAnsi="arial" w:cs="arial"/>
          <w:i/>
          <w:color w:val="000000"/>
          <w:sz w:val="20"/>
          <w:lang w:val="en-US" w:eastAsia="en-US" w:bidi="ar-SA"/>
        </w:rPr>
        <w:t>Atlantis Marine Inc. v. Beaudoin Holdings &amp; Management Ltd.</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2003 ABPC 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Redshaw v. CCI Thermal Technologies Inc.</w:t>
      </w:r>
      <w:r>
        <w:rPr>
          <w:rFonts w:ascii="arial" w:eastAsia="arial" w:hAnsi="arial" w:cs="arial"/>
          <w:color w:val="000000"/>
          <w:sz w:val="20"/>
          <w:lang w:val="en-US" w:eastAsia="en-US" w:bidi="ar-SA"/>
        </w:rPr>
        <w:t xml:space="preserve">, 2010 AHRC 2; and </w:t>
      </w:r>
      <w:r>
        <w:rPr>
          <w:rFonts w:ascii="arial" w:eastAsia="arial" w:hAnsi="arial" w:cs="arial"/>
          <w:i/>
          <w:color w:val="000000"/>
          <w:sz w:val="20"/>
          <w:lang w:val="en-US" w:eastAsia="en-US" w:bidi="ar-SA"/>
        </w:rPr>
        <w:t>Marathon Canada Limited v. Enron Canada Corp</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2008 ABQB 408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Ms. Chamberlin, in response, submits that the release in the Waiver is ambiguous and nonspecific. She contends that clear and precise language is required if the defendants wish to absolve themselves of liability for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support of this argument, counsel for Ms. Chamberlin relies upon a number of authorities including </w:t>
      </w:r>
      <w:r>
        <w:rPr>
          <w:rFonts w:ascii="arial" w:eastAsia="arial" w:hAnsi="arial" w:cs="arial"/>
          <w:i/>
          <w:color w:val="000000"/>
          <w:sz w:val="20"/>
          <w:lang w:val="en-US" w:eastAsia="en-US" w:bidi="ar-SA"/>
        </w:rPr>
        <w:t>Gallant v. Fanshawe College of Applied Arts and Technology</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[2009] O.J. No. 3977</w:t>
        </w:r>
      </w:hyperlink>
      <w:r>
        <w:rPr>
          <w:rFonts w:ascii="arial" w:eastAsia="arial" w:hAnsi="arial" w:cs="arial"/>
          <w:color w:val="000000"/>
          <w:sz w:val="20"/>
          <w:lang w:val="en-US" w:eastAsia="en-US" w:bidi="ar-SA"/>
        </w:rPr>
        <w:t xml:space="preserve"> (Ont. S.J.). In </w:t>
      </w:r>
      <w:r>
        <w:rPr>
          <w:rFonts w:ascii="arial" w:eastAsia="arial" w:hAnsi="arial" w:cs="arial"/>
          <w:i/>
          <w:color w:val="000000"/>
          <w:sz w:val="20"/>
          <w:lang w:val="en-US" w:eastAsia="en-US" w:bidi="ar-SA"/>
        </w:rPr>
        <w:t>Gallant</w:t>
      </w:r>
      <w:r>
        <w:rPr>
          <w:rFonts w:ascii="arial" w:eastAsia="arial" w:hAnsi="arial" w:cs="arial"/>
          <w:color w:val="000000"/>
          <w:sz w:val="20"/>
          <w:lang w:val="en-US" w:eastAsia="en-US" w:bidi="ar-SA"/>
        </w:rPr>
        <w:t xml:space="preserve"> the plaintiff was a participant at an introductory motorcycle riding course. The plaintiff had never previously ridden a motorcycle. On the first day of the course, the plaintiff was presented with and signed a waiver that indicated: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 agree to release [the defendants] ... from all responsibility, property damage, bodily injury, costs and expenses, or claims of every nature and kind arising from, or in consequence of my participation in the motorcycle training course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Ms. Gallant was seriously injured while participating in the course. Litigation ensued and the defendants sought to have her claim dismissed on the grounds that the waiver was a complete defence. The court denied the defendants' application. In doing so, it found that the waiver as drafted was not broad enough to absolve the defendants of responsibility for their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Similarly, Ms. Chamberlin says that the Waiver she signed was not sufficiently broad or clear in its language to protect the defendants in the present case. To underscore the point, counsel for Ms. Chamberlin notes that the word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nowhere to be found in the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reply, the defendants rely on </w:t>
      </w:r>
      <w:r>
        <w:rPr>
          <w:rFonts w:ascii="arial" w:eastAsia="arial" w:hAnsi="arial" w:cs="arial"/>
          <w:i/>
          <w:color w:val="000000"/>
          <w:sz w:val="20"/>
          <w:lang w:val="en-US" w:eastAsia="en-US" w:bidi="ar-SA"/>
        </w:rPr>
        <w:t>Delaney Estate v. Cascade River Holidays Ltd.</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[1983] B.C.J. No. 476</w:t>
        </w:r>
      </w:hyperlink>
      <w:r>
        <w:rPr>
          <w:rFonts w:ascii="arial" w:eastAsia="arial" w:hAnsi="arial" w:cs="arial"/>
          <w:color w:val="000000"/>
          <w:sz w:val="20"/>
          <w:lang w:val="en-US" w:eastAsia="en-US" w:bidi="ar-SA"/>
        </w:rPr>
        <w:t xml:space="preserve"> (C.A.), as a case where a waiver with somewhat similar wording to the one in the present case was held to be enforceable. In </w:t>
      </w:r>
      <w:r>
        <w:rPr>
          <w:rFonts w:ascii="arial" w:eastAsia="arial" w:hAnsi="arial" w:cs="arial"/>
          <w:i/>
          <w:color w:val="000000"/>
          <w:sz w:val="20"/>
          <w:lang w:val="en-US" w:eastAsia="en-US" w:bidi="ar-SA"/>
        </w:rPr>
        <w:t>Delaney</w:t>
      </w:r>
      <w:r>
        <w:rPr>
          <w:rFonts w:ascii="arial" w:eastAsia="arial" w:hAnsi="arial" w:cs="arial"/>
          <w:color w:val="000000"/>
          <w:sz w:val="20"/>
          <w:lang w:val="en-US" w:eastAsia="en-US" w:bidi="ar-SA"/>
        </w:rPr>
        <w:t>, the estate of a man who drowned on a white-water rafting excursion claimed damages against the rafting company. The waiver that the deceased had signed prior to embarking upon the excursion, reproduced at para. 19,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DISCLAIMER CLAUSE: Cascade River Holidays Ltd. is not responsible for any loss or damage suffered by any person either in travelling to the location of the trip, before, during or after the trip, for any reason whatsoever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company, its agents or servants.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AGREEMENT: I agree to assume all risks involved in taking the trip including travelling before and after, and agree to pay the cost of any emergency evacuation of my person and belongings that may become necessary. I agree to Cascade River Holidays Ltd. its agents and servants relieving themselves of all liability for losses and damages of all and every descriptions.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Delaney</w:t>
      </w:r>
      <w:r>
        <w:rPr>
          <w:rFonts w:ascii="arial" w:eastAsia="arial" w:hAnsi="arial" w:cs="arial"/>
          <w:color w:val="000000"/>
          <w:sz w:val="20"/>
          <w:lang w:val="en-US" w:eastAsia="en-US" w:bidi="ar-SA"/>
        </w:rPr>
        <w:t xml:space="preserve"> is distinguishable from the present case for at least two reasons. First, the waiver in </w:t>
      </w:r>
      <w:r>
        <w:rPr>
          <w:rFonts w:ascii="arial" w:eastAsia="arial" w:hAnsi="arial" w:cs="arial"/>
          <w:i/>
          <w:color w:val="000000"/>
          <w:sz w:val="20"/>
          <w:lang w:val="en-US" w:eastAsia="en-US" w:bidi="ar-SA"/>
        </w:rPr>
        <w:t>Delaney</w:t>
      </w:r>
      <w:r>
        <w:rPr>
          <w:rFonts w:ascii="arial" w:eastAsia="arial" w:hAnsi="arial" w:cs="arial"/>
          <w:color w:val="000000"/>
          <w:sz w:val="20"/>
          <w:lang w:val="en-US" w:eastAsia="en-US" w:bidi="ar-SA"/>
        </w:rPr>
        <w:t xml:space="preserve"> was more clearly drafted and it specifically referenced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Second, given the nature of the white-water rafting activity, a reasonable person would expect that in signing the document, he or she was assuming full responsibility for any injury. The defendants in the present case are correct to emphasize that at para. 38 Macfarlane J.A., writing for the majority of the court, held that a waiver must be interpreted in light of the "whole purpose of the relationship between the deceased and the corporate respondent". Later in that same paragraph Macfarlane J.A. observed that the purpose of the contractual relationship in that case was "an exciting and thrilling challenge of the power of the Fraser River in the Canyon". In the present case, the defendants say that the purpose of the relationship was not for Ms. Chamberlin to receive physiotherapy as a patient from the CPA or the Course instructors. I agree. The purpose of the relationship was for Ms. Chamberlin to obtain continuing education as a reasonably new member of her professional organization. An "exciting and thrilling challenge" this was not. Ms. Chamberlin says that she expected the course to be provided in a safe and well-structured learning environment, and this expectation, in my opinion, was not unreasonable. While it is one thing to expect Ms. Chamberlin to do her part and bring concerns about her body to the attention of the Course instructors and practice partners, it is quite another to construe the relationship in this case as one where the nature of the activity was such that all risks were to be wholly shouldered by the Course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defendants also cite </w:t>
      </w:r>
      <w:r>
        <w:rPr>
          <w:rFonts w:ascii="arial" w:eastAsia="arial" w:hAnsi="arial" w:cs="arial"/>
          <w:i/>
          <w:color w:val="000000"/>
          <w:sz w:val="20"/>
          <w:lang w:val="en-US" w:eastAsia="en-US" w:bidi="ar-SA"/>
        </w:rPr>
        <w:t>Davis v. Robertson</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[2000] O.J. No. 1712</w:t>
        </w:r>
      </w:hyperlink>
      <w:r>
        <w:rPr>
          <w:rFonts w:ascii="arial" w:eastAsia="arial" w:hAnsi="arial" w:cs="arial"/>
          <w:color w:val="000000"/>
          <w:sz w:val="20"/>
          <w:lang w:val="en-US" w:eastAsia="en-US" w:bidi="ar-SA"/>
        </w:rPr>
        <w:t xml:space="preserve"> (Ont. S.J.), where a waiver also similar to the one in the present case was found to be enforceable. In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xml:space="preserve">, the plaintiff's sailboats were damaged while stored at a non-profit boating club. The plaintiff had signed a one-page waiver that did not expressly reference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Reproduced at para. 6 of the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xml:space="preserve"> decision, the waiver indicated that the defendants would "... not be held responsible for ... loss or damage to the personal property, however caused, during any part of the ... storage ... of any vessel". While there is no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waiver, at para. 13 of his judgment Lederman J. concluded that the intention to encompass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otherwise "adequately expressed". He also noted that there was no expectation from the contracting parties that the defendant boating club would insure its member's boats. The court in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xml:space="preserve"> also concluded that the parties must have contemplated that any risk flowing from loss or damage would be allocated to the boat owners' respective insurance companies. For these reasons, I find the language of the waiver in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xml:space="preserve">, when read in the context of the activity in question and the parties' relationship, bears little resemblance to the language in the Waiver and the parties' relationship in the present case. In my view, unlike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xml:space="preserve">, the intention to encompass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not been otherwise adequately expressed in the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Clarke v. Action Driving School Ltd.</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[1996] B.C.J. No. 953</w:t>
        </w:r>
      </w:hyperlink>
      <w:r>
        <w:rPr>
          <w:rFonts w:ascii="arial" w:eastAsia="arial" w:hAnsi="arial" w:cs="arial"/>
          <w:color w:val="000000"/>
          <w:sz w:val="20"/>
          <w:lang w:val="en-US" w:eastAsia="en-US" w:bidi="ar-SA"/>
        </w:rPr>
        <w:t xml:space="preserve"> (S.C.) is another case where the waiver in question did not specifically use the word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Mr. Clarke, was injured in a motorcycle riding lesson at the defendant's driving school. The waiver he had signed released the defendant "... from all responsibility of ... bodily injury ... and claims of every nature and kind howsoever arising from or in consequence of such student's participation in any of the training courses" (See: para 2). MacKenzie J. (as she then was) found that the use of the words "howsoever arising" contemplated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however, argued that the clause should be strictly construed, relying on </w:t>
      </w:r>
      <w:r>
        <w:rPr>
          <w:rFonts w:ascii="arial" w:eastAsia="arial" w:hAnsi="arial" w:cs="arial"/>
          <w:i/>
          <w:color w:val="000000"/>
          <w:sz w:val="20"/>
          <w:lang w:val="en-US" w:eastAsia="en-US" w:bidi="ar-SA"/>
        </w:rPr>
        <w:t>Smith v. Horizon Aero Sports Ltd.</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[1981] B.C.J. No. 1861</w:t>
        </w:r>
      </w:hyperlink>
      <w:r>
        <w:rPr>
          <w:rFonts w:ascii="arial" w:eastAsia="arial" w:hAnsi="arial" w:cs="arial"/>
          <w:color w:val="000000"/>
          <w:sz w:val="20"/>
          <w:lang w:val="en-US" w:eastAsia="en-US" w:bidi="ar-SA"/>
        </w:rPr>
        <w:t xml:space="preserve"> (S.C.), where a similar waiver was found not to bar the plaintiff's claims for injuries suffered in a parachute jump. The release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waived "... any claim ..." which "... might arise out of or in any manner ... connected to the undersigned's jumping" (See: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at para. 25). In finding in favour of the defendant, the court distinguished the case on the basis that the phrase "howsoever arising" or similar language was not found in the waiver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my opinion, the Waiver Ms. Chamberlin signed falls somewhere between the language of the waivers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Clarke</w:t>
      </w:r>
      <w:r>
        <w:rPr>
          <w:rFonts w:ascii="arial" w:eastAsia="arial" w:hAnsi="arial" w:cs="arial"/>
          <w:color w:val="000000"/>
          <w:sz w:val="20"/>
          <w:lang w:val="en-US" w:eastAsia="en-US" w:bidi="ar-SA"/>
        </w:rPr>
        <w:t>. It broadly refers to "any and all claims which I might have at any have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 in any manner whatsoever relating to my participation". However, unlike </w:t>
      </w:r>
      <w:r>
        <w:rPr>
          <w:rFonts w:ascii="arial" w:eastAsia="arial" w:hAnsi="arial" w:cs="arial"/>
          <w:i/>
          <w:color w:val="000000"/>
          <w:sz w:val="20"/>
          <w:lang w:val="en-US" w:eastAsia="en-US" w:bidi="ar-SA"/>
        </w:rPr>
        <w:t>Clarke</w:t>
      </w:r>
      <w:r>
        <w:rPr>
          <w:rFonts w:ascii="arial" w:eastAsia="arial" w:hAnsi="arial" w:cs="arial"/>
          <w:color w:val="000000"/>
          <w:sz w:val="20"/>
          <w:lang w:val="en-US" w:eastAsia="en-US" w:bidi="ar-SA"/>
        </w:rPr>
        <w:t xml:space="preserve">, it does not refer to "claims of every nature and kind howsoever arising", and unlike the waiver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it includes the additional words "all" and "whatsoever". In my view, arriving at a conclusory interpretation solely on the basis of these slight differences would be unduly formalistic. The fact that courts have diverged in the enforcement of similarly worded waivers says more about differences in the factual matrices of these cases than any differences in the contracts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my opinion, even when applying a literal meaning to the Waiver in this case, ambiguity remains. Despite the generality of phrases such as "any and all claims", "I might have at any time", and "in any manner whatsoever", I am not convinced that the Waiver, when read in its entirety, is sufficiently clear or specific to encompass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Waiver mentions that there are "risks" involved in the Course's "techniques and procedures", but it does not identify or provide examples of those risks, or even specify the nature of the risks or their degree of severity. It is therefore unclear what risks the signing party would be accepting to bear by waiving "any and all claims" against the defendants. In my view,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necessarily fall within the reasonable contemplation of the risks posed by the "techniques and procedures" of a continuing education course in physiotherapy. The phrase "in any manner whatsoever relating to my participation in this [course]" is, in the context of this case, similarly ambiguous. Despite the generality of the first portion of the clause, the second portion may be interpreted consistently with the instruction that participants are responsible for their own bodies. In my opinion this responsibility does not necessarily extend to the negligent conduct of others beyond the participants' control. In other words, without specific reference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others, a literal reading of this clause suggests Ms. Chamberlin has not waived her right to bring an action "unrelated" to her participation in the course.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instructor, the CPA, or a fellow participant is more properly construed as a claim "relating" to the respective defendant's instruction, organization, or participation, not Ms. Chamberlin's participation. As a result, in my view, it cannot be said that the Waiver is as plain and clear as the defendants suggest.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my opinion, it is quite plausible and reasonable to construe "any and all claims" and "relating to [Ms. Chamberlin's] participation in the course" consistently with the plaintiff's interpretation of the Waiver and the supporting extrinsic evidence. Ms. Chamberlin was told that she was responsible for her own body. She did not infer from this explanation that she was agreeing to waive or abandon her right to sue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Instead, she says that she understood the Waiver as referring to pain or soreness resulting from the physical manipulation of her joints. Combined with the fact that the Waiver was explained to the participants with reference to the physical rather than legal risks of the Course, Ms. Chamberlin's interpretation does not seem objectively unreasonable. In my view, having regard to the language of the Waiver and the factual circumstances in which it was proffered, explained and signed, it is not sufficiently clear or specific such that it necessarily encompasses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Rather, I find the Waiver admits of ambiguity in this regard. Applying the principle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the ambiguity should be resolved against its drafters and in favour of Ms. Chamberlin.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Was the plaintiff otherwise bound by the terms of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Even if the Waiver were to be given the interpretation advocated by the defendants, the issue still remains whether it was in the specific contemplation of Ms. Chamberlin that in signing the document she was waiving her right to sue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xml:space="preserve">, a party tendering a document for signature is generally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required to take steps to apprise the signing party of onerous terms or to ensure that the party reads and understands them. However, this general rule does not apply where the party tendering the document knew or had reasons to know that the signing party was under a mistake as to its terms. The defendants frame this exception as a question of "whether a reasonable person, in the circumstances of this case, would know that the plaintiff did not intend to agree to a liability release." They say that a reasonable person would indeed conclude that Ms. Chamberlin agreed to the waiver of her right to sue because she signed the document. However, in my view, this argument suffers from a deficiency akin to the fallacy of composition. It infers that because something might be true of the whole, it must also be true of its parts. Just because Ms. Chamberlin may have intended to agree to a liability release does not necessarily mean that she agreed to the specific term of waiving her right to sue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Indeed, Ms. Chamberlin concedes that she was bound by the terms of the Waiver as she understood them, but disagrees that she was bound according to the broad interpretation proposed by the defendants. As McLachlin C.J.S.C. noted at para. 25 in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 The effect of the exclusion clause in relation to the nature of the contract is important because if it runs contrary to the party's normal expectations it is fair to assume that he does not intend to be bound by the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Given the circumstances surrounding the signing of the Waiver, I am of the view that a clause excluding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run contrary to the normal and reasonable expectations of the Course participants in this case. Extrinsic evidence from both sides indicates that the physical rather than legal risks of the Course were emphasized to the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Further, while the defendants submit there is nothing in Ms. Chamberlin's evidence to indicate she was confused by the Waiver, her assertion that the document was simply presented as a form to sign and return is supported by the fact that she did not complete, nor was she asked or told to complete, the entire document. The defendants, in response, say that the plaintiff's handwriting on the Waiver is "very neat", which suggests she was not rushed. Both facts could be true: Ms. Chamberlin may not have been rushed in signing the document, but she may also still not have fully understood it or been cognizant of the specific legal rights she was been asked to waive. In any event, Ms. Chamberlin says that she was never told about the meaning of the Waiver, and there is no evidence before me to contradict that assertion. More to the point, there is nothing in the evidence that indicates the participants were informed that by signing the Waiver they were assuming all of the risks, both physical and legal, associated with their participation in the Course. Rather, the emphasis on participants being "responsible for their own bodies", particularly in the context of physiotherapy, can reasonably take on a more circumscribed meaning as cautioning the participants about the Course's physical risks. It is therefore not surprising that Ms. Chamberlin understood the Waiver more narrowly than the defendants. In my view, even if the defendants' interpretation of the Waiver is accepted, it would not be unreasonable to conclude that Ms. Chamberlin would have been under a mistake as to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Notwithstanding what Ms. Lee and Mr. Cope had to say about their identical understandings of the Waiver and its legal implications, I am of the opinion that a reasonable participant at the Course would not have understood or expected that he or she was agreeing to such onerous legal risks, particularly given the general language of the Waiver and its lack of specificity with respect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Chamberlin contends that she understood the Waiver to be similar to waivers used in her practice, which she says "prevent any lawsuits for soreness or minor pain after treatment." The circumstances of this case are not analogous to recreational sporting activities like skiing, racing, white water rafting, zip-lining, or scuba diving, where, given the inherent risks and social expectations surrounding the allocation of risk, a willing participant in such activities reasonably expects that he or she assumes all risks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By contrast, in the context of a physiotherapy training course, I find it unlikely that a participant would expect that it was a condition of his or her participation to assume personal responsibility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professional organization and its agents. While the defendants argue that Ms. Chamberlin, a registered physiotherapist, "knew or ought to have known" of the Course's potential risks, I fail to see how the risk of an instructor breaching his or her professional standard of care would be one of the potential risks that a participant would be mindful of at the time a waiver was signed. This is particularly so given the lack of specificity in the release itself. Therefore, even assuming the defendants' generous interpretation of the Waiver is correct, the CPA or the instructors ought to have brought this interpretation to the attention of Ms. Chamberlin, as it cannot reasonably be said to have been in her specific contemplation at the time the release was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plaintiff has not raised the second or third lines of inquiry articulated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That is, the plaintiff has not argued that there is an element of unconscionability that invalidates the Waiver or that there are public policy grounds to refuse to enforce the Waiver. In light of this, there is no need for me to address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my opinion the defendants' application to dismiss the plaintiff's action on the ground that the Waiver provides them with a complete defence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Issue #3: </w:t>
      </w:r>
      <w:r>
        <w:rPr>
          <w:rFonts w:ascii="arial" w:eastAsia="arial" w:hAnsi="arial" w:cs="arial"/>
          <w:color w:val="000000"/>
          <w:sz w:val="20"/>
          <w:u w:val="single"/>
          <w:lang w:val="en-US" w:eastAsia="en-US" w:bidi="ar-SA"/>
        </w:rPr>
        <w:t xml:space="preserve">Does the doctrine of </w:t>
      </w:r>
      <w:r>
        <w:rPr>
          <w:rFonts w:ascii="arial" w:eastAsia="arial" w:hAnsi="arial" w:cs="arial"/>
          <w:i/>
          <w:color w:val="000000"/>
          <w:sz w:val="20"/>
          <w:u w:val="single"/>
          <w:lang w:val="en-US" w:eastAsia="en-US" w:bidi="ar-SA"/>
        </w:rPr>
        <w:t>volenti non fit injuria</w:t>
      </w:r>
      <w:r>
        <w:rPr>
          <w:rFonts w:ascii="arial" w:eastAsia="arial" w:hAnsi="arial" w:cs="arial"/>
          <w:color w:val="000000"/>
          <w:sz w:val="20"/>
          <w:u w:val="single"/>
          <w:lang w:val="en-US" w:eastAsia="en-US" w:bidi="ar-SA"/>
        </w:rPr>
        <w:t xml:space="preserve"> bar the plaintiff from claiming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parties agree that this issue can be decided based solely on the evidentiary record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defendants point to Ms. Chamberlin's own affidavit evidence, where she says she had a family history of hypermobility in her shoulders. Moreover, the defendants note that Ms. Chamberlin says she was aware that the Course was hands-on, involving physical manipulation of her body. On the basis of this evidence, the defendants submit Ms. Chamberlin "voluntarily assumed the risk of injury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when she forged ahead" in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my opinion, while it is true that Ms. Chamberlin was informed that she was responsible for her own body, and put on notice that it was up to her to articulate her concerns to her instructors and the other participants, these facts do not amount to a voluntary assumption of risk on her part. The defendant's position on this point may more properly be an assertion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Ms. Chamberlin's part, or otherwise a consideration that goes to the issue of whether or not there has been a breach of the requisite standard of care. The defendants have not pointed to any persuasive evidence, aside from the plaintiff's execution of the Waiver itself, that would indicate Ms. Chamberlin expressly or by implication agreed not to hold the defendants responsible for the injury. It is useful at this point to once again quote the following passage of Williams in </w:t>
      </w:r>
      <w:r>
        <w:rPr>
          <w:rFonts w:ascii="arial" w:eastAsia="arial" w:hAnsi="arial" w:cs="arial"/>
          <w:i/>
          <w:color w:val="000000"/>
          <w:sz w:val="20"/>
          <w:lang w:val="en-US" w:eastAsia="en-US" w:bidi="ar-SA"/>
        </w:rPr>
        <w:t xml:space="preserve">Joint Torts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(1951) at 308, cited in </w:t>
      </w:r>
      <w:r>
        <w:rPr>
          <w:rFonts w:ascii="arial" w:eastAsia="arial" w:hAnsi="arial" w:cs="arial"/>
          <w:i/>
          <w:color w:val="000000"/>
          <w:sz w:val="20"/>
          <w:lang w:val="en-US" w:eastAsia="en-US" w:bidi="ar-SA"/>
        </w:rPr>
        <w:t>Joe</w:t>
      </w:r>
      <w:r>
        <w:rPr>
          <w:rFonts w:ascii="arial" w:eastAsia="arial" w:hAnsi="arial" w:cs="arial"/>
          <w:color w:val="000000"/>
          <w:sz w:val="20"/>
          <w:lang w:val="en-US" w:eastAsia="en-US" w:bidi="ar-SA"/>
        </w:rPr>
        <w:t xml:space="preserve">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submitted that the key to an understanding of the true scope of the </w:t>
      </w:r>
      <w:r>
        <w:rPr>
          <w:rFonts w:ascii="arial" w:eastAsia="arial" w:hAnsi="arial" w:cs="arial"/>
          <w:i/>
          <w:color w:val="000000"/>
          <w:sz w:val="20"/>
          <w:lang w:val="en-US" w:eastAsia="en-US" w:bidi="ar-SA"/>
        </w:rPr>
        <w:t>volens</w:t>
      </w:r>
      <w:r>
        <w:rPr>
          <w:rFonts w:ascii="arial" w:eastAsia="arial" w:hAnsi="arial" w:cs="arial"/>
          <w:color w:val="000000"/>
          <w:sz w:val="20"/>
          <w:lang w:val="en-US" w:eastAsia="en-US" w:bidi="ar-SA"/>
        </w:rPr>
        <w:t xml:space="preserve"> maxim lies in drawing a distinction between what may be called physical and legal risk. Physical risk is the risk of damage in fact; legal risk is the risk of damage in fact for which there will be no redress in law.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put this in general terms, </w:t>
      </w:r>
      <w:r>
        <w:rPr>
          <w:rFonts w:ascii="arial" w:eastAsia="arial" w:hAnsi="arial" w:cs="arial"/>
          <w:color w:val="000000"/>
          <w:sz w:val="20"/>
          <w:u w:val="single"/>
          <w:lang w:val="en-US" w:eastAsia="en-US" w:bidi="ar-SA"/>
        </w:rPr>
        <w:t xml:space="preserve">the defence of </w:t>
      </w:r>
      <w:r>
        <w:rPr>
          <w:rFonts w:ascii="arial" w:eastAsia="arial" w:hAnsi="arial" w:cs="arial"/>
          <w:i/>
          <w:color w:val="000000"/>
          <w:sz w:val="20"/>
          <w:u w:val="single"/>
          <w:lang w:val="en-US" w:eastAsia="en-US" w:bidi="ar-SA"/>
        </w:rPr>
        <w:t>volens</w:t>
      </w:r>
      <w:r>
        <w:rPr>
          <w:rFonts w:ascii="arial" w:eastAsia="arial" w:hAnsi="arial" w:cs="arial"/>
          <w:color w:val="000000"/>
          <w:sz w:val="20"/>
          <w:u w:val="single"/>
          <w:lang w:val="en-US" w:eastAsia="en-US" w:bidi="ar-SA"/>
        </w:rPr>
        <w:t xml:space="preserve"> does not apply where as a result of a mental process the plaintiff decides to take a chance but there is nothing in his conduct to show a waiver of the right of action communicated to the other party</w:t>
      </w:r>
      <w:r>
        <w:rPr>
          <w:rFonts w:ascii="arial" w:eastAsia="arial" w:hAnsi="arial" w:cs="arial"/>
          <w:color w:val="000000"/>
          <w:sz w:val="20"/>
          <w:lang w:val="en-US" w:eastAsia="en-US" w:bidi="ar-SA"/>
        </w:rPr>
        <w:t xml:space="preserve">. To constitute a defence, there must have been an express or implied bargain between the parties whereby the plaintiff gave up his right of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most compelling evidence that the defendants can provide in this regard is that Ms. Chamberlin deposed that Ms. Belot, after re-aligning her neck, "joked that I had signed the waiver." The argument of the defendants is that, because Ms. Chamberlin chose to continue with the practical sessions even after Ms. Belot made this comment to her, her conduct communicated a waiver of her right of action. In my view, this evidence fails to establish the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defence. It does not prove Ms. Chamberlin's continued participation communicated an implied agreement that she had voluntarily assumed all liability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Consequently, I am of the view that the defendants' application for summary dismissal of Ms. Chamberlin's action on the basis of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should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Issue #4: Should Ms. Chamberlin's claim against the PABC be dismissed because it had no role in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PABC maintains it was not involved with the organization or administration of the Course and therefore irrespective of the court's ruling on the Waiver and the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defence, the plaintiff's action against it should still be dismissed. This position was clearly articulated in the defendants' notice of application and the written submissions of counsel for the defendants. The plaintiff's application response did not specifically address this portion of the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When counsel for the defendants began his submissions on the first day of the hearing, counsel for Ms. Chamberlin interjected and informed the court that the plaintiff did not take issue with what the PABC was seeking. More specifically, counsel for Ms. Chamberlin advised that he had instructions to "withdraw the action against the PABC". I took that to mean the plaintiff would be formally discontinuing her claim against the PABC, pursuant to Rule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Given plaintiff's counsel's concession, counsel for the defendants made no further submissions on the issue of the plaintiff's claim against the PABC being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defendants have failed to persuade me that the Waiver provides a valid and complete defence to the plaintiff's claims against them. Furthermore, I am not satisfied that the defendants have met their evidentiary burden to prove that the plaintiff voluntarily and knowingly assumed the risks posed by her participation in the Course such that the doctrine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bars her from pursuing the defendants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has declared her intention to discontinue her claim against the PABC. As a result of that, I did not hear submissions on the question of whether that claim should be dismissed. I expect that the plaintiff has or will be complying with Rule 9-8 and that a filed notice of discontinuance has or will be served on all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On the basis that the plaintiff's action against the PABC has or will be formally discontinued and that in the result the PABC is no longer a defendant in this action, the application of the remaining defendants for a summary dismissal of the plaintiff's action against them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parties have leave to apply in the event there is a need to further address anything in relation to the plaintiff's action against the PABC, including the status of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If the parties wish to address the issue of costs of this summary trial, they must so inform the court within 30 days of the date of these reasons. Otherwise,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G.R.J. GAUL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768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Conarroe v. Tallack, [2020] B.C.J. No. 347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F.V. Marzari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23,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24,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M169155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347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310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 Sean Michael Conarroe, Plaintiff, and Phillip Anthony Tallack, Her Majesty the Queen in right of the Province of British Columbia, As represented by the Ministry of Transportation and Infrastructure, and JPW Road &amp; Bridge Inc., Defendants, and Phillip Anthony Tallack, Hujun Xiao, Shaojing Sun, Nikolay Radoslavov, and Solution Financial Inc.,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jc w:val="both"/>
        <w:rPr>
          <w:rFonts w:ascii="arial" w:eastAsia="arial" w:hAnsi="arial" w:cs="arial"/>
          <w:sz w:val="20"/>
          <w:lang w:val="en-US" w:eastAsia="en-US" w:bidi="ar-SA"/>
        </w:rPr>
      </w:pPr>
      <w:bookmarkStart w:id="48" w:name="Counsel_8"/>
      <w:bookmarkEnd w:id="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4"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C.M. Duplessis, F. Kennelly.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Phillip Anthony Tallack: E.J. Lundberg, S. Kim,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Shaojing Sun, Nikolay Radoslavov, Solution Financial Inc. and Hujun Xiao: J. Whyte, J. Bednard.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JPW Road &amp; Bridge Inc.: M. Silva.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8"/>
      <w:bookmarkEnd w:id="49"/>
      <w:r>
        <w:pict>
          <v:line id="_x0000_s1065" style="position:absolute;z-index:251718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F.V. MARZARI J. (orally)"/>
            <w:bookmarkEnd w:id="50"/>
            <w:r>
              <w:rPr>
                <w:rFonts w:ascii="arial" w:eastAsia="arial" w:hAnsi="arial" w:cs="arial"/>
                <w:b/>
                <w:color w:val="000000"/>
                <w:sz w:val="30"/>
                <w:lang w:val="en-US" w:eastAsia="en-US" w:bidi="ar-SA"/>
              </w:rPr>
              <w:t>F.V. MARZARI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xml:space="preserve"> Yesterday, I allowed counsel for the former party, JPW Road &amp; Bridge Inc. ("JPW"), to be heard with respect to JPW's right to make submissions before me, despite the fact that JPW had been removed as a party by way of consent order earlier this month following a BC Ferries type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the basis of those initial submissions, which are tied to the reasons that I lay out below, I allowed counsel to address the issues of liability and the status of the Leggett and Macnabb reports that the defendant Mr. Tallack now seeks to rely upon to argue there should be an apportionment of liability to JPW as the road maintenance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have found that these two reports are not admissible by the defendant Mr. Tallack for purposes of apportionment, and these are my reasons for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While I am giving oral reasons today, I anticipate that I may also articulate my reasons in the final written reasons I make with respect to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received submissions and evidence on the events leading up to the BC Ferries settlement that was reached in the month prior to trial, and the consent order that followed, and I make the following findings with respect to that evidence and regarding those events:</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October 18, 2019, the plaintiff served the Macnabb and Leggett report on all of the defendants. I understand these reports relate to issues related to road maintenance and conditions and were initially relied upon by the plaintiff as the basis of their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JPW and the Ministry of Transportation. I find that they were served on time by the plaintiff for the purposes of his reliance on them at trial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JPW also served, at around that time, an expert report addressing their standard of care and the standard of care of road maintenance contractors more generally under the Province's road maintenance contract--which I understand is a contract required for all contractors as a matter of policy or regulation of the Province and is a substantial document judging by the 3 - 4 inch binder that it occupies.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that time, Mr. Tallack had pled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in this trial, as well as that the plaintiff's damages were caused or contributed to by the "negligent maintenance, design, service and/or construction of the highway" by the defendants Ministry of Transportation and Infrastructure and JPW. The particulars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pled to be as set out in the plaintiff's notice of civil claim. Mr. Tallack did not file or allege liability by way of a third party action against JPW or the Ministry.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Tallack did not serve any expert reports relating to the Ministry or JPW's standard of care or liability before the deadline for service of such reports. Nor did Mr. Tallack, upon receipt of the Macnaab and Leggett reports from the plaintiff in relation to JPW's standard of care or breach thereof, re-serve those reports or indicate reliance upon those reports with respect to the apportionment issues between it and JPW and the Ministry. Nor did it indicate any intention to rely upon them.</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Instead, on October 24, 2019, Mr. Tallack sent a letter objecting to the admissibility of the Macnaab and Leggett reports on nine different grounds.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advance of the TMC in early December and the rebuttal report deadline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JPW served two rebuttal reports to the Macnabb and Leggett reports dealing with road maintenance and engineering evidence as well as detailed objections to the Macnabb and Leggett reports. These objections were significant and went to numerous issues, including the qualification of both experts to opine on the standard of care, the interpretation of the road maintenance contract, and of meteorological factors. For the purposes of this hearing, I do not find it necessary to consider or rule upon these objections.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JPW also filed a trial brief that indicated that their witnesses and experts would require a five- to six-week trial to address these issues, where only a three-week trial was scheduled and available. This was an additional two to three weeks of court time that would have been required to address the road maintenance liability issues.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receipt of these reports, objections, and the trial brief from JPW, on or about December 3, 2019 the plaintiff made an offer to JPW in the form a BC Ferries type of settlement to dismiss the plaintiff's claims regarding road maintenance, and I understand and I accept that all parties were alerted to the nature of this offer.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5, there was a TMC in this Court at which I am satisfied that all parties knew that a BC Ferries settlement was being contemplated, and represented to the judge who heard that TMC that this settlement would allow the trial to proceed in the three weeks allotted. The trial date was confirmed by the TMC judge on the basis that the liability issues of JPW were to be resolved by way of agreement.</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TMC on December 5, 2019, Mr. Tallack gave notice to the plaintiff that he might seek to rely on the Macnabb and Leggett reports. He did not give that notice to JPW, and I find JPW and its counsel were not served with and remained unaware of Mr. Tallack's change in position from objecting to the admissibility of these reports to seeking to potentially rely upon them.</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understand that a draft amended notice of civil claim removing all claims and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JPW and the Ministry, as discussed and contemplated at the TMC, was circulated and was ultimately filed on December 18, 2019. While no consent order allowing for the filing of that amended notice of civil claim was entered, and Mr. Tallack did not sign a consent order to that effect, I accept that the amended notice of civil claim was consistent with the understanding of all the parties after the TMC.</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December 23, Mr. Tallack filed an amended response to civil claim, also without a consent order. That filing may well have been appropriate as a responsive document, but it was not done on the basis of an agreement with the other parties or after circulation. That amended response added independent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pleading for apportionment against JPW.</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amended response was served on the plaintiff at some point thereafter. It was not served on JPW, and I find that JPW was not aware of Mr. Tallack's independent allegations and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until after it finalized the BC Ferries settlement and the trial had started.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JPW and the plaintiff completed their negotiations of the BC Ferries agreement. The terms of that agreement were somewhat unusual in that JPW insisted on a consent dismissal order of the claims against it on their merits, rather than the more common discontinuance.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Tallack through his counsel signed this consent order. The order itself is dated January 3, 2020. It was filed on January 6th of this year.</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note a similar order was filed in relation to the plaintiff's claims against the Province.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JPW continued to be a party of record at least until the signing of that consent order, and that JPW's counsel continued to be entitled to notice of amended pleadings to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JPW's counsel discovered for the first time, while attending at the trial in the gallery, that Mr. Tallack had amended his pleadings and now intended to rely upon the Macnabb and Leggett reports to argue that liability should be apportioned to his client. JPW relies upon a provision of the BC Ferries agreement that he states requires the plaintiff to defend JPW's position, and allows JPW counsel to sit as second chair if any such issues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While Plaintiff's counsel attempted to explain JPW's position in this regard, I directed that JPW's counsel attend in court to explain his position and the basis upon which he is entitled to make any submissions in light of JPW's removal from the litigation by way of the BC Ferries agreement. In the end I accepted his submissions with respect to JPW's standing to make arguments going to the admissibility of the Macnaab and Leggett reports in light of trial fairness and relevancy. I did not hear JPW's arguments as to the admissibility of those reports on other grounds, and find that I need not consider those to determine the issues before me at this point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have concluded that Mr. Tallack should not be permitted to rely on the Macnabb and Leggett reports to support his claims in apportionment for two main reasons:</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and JPW reasonably relied on Mr. Tallack's objection to the admissibility of the Macnaab and Leggett reports at the time they entered into the settlement of the road maintenance liability issues in December 2019, and allowing Mr. Tallack to reverse that position so close to the trial date and well after the deadline for doing so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would significantly prejudice both of them; and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consent order dismissing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JPW on its merits signed by Mr. Tallack makes the issue of JPW's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plaintiff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leaving no liability to apportion in this regard.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Reliance on Mr. Tallack's position up to date of TMC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me, counsel for Mr. Tallack argued that his objection letter to the Leggett and Macnabb reports was formulaic and should not have been relied upon to convey an actual objection to the admissibility of those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perhaps it is not what was intended, I find that all parties were required to and entitled to rely on that objection letter as an expression of Mr. Tallack's submission that those reports should not and could not be admitted, and certainly that he had no intention to rely upon them. This position was also reiterated in Mr. Tallack's trial brief filed in November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find that JPW and the plaintiff reasonably relied on Mr. Tallack's opposition to the admissibility of those reports when they began negotiating the BC Ferries agreement. JPW was also relying on case law that generally requires expert evidence in relation to the standard of care of a road maintenance contractor to establish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Collins v. Rees</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2012 BCSC 1460</w:t>
        </w:r>
      </w:hyperlink>
      <w:r>
        <w:rPr>
          <w:rFonts w:ascii="arial" w:eastAsia="arial" w:hAnsi="arial" w:cs="arial"/>
          <w:color w:val="000000"/>
          <w:sz w:val="20"/>
          <w:lang w:val="en-US" w:eastAsia="en-US" w:bidi="ar-SA"/>
        </w:rPr>
        <w:t>. Therefore, the context in which JPW and the plaintiff were negotiating the BC Ferries settlement was one where there was no evidence relied upon by anyone other than the plaintiff that could have established such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this context, counsel for the plaintiff and JPW, in particular, were entitled to pursue a BC Ferries agreement, and commit to a trial date and schedule at the TMC, on the basis that these reports would not be entered by anyone other than plaintiff, and there was opposition to the admissibility of these reports by both JPW and Mr. Tallack.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JPW was entitled to continue to rely on that state of affairs through to the completion of the BC Ferries settlement and the consent dismissal order dismissing the plaintiff's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it on their merits. JPW continued to be a party until that consent order was filed, and therefore Mr. Tallack was required to serve counsel with his late stated intent to rely on these reports and the change in his response pleadings regarding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No notice of intention to rely on these reports by Mr. Tallack was ever served on JPW. Trial dates were confirmed at the TMC on the basis that JPW would not need to defend these allegations, and later on the basis of the circulated amended notice of civil claim. JPW had no notice of Mr. Tallack's amended response and the independent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contained. JPW was also entitled to rely on its requirement and receipt of a consent order signed by Mr. Tallack dismissing the plaintiff's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JPW on their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Late admission of these reports in this case is therefore highly prejudicial to the plaintiff, who entered a BC Ferries agreement on the basis that it would allow this trial to proceed without this expert evidence and the weeks of additional evidence it entailed. It is also prejudicial to JPW as I find that they would not have entered into the BC Ferries agreement had their liability remained a live issue. I find that the consent order and the non-reliance on these reports by Mr. Tallack well past the deadline for serving expert reports and even the TMC, was an essential precondition for JPW entering into the BC Ferries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Finally, I accept that if the Macnabb and Leggett reports were admitted, particularly with respect to the issues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road contractor for the purposes of apportionment, it would be unfair to the plaintiff to exclude responsive reports that were served on all parties by JPW on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I initially accepted the plaintiff's position that they could not object to the admissibility of these reports because they were his own reports, I was not aware that Mr. Tallack, who sought to rely upon them, had in fact objected to their admissibility. Nor was I aware of the substantial objections to their admissibility by both Mr. Tallack and JPW. Finally, I was not aware that these objections were relied upon when the BC Ferries agreement was entered by both the plaintiff and JPW. At the very least, this change in position would require that I allow the plaintiff to object to the admissibility of these reports for substantive reasons, and to rely on the filed responsive reports and call related witnesses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Doing any of that would jeopardize this trial date, and would undermine the very purpose of the BC Ferries agreement. That would be highly prejudicial to the plaintiff, who has now compromised his claims with respect to JPW specifically to allow this trial to proceed. That compromise was made in the context of a lack of evidence relied upon by Mr. Tallack to establish JPW's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substantial objections to the admissibility of the reports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This is also of significant prejudice to all of the participants in this trial as a result of the delay and extension of the trial length to accommodate the responsive evidence to address the issue of standard and breach of care of JPW. I am satisfied that this was not contemplated by any of the parties before the judge at the TMC.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therefore find that Mr. Tallack is not now entitled to rely on these reports on the basis of his late notice of his intention to do so under Rule 11-7(6). Mr. Tallack's notice of his intended reliance on these reports was not only late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it was made after reliance had been placed on Mr. Tallack's objection to the admissibility of these reports by the plaintiff and JPW in negotiating a BC Ferries settlement, and by the court in affirming this trial date at the TMC.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Although the plaintiff had notice of this change prior to trial, Mr. Tallack's failure to notify JPW of his change in position resulted in matters progressing well into this trial before the matter could be addressed. It would now be unfair to both the plaintiff and to JPW to correct that failure by any means other than the exclusion of these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Consent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My trial fairness concerns alone are sufficient such that I would not allow Mr. Tallack to reverse his position on admissibility and rely upon the Macnabb and Leggett reports well past the service delivery deadline. However, the presence of the consent order independently raises another obstacle to any such reliance, and I will turn to that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recognize (as do all the parties) that a BC Ferries agreement does not necessarily or even usually mean that apportionment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an issue with respect to a settling defendant. It frequently will be, and there are fairly standard provisions of such agreements to address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However, I accept the submissions of JPW that those situations are generally accompanied by unilateral </w:t>
      </w:r>
      <w:r>
        <w:rPr>
          <w:rFonts w:ascii="arial" w:eastAsia="arial" w:hAnsi="arial" w:cs="arial"/>
          <w:i/>
          <w:color w:val="000000"/>
          <w:sz w:val="20"/>
          <w:lang w:val="en-US" w:eastAsia="en-US" w:bidi="ar-SA"/>
        </w:rPr>
        <w:t>discontinuance</w:t>
      </w:r>
      <w:r>
        <w:rPr>
          <w:rFonts w:ascii="arial" w:eastAsia="arial" w:hAnsi="arial" w:cs="arial"/>
          <w:color w:val="000000"/>
          <w:sz w:val="20"/>
          <w:lang w:val="en-US" w:eastAsia="en-US" w:bidi="ar-SA"/>
        </w:rPr>
        <w:t xml:space="preserve"> by the plaintiff against the settling party with a corresponding amendment of the plaintiff's claim. Where apportionment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third party claim remains a live issue, a BC Ferries agreement ought not to include dismissal by consent of all parties of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settling party in their entirety and on their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Tallack says that in signing the consent order dismissing the </w:t>
      </w:r>
      <w:r>
        <w:rPr>
          <w:rFonts w:ascii="arial" w:eastAsia="arial" w:hAnsi="arial" w:cs="arial"/>
          <w:i/>
          <w:color w:val="000000"/>
          <w:sz w:val="20"/>
          <w:lang w:val="en-US" w:eastAsia="en-US" w:bidi="ar-SA"/>
        </w:rPr>
        <w:t>plaintiff's</w:t>
      </w:r>
      <w:r>
        <w:rPr>
          <w:rFonts w:ascii="arial" w:eastAsia="arial" w:hAnsi="arial" w:cs="arial"/>
          <w:color w:val="000000"/>
          <w:sz w:val="20"/>
          <w:lang w:val="en-US" w:eastAsia="en-US" w:bidi="ar-SA"/>
        </w:rPr>
        <w:t xml:space="preserv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JPW and the Ministry, he was not doing anything more than that. He was not giving up his own claim to apportionment on the basis of JPW's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this argument difficult to reconcile with the wording of the consent order and the nature of apportionment, particularly in the absence of independent pleadings or an independent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It is well established that it is open to a defendant in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plead apportionment of liability of a non-party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I refer in that regard to the case law following our Court of Appeal's decision in </w:t>
      </w:r>
      <w:r>
        <w:rPr>
          <w:rFonts w:ascii="arial" w:eastAsia="arial" w:hAnsi="arial" w:cs="arial"/>
          <w:i/>
          <w:color w:val="000000"/>
          <w:sz w:val="20"/>
          <w:lang w:val="en-US" w:eastAsia="en-US" w:bidi="ar-SA"/>
        </w:rPr>
        <w:t>Wells v. McBrine</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(1988), 33 B.C.L.R. (2d) 86</w:t>
        </w:r>
      </w:hyperlink>
      <w:r>
        <w:rPr>
          <w:rFonts w:ascii="arial" w:eastAsia="arial" w:hAnsi="arial" w:cs="arial"/>
          <w:color w:val="000000"/>
          <w:sz w:val="20"/>
          <w:lang w:val="en-US" w:eastAsia="en-US" w:bidi="ar-SA"/>
        </w:rPr>
        <w:t xml:space="preserve"> (C.A.) and helpfully reviewed and summarized by Madam Justice Sharma in </w:t>
      </w:r>
      <w:r>
        <w:rPr>
          <w:rFonts w:ascii="arial" w:eastAsia="arial" w:hAnsi="arial" w:cs="arial"/>
          <w:i/>
          <w:color w:val="000000"/>
          <w:sz w:val="20"/>
          <w:lang w:val="en-US" w:eastAsia="en-US" w:bidi="ar-SA"/>
        </w:rPr>
        <w:t>MacDonald v. Cunniff</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2016 BCSC 559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Such an apportionment pleading may also be maintained after a BC Ferries agreement removes the settling party. Such an agreement generally does not require the defendant pleading apportionment to consent to or give up their claims in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However, Mr. Tallack did more than receive notice of a BC Ferries agreement or agree to the filing of an amended notice of civil claim removing claims against JPW or the Ministry. In this case, Mr. Tallack consented to a dismissal of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these defendants on their merits; that is, Mr. Tallack consented to a determination that the plaintiff had no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 claim for contribution or apportionment under s.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is not an independent claim akin to a third party action. It is a pleading that more than one party contributed to the damage to the plaintiff through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that that party breached a standard of care with respect to a duty of care owed to the plaintiff. As was stated by our Court of Appeal in </w:t>
      </w:r>
      <w:r>
        <w:rPr>
          <w:rFonts w:ascii="arial" w:eastAsia="arial" w:hAnsi="arial" w:cs="arial"/>
          <w:i/>
          <w:color w:val="000000"/>
          <w:sz w:val="20"/>
          <w:lang w:val="en-US" w:eastAsia="en-US" w:bidi="ar-SA"/>
        </w:rPr>
        <w:t>Cempel v. Harrison Hot Springs</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and this is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requires that the apportionment must be made on the basis of "the degree to which each person was at fault". It does not say that the apportionment should be on the basis of the degree to which each person's fault caused the damage. So we are not assessing degrees of causation, we are assessing degrees of fault. In this context, "fault" means blameworthiness. So it is a gauge of the amount by which each proximate and effective causative agent fell short of the standard of care that was required of that person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Mr. Tallack's apportionment pleading originally relied upon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pled in the plaintiff's notice of civil claim. Mr. Tallack's amended response adds independent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JPW, but does so not in the context of an independent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duty owed to Mr. Tallack, but in the context of apportionment of breaches of care owed to the plaintiff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Even had the amended response pleading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been properly served on JPW or the Ministry while they remained parties, the subsequently signed and entered consent dismissal order disposed, on their merits finally and completely, with any claims that the plaintiff had in alleging a duty of care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JPW and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Even if this were a consent order relating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non-party who was never the subject of a claim, Mr. Tallack's agreement that that party was not negligent in relation to duties of care owed to the plaintiff would foreclose any apportionment of fault to that non-party. Where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pled and particularized, an order by consent determining that there was no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determinative of this issue for the existing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there is no degree of fault, that is, a duty of care owed to the plaintiff and a breach of a standard of that care, that is left to apportion as a result of both Mr. Conarroe and Mr. Tallack's agreement that all such claims were dismissed on their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find that JPW reasonably relied on the history of litigation and the lack of any expert evidence relied upon by Mr. Tallack as to its liability at the time it accepted the BC Ferries agreement. JPW also insisted upon and obtained a consent order which removed any claim of liability against it by the plaintiff. No consent order would have been possible had Mr. Tallack not consented to it. In signing that order, Mr. Tallack agreed that there was no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 against JPW (or the Province) to apportion.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Even if I am wrong in this, I find that the late notice of Mr. Tallack's intention to rely on the Leggett and Macnabb reports cannot be excused under Rule 11-7(6). The following factors make Mr. Tallack's post-TMC reversal of his position on the admissibility, and his late notice of intention to rely upon these reports, prejudicial to JPW and the plaintiff and unfair in the context of the trial as a whole: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positions leading up to and at the TMC;</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confirmation of the trial date for a 3 week trial at the TMC;</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 Ferries settlement agreement between JPW and the plaintiff;</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any other evidence to establish a breach of the standard of care of the road contractor in the form of expert reports prior to the TMC; and</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consent order dismissing on their merits the plaintiffs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JPW.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That is my decision with respect to admission of the Leggett and Macnabb reports and the issue of apportionment of liability to JPW. However, I remain open to the possibility, which was urged upon me by Mr. Tallack and not objected to by the plaintiff, that portions of these reports may still be admissible in relation to the engineering dynamics of the collision at issue and the relative liability of Mr. Tallack and Mr. Conarroe.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remain open to this possibility on the basis that the reports were served on the plaintiff within a reasonable amount of time for this purpose, although late. I understand that there is the possibility that they could be used for this purpose against the plaintiff, as opposed to as between the plaintiff and JPW. I have not read the reports. I do not know whether that is in fact the case, but that is what has been represented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Admissibility of the reports therefore still has to be determined, and I give the plaintiff the right to make arguments as to relevance and admissibility. Although these are originally the plaintiff's reports, and it was originally agreed that the plaintiff was constrained in objecting to the admissibility of its own reports, I no longer consider the plaintiff bound to support the admissibility of the reports for a number of reasons, including:</w:t>
      </w:r>
      <w:r>
        <w:rPr>
          <w:rFonts w:ascii="arial" w:eastAsia="arial" w:hAnsi="arial" w:cs="arial"/>
          <w:sz w:val="20"/>
          <w:lang w:val="en-US" w:eastAsia="en-US" w:bidi="ar-SA"/>
        </w:rPr>
        <w:cr/>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Tallack's original position that they were not admissible;</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lengthy and substantive objections made by JPW which go to the general admissibility of these reports as expert evidence; and</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essential acceptance of that position by way of entering into a settlement and consent dismissal indicating the limitations of these reports and ceasing to rely upon the opinions in those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will require submissions on admissibility of these reports before they are entered into evidence for this alternate purpose. As Mr. Tallack is no longer objecting to them and instead relying upon them, I will require the plaintiff to take a position on their admissibility, including with respect to their relevance, in light of my decision that they are not admissible with respect to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JPW.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do not know what in those reports is only relevant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apportionment issues, but I am not going to admit reports that have no relevance to the issues that I have determined are still live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It may be that with redactions the plaintiff will be satisfied that there is no need to make objections as to the relevance of the reports. I would still have to consider their admissibility as a result of my gatekeeper role under </w:t>
      </w:r>
      <w:r>
        <w:rPr>
          <w:rFonts w:ascii="arial" w:eastAsia="arial" w:hAnsi="arial" w:cs="arial"/>
          <w:i/>
          <w:color w:val="000000"/>
          <w:sz w:val="20"/>
          <w:lang w:val="en-US" w:eastAsia="en-US" w:bidi="ar-SA"/>
        </w:rPr>
        <w:t>White Burgess Langille Inman Abbott and Haliburton Co.</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2015 SCC 23</w:t>
        </w:r>
      </w:hyperlink>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[2015] 2 S.C.R. 182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WBLI</w:t>
      </w:r>
      <w:r>
        <w:rPr>
          <w:rFonts w:ascii="arial" w:eastAsia="arial" w:hAnsi="arial" w:cs="arial"/>
          <w:color w:val="000000"/>
          <w:sz w:val="20"/>
          <w:lang w:val="en-US" w:eastAsia="en-US" w:bidi="ar-SA"/>
        </w:rPr>
        <w:t xml:space="preserve">] but agreement on a form of the report with redactions as to relevance would certainly be appreciated before I undertake the </w:t>
      </w:r>
      <w:r>
        <w:rPr>
          <w:rFonts w:ascii="arial" w:eastAsia="arial" w:hAnsi="arial" w:cs="arial"/>
          <w:i/>
          <w:color w:val="000000"/>
          <w:sz w:val="20"/>
          <w:lang w:val="en-US" w:eastAsia="en-US" w:bidi="ar-SA"/>
        </w:rPr>
        <w:t>WBLI</w:t>
      </w:r>
      <w:r>
        <w:rPr>
          <w:rFonts w:ascii="arial" w:eastAsia="arial" w:hAnsi="arial" w:cs="arial"/>
          <w:color w:val="000000"/>
          <w:sz w:val="20"/>
          <w:lang w:val="en-US" w:eastAsia="en-US" w:bidi="ar-SA"/>
        </w:rPr>
        <w:t xml:space="preserve"> analysis with respect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Those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F.V. MARZARI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6" style="position:absolute;z-index:251769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Craigie (Litigation guardians of) v. Lehigh Hanson Materials Ltd. (c.o.b. Ocean Concrete), [2020] B.C.J. No. 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21-25,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7,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M125457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Nolan James Craigie by his Litigation Guardians, Nancy Craigie and Alan Craigie, Plaintiff, and Lehigh Hanson Materials Limited d.b.a. Ocean Concrete, John Doe, Insurance Corporation of British Columbia, Defendants, and City of Vancouver,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(161 paras.)</w:t>
      </w:r>
    </w:p>
    <w:p>
      <w:pPr>
        <w:jc w:val="both"/>
        <w:rPr>
          <w:rFonts w:ascii="arial" w:eastAsia="arial" w:hAnsi="arial" w:cs="arial"/>
          <w:sz w:val="20"/>
          <w:lang w:val="en-US" w:eastAsia="en-US" w:bidi="ar-SA"/>
        </w:rPr>
      </w:pPr>
      <w:bookmarkStart w:id="51" w:name="Counsel_9"/>
      <w:bookmarkEnd w:id="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 Troen, D.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Lehigh Hanson Materials, John Doe and Insurance Corporation of British Columbia: C. Morcom, D. Machat.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City of Vancouver: No appearance.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2" w:name="Judgment_9"/>
      <w:bookmarkEnd w:id="52"/>
      <w:r>
        <w:pict>
          <v:line id="_x0000_s1068" style="position:absolute;z-index:251719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3" w:name="C.E. HINKSON C.J.S.C."/>
            <w:bookmarkEnd w:id="53"/>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31, 2011, the plaintiff was in a single vehicle accident in the 1400 block of West 4th Avenue in Vancouver, when he lost control of the scooter that he was riding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alleges that the cause of his accident was his scooter skidding on an accumulation of wet cement and aggregate on the roadway (the "spill"). He contends that the spill was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Christopher Kolarcik, a driver/employee of the defendant Lehigh Hanson Materials Limited doing business as Ocean Concrete ("Lehigh"). In these reasons, I refer to Lehigh and Ocean Concrete interchangeably.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his amended notice of civil claim, the plaintiff removed allegations in his original notice of civil claim that the City of Vancouver ("City"), or its employees, servants or agents,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failed to set up or enforce an effective inspection or maintenance system, failed to ensure its roads would be safe for use by the public, and failed to warn members of the public of an unsafe road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the amended notice of civil claim, the plaintiff pleaded that he had reached a settlement with the City, and waived any right to recover against the City or the remaining defendants for loss attributable to fault, tort,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any equitable, common law or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third-party proceedings that Lehigh initiated against the City remain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sole issue in the hearing before me was the liability for the plaintiff's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City did not appear by counsel before me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1400 block of West 4th Avenue has three eastbound lanes. One of these lanes splits off to connect to Hemlock Street going south. The other two eastbound lanes are through lanes that intersect with Hemlock Street close to the northbound overpass that leads up to the Granville Street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August 31, 2011, the plaintiff was the licensed operator of a 2009 Honda Ruckus scooter. He had owned his scooter for approximately three years but had never held a motorcycle licence nor taken any courses regarding the operation of a motorcycle prior to August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time of the accident, the plaintiff was travelling eastbound on the 1400 block of West 4th Avenue, near the intersection with Hemlock Street, in Vancouver.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Kolarcik is a ready-mix driver. It is alleged that it was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the spill. He has been driving ready-mix trucks for Ocean Concrete since April 2004. On the day of the accident, in his capacity as an employee of Lehigh, Mr. Kolarcik was driving his regular truck #133. Lehigh agreed it owned truck #133 and that the spill came from that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Kolarcik testified that concrete spills in front of the Carter Honda dealership at 1502 West 3rd Avenue, at the entrance to Granville Island, were frequent but admitted that they were usually smaller than the spill he caused on West 4th Avenue. He said spills in front of the Carter Honda dealership occur when a truck reaches a nearby incline in the roadway and a small amount of cement dribbles out the back of the drum.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Just before 3:40 pm on August 31, 2011, Mr. Kolarcik left the Ocean Concrete plant at Granville Island with a full load of cement. He left Granville Island and proceeded south on Anderson Avenue. At the fork in the road, he proceeded left onto West 4th Avenue. Next, he proceeded east along West 4th Avenue in the right-hand through lane for a short distance. He then became aware of vehicles honking their horns. He looked in his mirror and observed that the drum on his truck was rotating in a counter-clockwise direction, allowing wet cement to spill into the middle of his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exact time of the spill is in dispute, but I find that it occurred between 3:40 pm and 4:00 pm on August 31, 2011.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Events following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Kolarcik gave evidence that he stopped his truck and turned the switch on the drum to stop the cement from spilling out. He said he then called Michelle Mclvor, a dispatcher for Ocean Concrete, to report the spill. After speaking with Ms. Mclvor, Mr. Kolarcik said that he exited his truck to observe the spill. He gave evidence that he recalled seeing a Vancouver Police Department ("VPD") marked car parked at the opposite end of the spill, and a police officer was approaching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Kolarcik testified that before he left the scene of the spill, he and the VPD officer talked for 10 minutes, and that during their conversation, the officer took his licence and registration. He testified that when he left the scene of the spill, the officer's vehicle was parked at the start of the spill, with its flashing lights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Ocean Concrete's Policy for Spills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Kolarcik testified that Ocean Concrete's procedure for responding to cement spills is to report the spill to the Ocean Concrete dispatcher. In cross-examination, he said that Ocean Concrete's policy is "to do what I did". When asked about his decision not to take any steps in response to a large unattended spill, he testified that he was "not allowed to pull over and do stuff'.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agreed between the plaintiff and Lehigh that after the spill, Ms. Mclvor contacted City dispatch regarding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Mclvor testified that she regularly reported spills from Ocean Concrete ready-mix trucks to the City, and that the City always cleaned up the reported spills. She gave evidence that the City never advised her that Ocean Concrete needed to change the spill policy in order to stop relying on the City to clean the spills.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City's Policy with respect to Reported Spills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August 2011, Mr. George Ledo was the acting Maintenance Superintendent for the City. He gave evidence that in 2011 a person could call 311 to reach a dispatcher to report a spill on the streets up until 3:30 pm. After 3:30 pm, the calls to 311 went to a dispatcher at the City yard. The dispatcher then passed the report on to the City's cleanup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Ledo testified that in August of 2011, the City had only one truck and crew to respond to emergency calls to the dispatcher to deal with any debris or hazards on the streets of the City. At that time of day, anyone calling in to the City to report something on the streets would have been dealt with by the afternoon dispatcher. The dispatcher would then contact the street crew and advise them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Ledo testified that at approximately 3:45 pm on the day of the accident the emergency street crew was on the Cambie Street Bridge cleaning up debris from a motor vehicle accident that had been reported to the City by the VPD.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Ledo identified a document he called a "call log" which was made contemporaneously with the calls that came in to the dispatcher. The dispatcher is expected to record exactly what is said by the caller reporting a spill. The "call log" is a City Sanitation Operations call sheet, which recorded the calls received by City Engineering afternoon dispatch on August 31, 2011. The call that matched the spill that caused the accident was called in at 4:00 pm from a "Michelle" and written down as "IFO" (in front of) Carter Honda. Mr. Ledo said a call would have gone out to the City crew minutes after that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were no prescribed times for a City crew response. Mr. Ledo concluded from the call log that the City crew left the Cambie Street Bridge at 4:30 pm. Before attending the spill site, the crew had to return to the yard, at 701 National Avenue, to dump the debris collected from the Cambie Street Bridge. Mr. Ledo said that the call log indicated that the crew first responded by attending the site near Carter Honda and then attending to a second location on West 4th Avenue, the site of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Ledo testified that the City's clean-up truck arrived at 5:10 pm, which he said was not an unusual response time. He said that if the subject spill was seen to be an emergency, the response time would have been the same since the only crew available was dealing with the accident on the Cambie Street Bridge at the time the call came 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parties agree that, at approximately 4:40 pm, the plaintiff's scooter struck a patch of cement that had been spilled on the roadway of the 1400 block of West 4th Avenue, which caused him to lose control of the scooter and hit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Jaromir Kynl witnessed the accident. At the time of the accident, Mr. Kynl was driving approximately 120 feet directly behind the plaintiff in a commercial trailer truck, pulling a trailer transporting beer from the Molson Brewery. He was sitting in an elevated cab positioned about 10 or 11 feet above the ground with a clear view of the street in front of him. Mr. Kynl estimated that he was driving 30 kilometres per hour as he had just left an intersection and was getting back up to speed. He estimated that the plaintiff was going approximately the same speed as his truck immediately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Kynl said he had worked in the construction industry and on the basis of that experience was able to identify wet cement. As he proceeded eastbound on West 4th Avenue, Mr. Kynl saw something on the road that he initially thought was gravel. As he got closer to the spill, Mr. Kynl realized that it was wet 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Kynl gave evidence that the plaintiff was driving in the right hand through lane of West 4th Avenue proceeding eastbound on the right side of the lane at the time of the accident. He observed that after riding beside the spill for an unknown distance, the plaintiff turned his scooter to the left in what Mr. Kynl believed to be an attempt to drive over the strip of wet cement in order to change lanes. He estimated the strip of wet cement was approximately 30 metres long, half a metre wide and at least 3-4 cm thick. He said the spill had wet cement in the centre and sand and gravel bordering it. He could not recall whether he recognized it was wet cement before or after he got out of the truck and approached the scene of the accident. Mr. Kynl testified that he remained on the scene until the arrival of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cross-examination, Mr. Kynl agreed that the large size of the spill made it clearly there to be seen. He also expressed the view that the plaintiff could have continued in his position safely; but instead, attempted to maneuver his scooter to the left, turning into the wet cement, losing control, fishtailing and falling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Detective Baxter was the investigating officer of the accident. She responded to a 911 call that came into the VPD at 4:41 pm. Det. Baxter testified that the VPD attended at the scene of the accident at 4:45 pm, at which time other emergency services, including an ambulance and members of the Vancouver Fire Department, were already in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Det. Baxter arrived on the scene of the accident at 5:01 pm to find a police unit already on scene and a police car parked to block access to the lane leading up to the spill. The plaintiff's scooter had already been moved and the plaintiff was no longer at the scene. She remained there for approximately 20 minutes and took a series of photographs that were introduced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Det. Baxter described the day of the accident as a sunny one; the roads were dry and the trees were casting shadows on the roadway causing it to "appear mottled." She said the shadows were cast throughout the spill and that is reflected in the photographs that she took shortly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Det. Baxter's general occurrence report relating to the plaintiff's accident states that the first police officers to arrive at the scene at 1645 hours were Constables Cooper, Belkin and Mazloum.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Det. Baxter reported a concrete spill of approximately 30 meters in length, half a meter in width. She confirmed that the spill was about 3 to 4 centimetres deep, located in the middle of the second or right-hand through lane. She said the edges of the spill had rocks or gravel "petering off" to both sides but there was room to operate a scooter on either side of the spill, while still remaining in the second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Mclvor believed, based on her records, that she received a call at approximately 5:00 pm from Shane, an Ocean Concrete employee driving truck #128. He advised her of the plaintiff's accident. Ms. Mclvor called the City a third time at 5:15 pm and was advised that the street crew was on scene and that a sweeper would be there in a 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Following this telephone conversation, Ms. Mclvor called Mr. Kolarcik to advise him of the accident. Ms. Mclvor could not recall details of the conversation with Mr. Kolarcik, including what, if anything, he told her about his interactions with a police officer or when he said those interactions occurred. She confirmed her evidence at her examination for discovery that a conversation between Mr. Kolarcik and the police officer took place after the accident and conceded that it was based entirely on her review of her notes in the daily journal, as opposed to any recollection of what Mr. Kolarcik told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McIvor's notes for August 31, 2011 record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1540 Chris Kolarcik 133 called, drum went wrong way, spilt about 1m called City right away about an hr after trucks were still calling me about spill so called back she said they have been dispatched out. At about 5pm 128 Shane called said accident with scooter going thru spill. Called City again 1715 said on scene but sweeper will be a bit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Chris stopped @ spill cops stopped asked what we do in this situation, he said dispatch calls City and they clean it up, cop said don't block traffic then just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Kolarcik testified that he drove past the scene of the spill on his way back from delivering his load of cement, about an hour and a half after leaving the scene of the spill. He testified that, at this time, he had already been notified by Ms. Mclvor that an accident had taken place at the scene of the spill. He testified that, at that time, he saw that the spill still had not been cleared and further testified that there was no clean-up truck or police in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Det. Baxter attended at the hospital and spoke briefly with the plaintiff. She said he indicated he was not aware he ran into 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claims the defendants were negligent and that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He claims Lehigh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Kolarcik.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deny liability but plead in the alternative that the plaintiff was contributorily negligent. They also make a third party claim against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address the legal principles relevant to each of these claims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 the Court held that a successful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the plaintiff to demonstrate:</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owed him a duty of care;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behaviour breached the standard of care;</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sustained damage;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was caused, in fact and in law, by the defendant's breach.</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Section 144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addresses careless driving and requires, among other things, reasonable consideration for other users of the road: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144(1) A person must not drive a motor vehicle on a highway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While statutory provisions provide guidelines for the assessment of fault in motor vehicle accident claims, they alone do not provide a complete legal framework: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As stated by Mr. Justice Groberman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It is generally accepted that each motorist on the highway owes a duty of care to every other motorist: see, e.g., </w:t>
      </w:r>
      <w:r>
        <w:rPr>
          <w:rFonts w:ascii="arial" w:eastAsia="arial" w:hAnsi="arial" w:cs="arial"/>
          <w:i/>
          <w:color w:val="000000"/>
          <w:sz w:val="20"/>
          <w:lang w:val="en-US" w:eastAsia="en-US" w:bidi="ar-SA"/>
        </w:rPr>
        <w:t>Simpson v. Baechler</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2009 BCCA 13</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Dendewicz v. British Columbia Telephone Company</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[1994] B.C.J. No. 221</w:t>
        </w:r>
      </w:hyperlink>
      <w:r>
        <w:rPr>
          <w:rFonts w:ascii="arial" w:eastAsia="arial" w:hAnsi="arial" w:cs="arial"/>
          <w:color w:val="000000"/>
          <w:sz w:val="20"/>
          <w:lang w:val="en-US" w:eastAsia="en-US" w:bidi="ar-SA"/>
        </w:rPr>
        <w:t xml:space="preserve">, Mr. Justice Oliver found at para. 9 that "Any person (and </w:t>
      </w:r>
      <w:r>
        <w:rPr>
          <w:rFonts w:ascii="arial" w:eastAsia="arial" w:hAnsi="arial" w:cs="arial"/>
          <w:i/>
          <w:color w:val="000000"/>
          <w:sz w:val="20"/>
          <w:lang w:val="en-US" w:eastAsia="en-US" w:bidi="ar-SA"/>
        </w:rPr>
        <w:t>a fortiori</w:t>
      </w:r>
      <w:r>
        <w:rPr>
          <w:rFonts w:ascii="arial" w:eastAsia="arial" w:hAnsi="arial" w:cs="arial"/>
          <w:color w:val="000000"/>
          <w:sz w:val="20"/>
          <w:lang w:val="en-US" w:eastAsia="en-US" w:bidi="ar-SA"/>
        </w:rPr>
        <w:t xml:space="preserve"> a public utility company) conducting potentially hazardous work in a public place owes a duty of care to members of the public to protect them from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 the Supreme Court of Canada explained standard of care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There is some basis in statute to conclude a motorist must exercise reasonable care so as to avoid leaving articles or debris on the highway. Subsection 204(1)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for instance,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must not throw, deposit, drop or leave on a highway a glass bottle, glass, nail, tack, wire, can or other thing or substance likely to injure a person, animal or vehicle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Fajardo v. Horianopoulos</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2006 BCSC 147</w:t>
        </w:r>
      </w:hyperlink>
      <w:r>
        <w:rPr>
          <w:rFonts w:ascii="arial" w:eastAsia="arial" w:hAnsi="arial" w:cs="arial"/>
          <w:color w:val="000000"/>
          <w:sz w:val="20"/>
          <w:lang w:val="en-US" w:eastAsia="en-US" w:bidi="ar-SA"/>
        </w:rPr>
        <w:t>, Madam Justice Ross discussed the duties of a driver who has exposed others to risk of harm. In that case, the defendant's vehicle struck and killed a moose on the roadway, throwing the moose carcass across both lanes of traffic. The defendant did not move his vehicle from the roadway. He attempted to turn on his hazard lights with no success, and he took no other steps to alert other motorists to the danger posed by the moose carcass. Ross J. held the "driver of a motor car on a highway is under a duty to conduct himself in a manner that does not, by his fault in the management of himself or his car, expose other users of the highway to unnecessary risk of harm" (at para. 37). She found the defendant had an objective "duty to take reasonable care to warn passing motorists" and failed to do so (at paras. 38-39).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Ziemer v. Wheeler</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2014 BCSC 2049</w:t>
        </w:r>
      </w:hyperlink>
      <w:r>
        <w:rPr>
          <w:rFonts w:ascii="arial" w:eastAsia="arial" w:hAnsi="arial" w:cs="arial"/>
          <w:color w:val="000000"/>
          <w:sz w:val="20"/>
          <w:lang w:val="en-US" w:eastAsia="en-US" w:bidi="ar-SA"/>
        </w:rPr>
        <w:t>, Madam Justice Watchuk described the applicable duty of care as follows at para. 119: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circumstances where a driver's management of his vehicle exposes other users of the highway to unnecessary risk of harm, that driver may be subject to a duty to warn other motorists of a potential hazard. To be effective, a warning must be near the danger it warns of and must perform the function of warning while the condition or danger exists (</w:t>
      </w:r>
      <w:r>
        <w:rPr>
          <w:rFonts w:ascii="arial" w:eastAsia="arial" w:hAnsi="arial" w:cs="arial"/>
          <w:i/>
          <w:color w:val="000000"/>
          <w:sz w:val="20"/>
          <w:lang w:val="en-US" w:eastAsia="en-US" w:bidi="ar-SA"/>
        </w:rPr>
        <w:t>Dagneault v. Hatton</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(1995), 59 B.C.A.C. 55</w:t>
        </w:r>
      </w:hyperlink>
      <w:r>
        <w:rPr>
          <w:rFonts w:ascii="arial" w:eastAsia="arial" w:hAnsi="arial" w:cs="arial"/>
          <w:color w:val="000000"/>
          <w:sz w:val="20"/>
          <w:lang w:val="en-US" w:eastAsia="en-US" w:bidi="ar-SA"/>
        </w:rPr>
        <w:t xml:space="preserve"> at paras. 42-51). The standard for assessing reasonableness when discharging this duty to warn is objective (</w:t>
      </w:r>
      <w:r>
        <w:rPr>
          <w:rFonts w:ascii="arial" w:eastAsia="arial" w:hAnsi="arial" w:cs="arial"/>
          <w:i/>
          <w:color w:val="000000"/>
          <w:sz w:val="20"/>
          <w:lang w:val="en-US" w:eastAsia="en-US" w:bidi="ar-SA"/>
        </w:rPr>
        <w:t>Fajardo</w:t>
      </w:r>
      <w:r>
        <w:rPr>
          <w:rFonts w:ascii="arial" w:eastAsia="arial" w:hAnsi="arial" w:cs="arial"/>
          <w:color w:val="000000"/>
          <w:sz w:val="20"/>
          <w:lang w:val="en-US" w:eastAsia="en-US" w:bidi="ar-SA"/>
        </w:rPr>
        <w:t xml:space="preserve"> at paras. 37-40).</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requirement that the plaintiff establish that he sustained damage is self-evident.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legal principles of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settled. A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"but for" cause of, or materially contributed to, an injury.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as long as a defendant is part of the cause of an injury, the defendant is liable, even though his or her act alone was not enough to create the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accept that all users of the road must exercise reasonable care for their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legal framework for determining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summarized by our Court of Appeal in </w:t>
      </w:r>
      <w:r>
        <w:rPr>
          <w:rFonts w:ascii="arial" w:eastAsia="arial" w:hAnsi="arial" w:cs="arial"/>
          <w:i/>
          <w:color w:val="000000"/>
          <w:sz w:val="20"/>
          <w:lang w:val="en-US" w:eastAsia="en-US" w:bidi="ar-SA"/>
        </w:rPr>
        <w:t>Wormald v. Chiarot</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2016 BCCA 415</w:t>
        </w:r>
      </w:hyperlink>
      <w:r>
        <w:rPr>
          <w:rFonts w:ascii="arial" w:eastAsia="arial" w:hAnsi="arial" w:cs="arial"/>
          <w:color w:val="000000"/>
          <w:sz w:val="20"/>
          <w:lang w:val="en-US" w:eastAsia="en-US" w:bidi="ar-SA"/>
        </w:rPr>
        <w:t xml:space="preserve">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analysis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involves two considerations: (1) whether the plaintiff failed to take reasonable care in her own interests; and (2) if so, whether that failure was causally connected to the loss she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Mr. Justice Johnston dealt with the issue of whether a road user could assume a road to be in a fit condition for use in </w:t>
      </w:r>
      <w:r>
        <w:rPr>
          <w:rFonts w:ascii="arial" w:eastAsia="arial" w:hAnsi="arial" w:cs="arial"/>
          <w:i/>
          <w:color w:val="000000"/>
          <w:sz w:val="20"/>
          <w:lang w:val="en-US" w:eastAsia="en-US" w:bidi="ar-SA"/>
        </w:rPr>
        <w:t>Plakholm v. Victoria (City)</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2009 BCSC 1039</w:t>
        </w:r>
      </w:hyperlink>
      <w:r>
        <w:rPr>
          <w:rFonts w:ascii="arial" w:eastAsia="arial" w:hAnsi="arial" w:cs="arial"/>
          <w:color w:val="000000"/>
          <w:sz w:val="20"/>
          <w:lang w:val="en-US" w:eastAsia="en-US" w:bidi="ar-SA"/>
        </w:rPr>
        <w:t>. The case involved a pothole that caused or contributed to a fall by the pedestrian plaintiff. At para. 10, Johnston J. found that, while everyone is obliged to take reasonable care for their own safety, in the absence of any reason to take "particular care", it is not a failure to take reasonable care if one does not look down as one 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Bye v. Newman</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2017 BCSC 1718</w:t>
        </w:r>
      </w:hyperlink>
      <w:r>
        <w:rPr>
          <w:rFonts w:ascii="arial" w:eastAsia="arial" w:hAnsi="arial" w:cs="arial"/>
          <w:color w:val="000000"/>
          <w:sz w:val="20"/>
          <w:lang w:val="en-US" w:eastAsia="en-US" w:bidi="ar-SA"/>
        </w:rPr>
        <w:t xml:space="preserve">, Madam Justice Choi dismissed an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dirt bike rider, who turned to avoid an impact with an ATV driven too quickly by the defendant, causing it to cross the centre line into the plaintiff's lane of travel. At paras. 85 - 86, Choi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The law does not expect perfection from a person put in danger by another's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a person must respond immediately to a dangerous situation, the court will not require them to take the safest possible course in order to avoid liability. Instead, as Freedman C.J.M. wrote in </w:t>
      </w:r>
      <w:r>
        <w:rPr>
          <w:rFonts w:ascii="arial" w:eastAsia="arial" w:hAnsi="arial" w:cs="arial"/>
          <w:i/>
          <w:color w:val="000000"/>
          <w:sz w:val="20"/>
          <w:lang w:val="en-US" w:eastAsia="en-US" w:bidi="ar-SA"/>
        </w:rPr>
        <w:t>Williamson Estate v. Landry</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[1974] M.J. No. 68</w:t>
        </w:r>
      </w:hyperlink>
      <w:r>
        <w:rPr>
          <w:rFonts w:ascii="arial" w:eastAsia="arial" w:hAnsi="arial" w:cs="arial"/>
          <w:color w:val="000000"/>
          <w:sz w:val="20"/>
          <w:lang w:val="en-US" w:eastAsia="en-US" w:bidi="ar-SA"/>
        </w:rPr>
        <w:t xml:space="preserve"> (C.A.) wrote at para.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 The conduct of the plaintiff driver must be assessed in the light of the crisis that was looming up before her. If in the "agony of the moment" the evasive action she took may not have been as good as some other course of action she might have taken - a doubtful matter at best - we would not characterize her conduct as amounting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was the defendant who created the emergency which led to the accident. It does not lie in his mouth to be minutely critical of the reactive conduct of the plaintiff whose safety he has imperilled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Savage J.A., writing for our Court of Appeal, noted in </w:t>
      </w:r>
      <w:r>
        <w:rPr>
          <w:rFonts w:ascii="arial" w:eastAsia="arial" w:hAnsi="arial" w:cs="arial"/>
          <w:i/>
          <w:color w:val="000000"/>
          <w:sz w:val="20"/>
          <w:lang w:val="en-US" w:eastAsia="en-US" w:bidi="ar-SA"/>
        </w:rPr>
        <w:t>Graham v. Carson</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2015 BCCA 310</w:t>
        </w:r>
      </w:hyperlink>
      <w:r>
        <w:rPr>
          <w:rFonts w:ascii="arial" w:eastAsia="arial" w:hAnsi="arial" w:cs="arial"/>
          <w:color w:val="000000"/>
          <w:sz w:val="20"/>
          <w:lang w:val="en-US" w:eastAsia="en-US" w:bidi="ar-SA"/>
        </w:rPr>
        <w:t xml:space="preserve"> at para. 15, this principle is not restricted to vehicles travelling at highway speeds, but can apply when, on the facts, a person had to respond to another's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without the time to properly consider their reaction.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I find that, to the extent that Mr. Bye's decision to turn contributed to his injuries, he acted in the "agony of the moment"; Mr. Bye had little time to address the risk Mr. Newman's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created, and it is not reasonable to use the considered perfection of hindsight as a measure of his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Thus, while a road user must exercise reasonable care for his own safety, he is not expected to act perfectly in light of a danger created by another person's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addressing the third party claim, I am mindful of the following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First, a determination of proportionate fault against a settling defendant does not require the settling defendant to remain a party either as a defendant or a third party: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2016 BCSC 1038</w:t>
        </w:r>
      </w:hyperlink>
      <w:r>
        <w:rPr>
          <w:rFonts w:ascii="arial" w:eastAsia="arial" w:hAnsi="arial" w:cs="arial"/>
          <w:color w:val="000000"/>
          <w:sz w:val="20"/>
          <w:lang w:val="en-US" w:eastAsia="en-US" w:bidi="ar-SA"/>
        </w:rPr>
        <w:t xml:space="preserve"> at para. 313.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Second, a municipality is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employees and/or contractors engaged to keep the roadways properly maintained and repaired: </w:t>
      </w:r>
      <w:r>
        <w:rPr>
          <w:rFonts w:ascii="arial" w:eastAsia="arial" w:hAnsi="arial" w:cs="arial"/>
          <w:i/>
          <w:color w:val="000000"/>
          <w:sz w:val="20"/>
          <w:lang w:val="en-US" w:eastAsia="en-US" w:bidi="ar-SA"/>
        </w:rPr>
        <w:t>Lewis (Guardian ad litem of) v. British Columbia</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[1997] 3 S.C.R. 1145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Third, a municipality owes a duty of reasonable care to the users of its roads and sidewalks. This duty of care ordinarily extends to reasonable maintenance and includes the duty to take reasonable steps to prevent injury to users of the road by reason of hazardous conditions: </w:t>
      </w:r>
      <w:r>
        <w:rPr>
          <w:rFonts w:ascii="arial" w:eastAsia="arial" w:hAnsi="arial" w:cs="arial"/>
          <w:i/>
          <w:color w:val="000000"/>
          <w:sz w:val="20"/>
          <w:lang w:val="en-US" w:eastAsia="en-US" w:bidi="ar-SA"/>
        </w:rPr>
        <w:t>Rimmer v. Township of Langley</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2006 BCSC 703</w:t>
        </w:r>
      </w:hyperlink>
      <w:r>
        <w:rPr>
          <w:rFonts w:ascii="arial" w:eastAsia="arial" w:hAnsi="arial" w:cs="arial"/>
          <w:color w:val="000000"/>
          <w:sz w:val="20"/>
          <w:lang w:val="en-US" w:eastAsia="en-US" w:bidi="ar-SA"/>
        </w:rPr>
        <w:t xml:space="preserve"> at para. 192, aff'd </w:t>
      </w:r>
      <w:hyperlink r:id="rId190" w:history="1">
        <w:r>
          <w:rPr>
            <w:rFonts w:ascii="arial" w:eastAsia="arial" w:hAnsi="arial" w:cs="arial"/>
            <w:i/>
            <w:color w:val="0077CC"/>
            <w:sz w:val="20"/>
            <w:u w:val="single"/>
            <w:shd w:val="clear" w:color="auto" w:fill="FFFFFF"/>
            <w:lang w:val="en-US" w:eastAsia="en-US" w:bidi="ar-SA"/>
          </w:rPr>
          <w:t>2007 BCCA 350</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However, a municipal corporation is not an insurer of travellers using its streets. The duty of a municipality is "to use reasonable care to keep its streets in a reasonably safe condition for ordinary travel by persons exercising ordinary care for their own safety": </w:t>
      </w:r>
      <w:r>
        <w:rPr>
          <w:rFonts w:ascii="arial" w:eastAsia="arial" w:hAnsi="arial" w:cs="arial"/>
          <w:i/>
          <w:color w:val="000000"/>
          <w:sz w:val="20"/>
          <w:lang w:val="en-US" w:eastAsia="en-US" w:bidi="ar-SA"/>
        </w:rPr>
        <w:t>Fafard v. City of Quebec</w:t>
      </w:r>
      <w:r>
        <w:rPr>
          <w:rFonts w:ascii="arial" w:eastAsia="arial" w:hAnsi="arial" w:cs="arial"/>
          <w:color w:val="000000"/>
          <w:sz w:val="20"/>
          <w:lang w:val="en-US" w:eastAsia="en-US" w:bidi="ar-SA"/>
        </w:rPr>
        <w:t xml:space="preserve"> (1917), 39 D.L.R. 717 (S.C.C.) at 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assessing whether a municipality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determination must be made whether the decision at issue was a policy decision or an operational decision. Policy decisions are usually, but not always, made by people of high authority. They involve social or political factors, and deal with the allocation of resources and budgetary considerations. Generally speaking, policy decisions are immune from tort liability: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at pp. 1240, 1242. Operational decisions are usually the product of administrative direction, expert or professional opinion, technical standards or general standards of reasonableness. These decisions can be reviewed by the court to determine whether the municipality had been negligent or failed to satisfy the appropriate standard of care: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at p. 1246.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Fourth, liability can be imposed on a party who has voluntarily undertaken to do something they were not otherwise obliged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Goodwin v. Mainroad North Island Contracting Ltd.</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2007 BCCA 81</w:t>
        </w:r>
      </w:hyperlink>
      <w:r>
        <w:rPr>
          <w:rFonts w:ascii="arial" w:eastAsia="arial" w:hAnsi="arial" w:cs="arial"/>
          <w:color w:val="000000"/>
          <w:sz w:val="20"/>
          <w:lang w:val="en-US" w:eastAsia="en-US" w:bidi="ar-SA"/>
        </w:rPr>
        <w:t>, the defendant highway maintenance contractor was under contract to provide maintenance for certain highways in the Campbell River area. The RCMP alerted the defendant that there was black ice reported on a road; the defendant dispatcher told the RCMP he would alert a crew. The dispatcher never did dispatch the crew nor alert the District of Campbell River. The plaintiff suffered injuries after her vehicle skidded on black ice and got into an accident. The trial judge dismissed the action on the basis that there was no duty of care owed by the defendant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Court of Appeal found the trial judge erred in finding no duty of care. The Court held that the defendant assumed a positive duty to act outside of its jurisdiction in the circumstances. The defendant had not simply become aware of the danger to the public; instead, it had offered to abate the danger, the foreseeable result of which was that the RCMP would make no further efforts to obtain assistance. The Court held that when the defendant volunteered to attend to the ice on the road, it assumed a duty to take reasonable steps to ameliorate the danger created by the presence of black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para. 26, Madam Justice Newbury reviewed the concept of liability for the voluntary undertaking to do something that one is not otherwise obliged to do: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Setting aside for the moment the question of direct / indirect reliance, there is a long and respectable line of authorities which have imposed liability where an actor, particularly one with public duties, has voluntarily undertaken to provide some kind of assistance to another, but does so negligently and causes foreseeable harm to that other person. The authorities go back as far as </w:t>
      </w:r>
      <w:r>
        <w:rPr>
          <w:rFonts w:ascii="arial" w:eastAsia="arial" w:hAnsi="arial" w:cs="arial"/>
          <w:i/>
          <w:color w:val="000000"/>
          <w:sz w:val="20"/>
          <w:lang w:val="en-US" w:eastAsia="en-US" w:bidi="ar-SA"/>
        </w:rPr>
        <w:t>Coggs v. Bernard</w:t>
      </w:r>
      <w:r>
        <w:rPr>
          <w:rFonts w:ascii="arial" w:eastAsia="arial" w:hAnsi="arial" w:cs="arial"/>
          <w:color w:val="000000"/>
          <w:sz w:val="20"/>
          <w:lang w:val="en-US" w:eastAsia="en-US" w:bidi="ar-SA"/>
        </w:rPr>
        <w:t xml:space="preserve"> (1703) 2 Ld. Raym. 909, 92 E.R. 107 (K.B.), where Gould J.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a man may warrant a thing without any consideration. And therefore when I have reposed a trust in you, upon your undertaking, if I suffer, when I have so relied upon you, I shall have my action. [At 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However, the imposition of a duty will depend on the circumstances. In </w:t>
      </w:r>
      <w:r>
        <w:rPr>
          <w:rFonts w:ascii="arial" w:eastAsia="arial" w:hAnsi="arial" w:cs="arial"/>
          <w:i/>
          <w:color w:val="000000"/>
          <w:sz w:val="20"/>
          <w:lang w:val="en-US" w:eastAsia="en-US" w:bidi="ar-SA"/>
        </w:rPr>
        <w:t>Foster v. Perry and VSA Highway Maintenance Ltd.</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2005 BCSC 1214</w:t>
        </w:r>
      </w:hyperlink>
      <w:r>
        <w:rPr>
          <w:rFonts w:ascii="arial" w:eastAsia="arial" w:hAnsi="arial" w:cs="arial"/>
          <w:color w:val="000000"/>
          <w:sz w:val="20"/>
          <w:lang w:val="en-US" w:eastAsia="en-US" w:bidi="ar-SA"/>
        </w:rPr>
        <w:t>, the plaintiff sought to impose a positive duty to warn road-users of slippery conditions on an employee of the road maintenance corporation, which had been named as a third party. Mr. Justice Pitfield examined whether the surrounding circumstances were such that the employee should have apprehended the need to warn other road-users. At para. 36, Pitfield J.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Simpson, alone in his vehicle, was not in a position to warn drivers both at the top of the hill and at the bottom. It was not his opinion, or that of any other witness, that the conditions at Roseberry Bluffs on the day and at the time in question were anything other than normal winter conditions that required ordinary winter maintenance. Neither Simpson nor any other witness was of the view that the conditions were extraordinary or extreme so that a road closure was justified or required. While there is evidence that vehicles attempting to stop upon approaching the accident scene encountered slippery conditions as did individuals who walked on the highway when approaching the scene, the evidence of other witnesses was that they had driven the Roseberry Bluffs without incident very shortly before the time of the accident. No one using the highway had reported conditions that required immediate attention. Ms. Perry was the only driver to encounter control problems and that for the reasons I have stated.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Municipal Liability for the Actions or Inaction of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Subsection 20(1)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provides that the City is vicariously liable for the torts committed by the VPD:</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an agreement under section 18 (1) or 23</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p>
    <w:p>
      <w:pPr>
        <w:numPr>
          <w:numId w:val="1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is jointly and severally liable for a tort that is committed by any of its municipal constables, special municipal constables, designated constables, enforcement officers, bylaw enforcement officers or employees of its municipal police board, if any, if the tort is committed in the performance of that person's duties, and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regional district, government corporation or other prescribed entity is jointly and severally liable for a tort that is committed by any of its designated constables or enforcement officers, if the tort is committed in the performance of that person's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his amended notice of civil claim, the plaintiff alleges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Kolarcik consisted of the following particulars:</w:t>
      </w:r>
      <w:r>
        <w:rPr>
          <w:rFonts w:ascii="arial" w:eastAsia="arial" w:hAnsi="arial" w:cs="arial"/>
          <w:sz w:val="20"/>
          <w:lang w:val="en-US" w:eastAsia="en-US" w:bidi="ar-SA"/>
        </w:rPr>
        <w:cr/>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Driving the Cement Truck without due care and attention, or without reasonable consideration for other persons using the highway, contrary to Section 144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and any amendments;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Depositing, dropping or leaving on a highway a substance likely to injure a person, animal or vehicle on the highway, contrary to Section 204(1)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and amendments thereto;</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Cement Truck was mechanically sound;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Operating the Cement Truck while knowing or having the means of knowing that it was not mechanically sound;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Causing and/or allowing the Cement Truck to spill the Slippery Substance on the Roadway;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Transporting the Slippery Substance in a manner that he knew or ought to have known was unsafe;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remove the Slippery Substance from the Roadway;</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notify the City of Vancouver and/or the defendant Ocean Concrete and/or the Unknown Owner of the Slippery Substance on the Roadway in a timely manner or at all;</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stop, notify, or take any or any adequate steps to protect other motorists using the Roadway, after he knew or ought to have known that the Slippery Substance had been spilled on the Roadway;</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further and other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statutory duty as counsel may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As no other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on the part of Lehigh were adduced, I need not address sub-para. 72(j).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Lehigh admits that the plaintiff suffered some injury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 alleges that Lehigh is vicariously liable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Kolarcik and is also liable for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which consisted of the following particulars:</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Cement Truck was mechanically sound;</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Consenting to the use of the Cement Truck by the defendant Doe or the Unknown Driver while knowing or having the means of knowing that the Cement Truck was mechanically defective;</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or having the means of knowing of the mechanical defects in the Cement Truck and failing to have same repaired or properly repaired;</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instruct the defendant Doe or the Unknown Driver in the proper and safe operation of the Cement Truck;</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Consenting to the use of the Cement Truck by the defendant Doe or the Unknown Driver while knowing or having the means of knowing that the defendant Doe or the Unknown Driver did not have the ability and/or skills to operate the Cement Truck in a proper and safe manner;</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remove the Slippery Substance from the Roadway;</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notify the City of Vancouver of the Slippery Substance on the Roadway in a timely manner or at all;</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further and other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counsel may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As no other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on the part of Lehigh were adduced, I need not address sub-para. 75(h).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contends that Lehigh had a duty to set policy and provide guidance for its employees to avoid foreseeable accidents. As I explain below, I find Lehigh did have such a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Rob Slarks is a customer service manager for Lehigh. At the time of the accident, he was employed as a logistics manager for Ocean Concrete. Mr. Slarks gave evidence as to the standard procedure to be followed by Ocean Concrete ready-mix truck drivers when they become aware of a spill. The driver reports the spill to Lehigh's dispatcher who in turn reports the spill to the City dispatcher.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satisfied by the evidence of Mr. Slarks that Lehigh had a policy to guide its ready-mix drivers on how to avoid foreseeable accidents and what to do if such accidents occurred. I will discuss the reasonableness of that policy below. I find that in light of Mr. Slarks' evidence, the allegations in sub-paras. 75 (d) and (e)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Slarks testified that he would have been surprised if anyone had told Mr. Kolarcik that he was not allowed to put out markers on the roadway, and further testified that he is not aware of any prohibitions on what the driver could do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Kolarcik gave evidence that the spill of cement from his truck was caused by some type of short circuit in the truck which led the drum to turn in the wrong direction. He explained how it would not have been possible for him to accidentally press the switch, which would change the direction of the drum, as it required him to press the switch for approximately five seconds. Mr. Kolarcik further said the truck was repaired to replace a "switch" after the spill, before it was returned to the road. This finding is inconsistent with Mr. Slarks' evidence that the lack of a repair record indicates the truck was not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Kolarcik denied that it was possible the turning drum on his truck could be caused by driver error or inadvertence. This was again contrary to what Mr. Slarks said. Mr. Slarks confirmed he had some experience driving trucks of this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reject the evidence of Mr. Kolarcik with respect to the mechanical condition of his truck and in particular the switch that controlled the drum on that truck. Mr. Slarks confirmed that there were no records relating to the repair of the truck involved in the spill. He took that to mean the truck was not repaired after the spill. He further confirmed that the drum of the ready-mix trucks could be caused to turn in reverse by "driver error", where a driver inadvertently pushes the button that causes this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result, I dismiss the allegations set out above at sub-paras. 72 (c), (d), and (f) and sub-paras. 75 (b) and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Kolarcik testified that spills in front of the Carter Honda dealership were frequent. He testified that they are usually small, and that they occur when a small amount of concrete drops out of the back of the drum when the truck reaches a nearby incline in the roadway and cement dribbles out. Given the frequency of spills in front of Carter Honda and the relatively short distance between that location and the actual location of the spill, it is more likely than not that Mr. Kolarcik, Ms. Mclvor, or both of them, misreported the location of the spill. This is consistent with Mr. Kolarcik's testimony at his examination for discovery that his drum started turning backwards after he had passed the Carter Honda dealership.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McIvor testified that Lehigh's spill procedure was to call the City and give them the truck number and the location of the spill. She does not recall her conversation with the City regarding the spill on West 4th Avenue. Specifically, she does not recall whether or not she told the City that the spill was located in front of Carter Honda, but I find that she indeed told this to the City dispatcher. She could not say whether the City dispatcher asked her any questions about the nature of the spill when she called it in to him 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result, I find that the allegations of inadequate reporting to the City set out in part in sub-paras. 72 (h) and 75 (g) have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portions of the transcript read in at trial from her examination for discovery, and confirmed by her at trial, Ms. Mclvor testified that she had "no idea" how long it would take the City to respond to a spill. She further testified that she had no understanding of where the City's "street sweeper" would be coming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Lehigh contends that the plaintiff has not satisfied the burden of proof that the actions of its employees led to the accident. Lehigh submits it relied on its relationship with the City to clean up the spill once reported, as was the standard procedure at the time, and the directions of a VPD officer, who advised Mr. Kolarcik that he could leave the scene of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Lehigh argues that the City never advised Ms. Mclvor that a Lehigh driver should put up any types of markers delineating a spill or should block a lane which contained a spill, nor advised her that Lehigh should attempt to clean a spill themselves or should hire a private company to clean any spills.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that the City did not usually respond to such calls immediately. In the result, I find that Lehigh should have expected to have to deal with the consequences of a spill of the magnitude of this spill until a City crew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Kolarcik took no steps beyond reporting the spill to Ms. Mclvor, who took no steps beyond reporting it to the City and such report appears to have contained incorrect information and no information that would alert the City that anything out of the ordinary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Thus, the circumstances in this case are comparable to those in </w:t>
      </w:r>
      <w:r>
        <w:rPr>
          <w:rFonts w:ascii="arial" w:eastAsia="arial" w:hAnsi="arial" w:cs="arial"/>
          <w:i/>
          <w:color w:val="000000"/>
          <w:sz w:val="20"/>
          <w:lang w:val="en-US" w:eastAsia="en-US" w:bidi="ar-SA"/>
        </w:rPr>
        <w:t>Foster</w:t>
      </w:r>
      <w:r>
        <w:rPr>
          <w:rFonts w:ascii="arial" w:eastAsia="arial" w:hAnsi="arial" w:cs="arial"/>
          <w:color w:val="000000"/>
          <w:sz w:val="20"/>
          <w:lang w:val="en-US" w:eastAsia="en-US" w:bidi="ar-SA"/>
        </w:rPr>
        <w:t>. Here, the City's employees had no notice that the spill was extraordinary or so extreme that a partial road closure was justified or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contends that if Mr. Kolarcik interacted with a VPD officer at the scene of the spill, as he stated in his evidence, he breached his duty of care when he subsequently passed the scene of the spill, found it unattended and took no steps to clean it up or warn other motorists of the hazard it 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find that by the time that Mr. Kolarcik returned to the scene, the accident had already occurred, and the plaintiff's scooter had been removed from the scene of the accident. I reject his evidence on this issue. But, as the accident had already occurred before Mr. Kolarcik returned to the scene, there is no causal link between the accident and his alleged failure to clean up the scene or warn other motorists after he returned to the scene of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summary, I am satisfied that the following matters have been proven on a balance of probabilities:</w:t>
      </w:r>
      <w:r>
        <w:rPr>
          <w:rFonts w:ascii="arial" w:eastAsia="arial" w:hAnsi="arial" w:cs="arial"/>
          <w:sz w:val="20"/>
          <w:lang w:val="en-US" w:eastAsia="en-US" w:bidi="ar-SA"/>
        </w:rPr>
        <w:cr/>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Kolarcik owed a duty of care to the plaintiff;</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Kolarcik breached this duty of care in the circumstances by allowing cement and aggregate to spill from his ready-mix truck onto a City street and failing to take reasonable steps to clean up the spill and warn other road users of the hazard that he created;</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spill caused the plaintiff's accident and injuries;</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Lehigh is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employee, Mr. Kolarcik. There were no allegations directed toward Ms. McIvor, but I am satisfied that both her failure and that of Mr. Kolarcik to adequately report the spill to the City have been proven and find Lehigh vicariously liable for those failures.</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however, unable to find that Lehigh was directly liable for the spill or the inadequate report to the City.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Lehigh's Claim of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Lehigh's response to civil claim alleges the plaintiff was contributorily negligent, which included the following particulars:</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keep any or, in the alternative, a proper look out;</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his motorcycle without any or, in the alternative, with defective brakes or, in the further alternative, in failing to apply the brakes of his motorcycle in a timely and appropriate manner so as to avoid the accident;</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keep his motorcycle under proper or, in the alternative, any control;</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reasonable or proper or any precautions to avoid the accident;</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turn out reasonably or in time to avoid the accident or failing to direct the course of his motorcycle so as to prevent the accident;</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sufficient and/or evasive action to avoid the accident when he knew or ought to have known that an accident was imminent or likely to occur;</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operating his motorcycle without due care and attention or without reasonable consideration for other persons using the highway contrary to Section 183(14)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operate his motorcycle in a careful and prudent manner, having regard to all the circumstances;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operating his motorcycle on a highway when it was not equipped in compliance with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the precaution of wearing an adequate safety helmet that could protect his head from injury in the event of an accident; and</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wear protective or proper protective clothing to protect himself from injury should an accident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sustained a brain injury in a motor vehicle accident in September 1995. Following that accident, and despite his injuries, he was able to live with his wife and children and engage in a business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parties agree that since the accident in issue before me, the plaintiff has been incapable of providing reliable, if any, evidence with respect to the liability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the evidence before me, the licensing requirements for scooters differ from those for motorcycles and the plaintiff was properly licensed to operate the scooter he was riding when injured in the accident. Accepting that the references in Lehigh's response to the civil claim were intended to refer to a "motor scooter" rather than a "motorcycle", they are unsupported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 I have mentioned above, Lehigh admits that the plaintiff suffered some injury from the accident and I find that it was foreseeable that injury could occur from a scooter rider encountering a spill of the type and magnitude that the plaintiff encountered, but I also find that a spill of the magnitude of the spill that caused the plaintiff's accident was not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There was no evidence to support the allegations in sub-paras. 97 (b) and (i) above and they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Lehigh also contends that I should consider that the plaintiff was wearing a beanie style helmet at the time of the accident. There is no evidence before me that the plaintiff's helmet played any role in causing his injuries or that any other helmet would have avoided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Given Lehigh's admission that the plaintiff was injured in the accident, it is unnecessary for me to deal with the allegation in sub-paras. 97 (j) and (k) as they should more properly be addressed when the matter of quantum is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Lehigh contends that as the plaintiff was traveling in the right-side portion of the second lane as he approached the spill, he could have travelled to the right of the spill without any incident. It contends that the plaintiff made the decision to steer his scooter to the left, directly into the spill and was thus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Lehigh contends, and I accept that the plaintiff had a duty to operate his scooter in a reasonable manner and to be aware of his surroundings.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Lehigh argues that the plaintiff merely had to continue to ride his scooter to the right of the spill and says that there is no reasonable explanation as to why he could not observe the spill, either as he was approaching the spill or as he was riding along beside it, other than a failure to take reasonable care and be aware of his surroundings.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only evidence of the plaintiff's speed was provided by Mr. Kynl, who estimated that both he and the plaintiff were traveling at approximately 30 km/hr. This speed is not of itself excessive and is below the speed limit of 50 km/hr in the area. The fact the plaintiff does not appear to have observed the spill prior to turning into it, does not suggest that it was a speed excessive relative to the conditions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Lehigh says that I should consider its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context of the plaintiff not having a motorcycle licence and not having undergone any training for the operation of a motorcycle. Lehigh contends that the plaintiff's lack of motorcycle training should have made him more vigilant of his surroundings.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 do not accept that the plaintiff's failure to undertake motorcycle training can be seen 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nor required him to be more vigilant than other users of the road. No evidence was led to show what benefit the plaintiff might have derived from such training, and in any case, he was not riding a motorcycle and was licensed to operate the scooter that he was riding.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While Mr. Kynl gave evidence that a scooter is less easy to stabilize than a motorcycle, as there is nothing for the rider to grip with his thighs, the plaintiff was a legitimate user of West 4th Avenue at the time of his accident, and entitled to ride a scooter on that road, despite the absence of something between his thighs that would have been present on a motorcycle. I therefore dismiss as unproven the allegation set out in sub-para. 97 (i)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Lehigh contends that if the plaintiff had kept an adequate lookout and observed the spill prior to turning directly into it, he would have been able to continue to ride his scooter beside the spill and would not have fallen. Lehigh contends that it is readily apparent the plaintiff failed to take reasonable action after the spill, and in fact, took action that directly led to the accident. Lehigh points out that the evidence of Mr. Kynl makes it clear that the plaintiff did not observe the danger of the wet cement spill, despite it being highly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am not persuaded that the spill was as readily apparent as Lehigh contends. Even Mr. Kynl, at an elevated cab positioned about 10 or 11 feet above the ground with a clear view of the street in front of him, initially thought that there was only gravel on the road. It was not until he got closer to the spill, and perhaps not until he exited his truck, that Mr. Kynl realized that it was wet 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Lehigh contends that there is no evidence to suggest the plaintiff's decision to turn left into the spill was a decision made in the "agony of the moment" and argues that if the plaintiff had maintained an adequate lookout of his surroundings, he would have observed the spill and not turned his scooter into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 adopt the reasoning of Madam Justice Choi in </w:t>
      </w:r>
      <w:r>
        <w:rPr>
          <w:rFonts w:ascii="arial" w:eastAsia="arial" w:hAnsi="arial" w:cs="arial"/>
          <w:i/>
          <w:color w:val="000000"/>
          <w:sz w:val="20"/>
          <w:lang w:val="en-US" w:eastAsia="en-US" w:bidi="ar-SA"/>
        </w:rPr>
        <w:t>Bye</w:t>
      </w:r>
      <w:r>
        <w:rPr>
          <w:rFonts w:ascii="arial" w:eastAsia="arial" w:hAnsi="arial" w:cs="arial"/>
          <w:color w:val="000000"/>
          <w:sz w:val="20"/>
          <w:lang w:val="en-US" w:eastAsia="en-US" w:bidi="ar-SA"/>
        </w:rPr>
        <w:t>, and find that the plaintiff should not have been expected to exercise perfect judgment when suddenly confronted with the unexpected spill in his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find that it was reasonable for the plaintiff to expect the roadways to be suitable to drive on. There is no evidence the plaintiff was travelling at an unsafe speed. It appears from the photographs in evidence that the start of the spill was masked by shadows. Det. Baxter confirmed the spill and area was "mottled" with shadows. Both Det. Baxter and Mr. Kynl confirmed the spill extended out as gravel and was not contained to the very centre of the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summary, I find the plaintiff was not contributorily negligent for the accident that caused his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defendants' third-party pleadings against the City allege that the City is liable for the accident, based on the following particulars:</w:t>
      </w:r>
      <w:r>
        <w:rPr>
          <w:rFonts w:ascii="arial" w:eastAsia="arial" w:hAnsi="arial" w:cs="arial"/>
          <w:sz w:val="20"/>
          <w:lang w:val="en-US" w:eastAsia="en-US" w:bidi="ar-SA"/>
        </w:rPr>
        <w:cr/>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dispatch a maintenance crew/police to the substance spill in a reasonable time;</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attend the scene of the substance spill in a reasonable time;</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erect adequate warning signs at and near the location of the substance spill;</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the road surface at and near the accident site was properly cleaned;</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inspect the roadway so as to detect the presence of the substance spill or other hazards which could be a potential to users of the roadway;</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sufficient or proper, or any safeguards for users of the said roadway against the dangers, inherent or otherwise, presented by the roadway;</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or alert the users of the roadway with sufficient, or any, warning of the condition to expect the roadway when there was a substance spill on the road surface;</w:t>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close the roadway to users when its employees/agents knew or ought to have known that the roadway's condition was extremely dangerous; and</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or reasonably supervise the work in maintaining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Pursuant to </w:t>
      </w:r>
      <w:r>
        <w:rPr>
          <w:rFonts w:ascii="arial" w:eastAsia="arial" w:hAnsi="arial" w:cs="arial"/>
          <w:i/>
          <w:color w:val="000000"/>
          <w:sz w:val="20"/>
          <w:lang w:val="en-US" w:eastAsia="en-US" w:bidi="ar-SA"/>
        </w:rPr>
        <w:t>Leischner v. West Kootenay Power &amp; Light Co</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(1986), 70 B.C.L.R. 145</w:t>
        </w:r>
      </w:hyperlink>
      <w:r>
        <w:rPr>
          <w:rFonts w:ascii="arial" w:eastAsia="arial" w:hAnsi="arial" w:cs="arial"/>
          <w:color w:val="000000"/>
          <w:sz w:val="20"/>
          <w:lang w:val="en-US" w:eastAsia="en-US" w:bidi="ar-SA"/>
        </w:rPr>
        <w:t xml:space="preserve"> (C.A.), the allegations of liability against the City, if proven, affect the attribution of liability if the plaintiff too is found to have been contributorily negligent. As noted by the court, "where the fault of the plaintiff and of two or more tortfeasors contributed to the plaintiff's loss, the tortfeasors are liable only severally, not jointly. This is so whether all tortfeasors are sued as defendants or not": </w:t>
      </w:r>
      <w:r>
        <w:rPr>
          <w:rFonts w:ascii="arial" w:eastAsia="arial" w:hAnsi="arial" w:cs="arial"/>
          <w:i/>
          <w:color w:val="000000"/>
          <w:sz w:val="20"/>
          <w:lang w:val="en-US" w:eastAsia="en-US" w:bidi="ar-SA"/>
        </w:rPr>
        <w:t>Leischner</w:t>
      </w:r>
      <w:r>
        <w:rPr>
          <w:rFonts w:ascii="arial" w:eastAsia="arial" w:hAnsi="arial" w:cs="arial"/>
          <w:color w:val="000000"/>
          <w:sz w:val="20"/>
          <w:lang w:val="en-US" w:eastAsia="en-US" w:bidi="ar-SA"/>
        </w:rPr>
        <w:t xml:space="preserve"> at p. 174. However, as I have not found that the plaintiff was contributorily negligent, the reasoning in this case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must also consider the distinction that must be made between policy decisions and operational decisions in reviewing the City's potential liability. According to Mr. Ledo, the City policy at the relevant time was to devote but one truck and one crew to clean up reported spills.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 find that the City's decision to allocate a particular amount of its resources to street maintenance was a policy decision. However, this is not the decision that is being challenged. What is being challenged by the defendant is the </w:t>
      </w:r>
      <w:r>
        <w:rPr>
          <w:rFonts w:ascii="arial" w:eastAsia="arial" w:hAnsi="arial" w:cs="arial"/>
          <w:i/>
          <w:color w:val="000000"/>
          <w:sz w:val="20"/>
          <w:lang w:val="en-US" w:eastAsia="en-US" w:bidi="ar-SA"/>
        </w:rPr>
        <w:t>implementation</w:t>
      </w:r>
      <w:r>
        <w:rPr>
          <w:rFonts w:ascii="arial" w:eastAsia="arial" w:hAnsi="arial" w:cs="arial"/>
          <w:color w:val="000000"/>
          <w:sz w:val="20"/>
          <w:lang w:val="en-US" w:eastAsia="en-US" w:bidi="ar-SA"/>
        </w:rPr>
        <w:t xml:space="preserve"> of that policy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policy decision that the City made was to clean up reported minor spills within a reasonable time, but by no means immediately. The implementation of that policy decision was an operational decision and thus reviewable by the court: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at p. 1246. Where the City chose as a matter of policy to clean up reported spills, the manner and quality of its system to do so can be assessed in consideration of the standard of care issue. Yet, the standard of care is to be assessed in light of all of the surrounding circumstances, including budgetary restraints and the availability of qualified personnel or equipment: </w:t>
      </w:r>
      <w:r>
        <w:rPr>
          <w:rFonts w:ascii="arial" w:eastAsia="arial" w:hAnsi="arial" w:cs="arial"/>
          <w:i/>
          <w:color w:val="000000"/>
          <w:sz w:val="20"/>
          <w:lang w:val="en-US" w:eastAsia="en-US" w:bidi="ar-SA"/>
        </w:rPr>
        <w:t>Just</w:t>
      </w:r>
      <w:r>
        <w:rPr>
          <w:rFonts w:ascii="arial" w:eastAsia="arial" w:hAnsi="arial" w:cs="arial"/>
          <w:color w:val="000000"/>
          <w:sz w:val="20"/>
          <w:lang w:val="en-US" w:eastAsia="en-US" w:bidi="ar-SA"/>
        </w:rPr>
        <w:t xml:space="preserve"> at p. 1245.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 accept that the City had a duty of care to maintain the safety of the roadways, but that duty is not absolute. As explained in </w:t>
      </w:r>
      <w:r>
        <w:rPr>
          <w:rFonts w:ascii="arial" w:eastAsia="arial" w:hAnsi="arial" w:cs="arial"/>
          <w:i/>
          <w:color w:val="000000"/>
          <w:sz w:val="20"/>
          <w:lang w:val="en-US" w:eastAsia="en-US" w:bidi="ar-SA"/>
        </w:rPr>
        <w:t>Fafard</w:t>
      </w:r>
      <w:r>
        <w:rPr>
          <w:rFonts w:ascii="arial" w:eastAsia="arial" w:hAnsi="arial" w:cs="arial"/>
          <w:color w:val="000000"/>
          <w:sz w:val="20"/>
          <w:lang w:val="en-US" w:eastAsia="en-US" w:bidi="ar-SA"/>
        </w:rPr>
        <w:t>, the City is not an insurer of the travellers using its streets, and its duty is to use reasonable care to keep its streets in a reasonably safe condition for their users.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reject as unproven the allegations set out in sub-paras. 118 (d) and (i)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Lehigh submits that, similar to the contractor in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the City assumed a duty to the public, including the plaintiff, to take reasonable steps to clean up the spill after advising Ms. McIvor that they would dispatch a street crew to clean up the spill and when the police officer advised Mr. Kolarcik that he could leave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By 2011, Lehigh, in its various manifestations, had reported concrete spills to the City for some 23 years. It contends that for those 23 years, the City had assumed the responsibility for the clean up of such spills.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my view, this grossly overstates what the City had done in those years, and the expectation that Lehigh was entitled to entertain based upon that 23-year history. I find that there was no contract between the City and Lehigh or any other road users, whereby the City was obliged to clean up concrete spills.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While the City had a practice of cleaning up reported spills, that practice did not anticipate a spill of the volume caused by Mr. Kolarcik. The practice does not excuse Lehigh and its ready-mix truck drivers from the exercise of reasonable care when they cause a spill, nor from the use of the equipment that Mr. Kolarcik had in his truck--namely, the pylons and cones--to warn other users of City streets in just such an eventuality.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Lehigh contends that the City assumed a further duty of care when their employees or agents, the police officer and the dispatcher, undertook to clean the spill. The defendants say the breach of this duty of care was reasonably foreseeable to lead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fact that the City took no action to advise Lehigh that it should take any action itself to clean up the spill, despite the fact that the only City street crew on duty at the time was busy with an emergency at the Cambie Street Bridge, does not relieve Lehigh of its responsibility under s. 204(1)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nor create liability on the part of the City to clean up any spill reported to it by Lehigh.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Mclvor's testimony and documentary record indicate that Mr. Kolarcik did not mention to her the alleged conversation with a VPD officer until after the accident. Further, Ms. Mclvor testified that she understood Mr. Kolarcik's conversation with a VPD officer to have occurred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While Lehigh and its employees may have wanted the City to clean up spills, there is no evidence that on this occasion the City dispatcher made any representation to Ms. McIvor that a street crew had been dispatched to clean up any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the plaintiff's submission, in light of the totality of the evidence, the fact that the alleged involvement of the VPD officer was not mentioned until well after the accident suggests that Mr. Kolarcik invented it after he learned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given rise to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order for Mr. Kolarcik's narrative to be relied upon, the conduct of the VPD officer he allegedly spoke to would have been in direct contravention to the correct procedure and central priorities that Det. Baxter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If a patrol officer was aware of the significance of this spill, Det. Baxter said she would have expected the officer to come over the radio to advise of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Det. Baxter said that had she been the first police officer to respond to this spill, she would have considered it a hazard, blocked the roadway with her car to keep the road safe and called for cleanup. This would have generated a "hazard call." She said that she would expect other VPD officers to react in the same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Det. Baxter indicated she was able to "run the calls" for the entire day and did not locate "a hazard call" for the day of the accident. In 2015, when she thought this matter may be going to trial, she checked whether the cement truck driver's information was run in the CPIC system. She said in the event the police officer had run the driver's name, licence or licence plate number on that day, she would find a record of that search. She said the results were negative, and she was never able to find any evidence to corroborate Mr. Kolarcik's claim that there was a police officer on the scene after the spill, but prior to, the plaintiff's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So, in order for Mr. Kolarcik's narrative to be relied upon, a VPD officer who had walked the length of the spill and seen the full extent of it, would have decided to leave it unattended without even calling the spill in to the City dispatcher. This would have constituted a substantial departure from a VPD officer's normal practice. It is more likely that Mr. Kolarcik, whose usual practice was to do nothing other than call Ocean Concrete's dispatch, simply did so and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Kolarcik testified that he spoke with the police officer who asked him what the procedure was to clean up a spill. Mr. Kolarcik advised that the standard procedure was for an Ocean Concrete driver to report the spill to the dispatcher for Ocean Concrete, who in turn would report the spill to the dispatcher for the City. The City would then dispatch the necessary cleaning crew to the scene of the spill.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evidence of Det. Baxter suggests that this degree of involvement by a VPD officer would have required the officer to call himself in to VPD dispatch, so as to avoid being dispatched out on another call. This would have generated a record. Additionally, the VPD officer's apparent blocking of the roadway would likely have involved a hazard call. The fact that records of such calls could not be located makes Mr. Kolarcik's narrative improbable.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find that on the balance of probabilities, Mr. Kolarcik chose, without any involvement with any police officer, to follow his usual practice, as opposed to the practice expected of him by his employer; that is, to leave the scene of the spill without taking any steps to clean it up or to warn other motorists of the hazard that he had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Lehigh contends that the City was negligent by assuming the responsibility for cleaning up spills, such as cement spills, without any real protocols or procedures in place. This defendant says that, if the City had advised Ms. Mclvor that Mr. Kolarcik should have stayed at the scene or that Ocean Concrete should have taken other steps to remove any hazard caused by the spill, the accident could have been avoided. I reject this contention as it is clear, as I have stated above, that Mr. Kolarcik understood that he was not permitted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addition, Ms. McIvor did not say that she was advised by the City dispatcher that a City crew would be sent to clean up the spill in other than the usual response time. I have already rejected Mr. Kolarcik's evidence that he was advised by a police officer that he could leave the scene of the spill. I turn then to the assertion by Lehigh that the City assumed the duty to clean up any and all spills on its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 find that the reasoning in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xml:space="preserve"> does not assist Lehigh. In that case, the defendant was informed about the nature and extent of the hazard on the roadway and was aware that the hazard had already caused one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history of the prior experience of the parties in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xml:space="preserve"> was that when the defendant received calls from the RCMP, it took steps to ensure that the appropriate service-provider was notified, creating what Newbury J.A. labelled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'reliance' ... on the RCMP's part"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addition, the defendant in </w:t>
      </w:r>
      <w:r>
        <w:rPr>
          <w:rFonts w:ascii="arial" w:eastAsia="arial" w:hAnsi="arial" w:cs="arial"/>
          <w:i/>
          <w:color w:val="000000"/>
          <w:sz w:val="20"/>
          <w:lang w:val="en-US" w:eastAsia="en-US" w:bidi="ar-SA"/>
        </w:rPr>
        <w:t>Goodwin</w:t>
      </w:r>
      <w:r>
        <w:rPr>
          <w:rFonts w:ascii="arial" w:eastAsia="arial" w:hAnsi="arial" w:cs="arial"/>
          <w:color w:val="000000"/>
          <w:sz w:val="20"/>
          <w:lang w:val="en-US" w:eastAsia="en-US" w:bidi="ar-SA"/>
        </w:rPr>
        <w:t xml:space="preserve"> was taken to have known that by virtue of its repeated assurances that a crew had been sent, the RCMP would not call anyone else to respond to the hazard. Indeed, at para. 44, Madam Justice Prowse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reasonable foreseeability test is met. That is, Mainroad could reasonably foresee both that the RCMP would rely on its undertaking to take care of the black ice problem on Quinsam Road and refrain from calling for further assistance, and that members of the public using Quinsam Road could be injured if Mainroad did not take steps to deal with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At para. 53, Prowse J.A.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Mainroad did not simply become aware of the danger to the public; it offered to abate the danger, and it did so with the foreseeable result that the RCMP would make no further efforts to obtain assistance. While it may not be entirely accurate to say that Mainroad increased the danger to Ms. Goodwin and other members of the public in so doing, it certainly prevented the danger from being controlled or eliminated.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the case before me, the City was not advised that the spill was other than the usual magnitude, and Ms. Mclvor testified that she had no idea what the City's response time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Ledo testified that there was no prescribed response time for reported spills on City streets, and that the actual response time of just over an hour was not unusual. There is no evidence to indicate that Lehigh could reasonably have expected the City to attend to the spill any faster than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Lehigh contends, and I agree, that any misunderstanding between Ocean Concrete and the City relating to the size, severity or location of the spill did not contribute in any way to the steps the City took. If the spill was reported to be in the wrong location and no information was provided as to the size or severity of the spill, this does not lead to a finding of liability against the City since the street crew could not have arrived on the scene any earlier than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my view, the reasonableness of the City's response time must be assessed by considering the City's usual practice and the reasonable expectations of Ocean Concrete. Nothing about Ms. Mclvor's report would have indicated to the City that it was dealing with anything other than the usual minor spill in front of Carter Honda. Nothing would have indicated to the City that this spill constituted a hazard or an emergency that needed to be responded to with any urgency.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summary, I find that the City was not negligent in responding to and cleaning up the spill in the manner that it did. Due to the inadequate report of Mr. Kolarcik and Ms. McIvor, it was unaware of the magnitude of the spill and the fact that it posed a significant danger to the users of the road, and could not be expected in such circumstances to have taken measures beyond those that it took as a matter of routine for minor spills.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Actions or Inaction of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Since the third party claim against the City is still outstanding, I will briefly deal with the allegations with respect to the actions or inactions of the VPD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Lehigh contends that the City is jointly and severally liable for a tort committed by a member of the VPD, pursuant to s. 20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if the tort was committed in the performance of his or her duties. Lehigh cites </w:t>
      </w:r>
      <w:r>
        <w:rPr>
          <w:rFonts w:ascii="arial" w:eastAsia="arial" w:hAnsi="arial" w:cs="arial"/>
          <w:i/>
          <w:color w:val="000000"/>
          <w:sz w:val="20"/>
          <w:lang w:val="en-US" w:eastAsia="en-US" w:bidi="ar-SA"/>
        </w:rPr>
        <w:t>B.C./Yukon Association of Drug War Survivors v. Abbotsford (City)</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2014 BCSC 1817</w:t>
        </w:r>
      </w:hyperlink>
      <w:r>
        <w:rPr>
          <w:rFonts w:ascii="arial" w:eastAsia="arial" w:hAnsi="arial" w:cs="arial"/>
          <w:color w:val="000000"/>
          <w:sz w:val="20"/>
          <w:lang w:val="en-US" w:eastAsia="en-US" w:bidi="ar-SA"/>
        </w:rPr>
        <w:t xml:space="preserve"> at para. 83 for this proposition. In that case, I determined at paras. 83 - 84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DWS seeks relief in the current action based upon the conduct of members of the Abbotsford Police Department. The City contends that it is not the proper party to respond to allegations respecting members of the Abbotsford Police Department. This is only partly correct. The City is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members of the Abbotsford Police Department pursuant to ss. 20 and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It is correct, however, that the City is not liable for the Abbotsford Police Department members for liability based on other causes of action. Those causes of action must be pursued against the Abbotsford Police Department or the members themselves, subject to s. 21 of the Police Act, which provides that no action lies against individual police officers unless they are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malicious and wilful misconduct. As with the pleadings with respect to the displacement tactics, it is my view that the pleadings are adequate for present purposes, but will have to be refined by further particulars once the discovery phase of the action is complete. For now, I am satisfied that the City has a reasonable understanding of what is meant by displacement tactics, and the conduct of those for whom it is vicariously liable, that forms the factual foundation for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However, it is important to note that, by the time of trial, there were no allegations that members of the VPD were in any way negligent. Lehigh did not name the VPD in its third party pleadings and those pleadings make no mention of the VPD, other than the reference to the unnamed officer that Mr. Kolarcik said he spoke to. I have already determined this conversation did not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As Mr. Justice Voith noted in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2013 BCSC 1143</w:t>
        </w:r>
      </w:hyperlink>
      <w:r>
        <w:rPr>
          <w:rFonts w:ascii="arial" w:eastAsia="arial" w:hAnsi="arial" w:cs="arial"/>
          <w:color w:val="000000"/>
          <w:sz w:val="20"/>
          <w:lang w:val="en-US" w:eastAsia="en-US" w:bidi="ar-SA"/>
        </w:rPr>
        <w:t xml:space="preserve"> at paras. 32 - 33: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Historically, it was not necessary to identify by name the cause of action that a plaintiff sought to advance: </w:t>
      </w:r>
      <w:r>
        <w:rPr>
          <w:rFonts w:ascii="arial" w:eastAsia="arial" w:hAnsi="arial" w:cs="arial"/>
          <w:i/>
          <w:color w:val="000000"/>
          <w:sz w:val="20"/>
          <w:lang w:val="en-US" w:eastAsia="en-US" w:bidi="ar-SA"/>
        </w:rPr>
        <w:t>Alford v. Canada (Attorney General)</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(S.C.), aff'd </w:t>
      </w:r>
      <w:hyperlink r:id="rId198" w:history="1">
        <w:r>
          <w:rPr>
            <w:rFonts w:ascii="arial" w:eastAsia="arial" w:hAnsi="arial" w:cs="arial"/>
            <w:i/>
            <w:color w:val="0077CC"/>
            <w:sz w:val="20"/>
            <w:u w:val="single"/>
            <w:shd w:val="clear" w:color="auto" w:fill="FFFFFF"/>
            <w:lang w:val="en-US" w:eastAsia="en-US" w:bidi="ar-SA"/>
          </w:rPr>
          <w:t>[1998] B.C.J. No. 2965</w:t>
        </w:r>
      </w:hyperlink>
      <w:r>
        <w:rPr>
          <w:rFonts w:ascii="arial" w:eastAsia="arial" w:hAnsi="arial" w:cs="arial"/>
          <w:color w:val="000000"/>
          <w:sz w:val="20"/>
          <w:lang w:val="en-US" w:eastAsia="en-US" w:bidi="ar-SA"/>
        </w:rPr>
        <w:t xml:space="preserve"> (C.A.). Nor was it necessary for the plaintiff to plead a statute that he or she relied on: </w:t>
      </w:r>
      <w:r>
        <w:rPr>
          <w:rFonts w:ascii="arial" w:eastAsia="arial" w:hAnsi="arial" w:cs="arial"/>
          <w:i/>
          <w:color w:val="000000"/>
          <w:sz w:val="20"/>
          <w:lang w:val="en-US" w:eastAsia="en-US" w:bidi="ar-SA"/>
        </w:rPr>
        <w:t>Gold v. Toronto Dominion Bank</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[1998] B.C.J. No. 3074</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Neither of these propositions appears to remain valid under the current Rules. Thus, the authors of </w:t>
      </w:r>
      <w:r>
        <w:rPr>
          <w:rFonts w:ascii="arial" w:eastAsia="arial" w:hAnsi="arial" w:cs="arial"/>
          <w:i/>
          <w:color w:val="000000"/>
          <w:sz w:val="20"/>
          <w:lang w:val="en-US" w:eastAsia="en-US" w:bidi="ar-SA"/>
        </w:rPr>
        <w:t>McLachlin and Taylor</w:t>
      </w:r>
      <w:r>
        <w:rPr>
          <w:rFonts w:ascii="arial" w:eastAsia="arial" w:hAnsi="arial" w:cs="arial"/>
          <w:color w:val="000000"/>
          <w:sz w:val="20"/>
          <w:lang w:val="en-US" w:eastAsia="en-US" w:bidi="ar-SA"/>
        </w:rPr>
        <w:t xml:space="preserve"> state at 3-5 and 3-7, respectively: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under Rule 3-1(2)(c) a notice of civil claim must "set out a concise summary of the legal basis for the relief sought". It would appear that where the cause of action is breach of contract, that must be stated as the basis for the relief sought. Similarly, where the cause of action is a nominate tort, the tort must be named. Where the cause of action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may not be necessary to identify that as the cause of action, but in that case there would have to be a statement that the legal basis of the claim made is the existence of a duty of care, breach of the duty of care, and damages resulting from the breach of a duty of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requirement under [Rule 3-1(2)(c)] to set out a concise summary of the legal basis for the relief sought means that earlier case law stating that it was not necessary to plead a statute if the material facts giving rise to the right to relief under the statute were pled is no longer applicable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Lehigh failed to plead a legal basis for their claim against the City for the actions or inactions of the VPD. As a result, the plaintiff had no notice he would have to meet the defence raised at trial concerning such actions or inactions. Therefore, Lehigh should not be permitted to rely upon such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any case, as discussed above, I reject the evidence that Mr. Kolarcik had any interaction with the VPD. In the result, there is no factual basis for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VPD or any of its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 find that the sole cause of the accident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Kolarcik in allowing cement and aggregate to spill from his ready-mix truck onto a City street and then failing to take reasonable steps to clean up the spill and warn other users of that street of the hazard that he had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Lehigh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Kolarcik and Ms. McIvor.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third party claim by Lehigh against the City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770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North King Lodge Ltd. v. Gowlland Towing Ltd., [2004] B.C.J. No. 677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5 - 8, 11 - 15, 18 - 20, and 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S013268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677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460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B.C.L.R. (4th) 284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 C.C.L.I. (4th) 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 C.C.L.T. (3d) 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1048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North King Lodge Ltd., plaintiff, and Gowlland Towing Ltd. and T. &amp; D. Carter Holdings Ltd., defendants, and Gowlland Towing Ltd. and T. &amp; D. Carter Holdings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(288 paras.)</w:t>
      </w:r>
    </w:p>
    <w:p>
      <w:pPr>
        <w:jc w:val="both"/>
        <w:rPr>
          <w:rFonts w:ascii="arial" w:eastAsia="arial" w:hAnsi="arial" w:cs="arial"/>
          <w:sz w:val="20"/>
          <w:lang w:val="en-US" w:eastAsia="en-US" w:bidi="ar-SA"/>
        </w:rPr>
      </w:pPr>
      <w:bookmarkStart w:id="54" w:name="Counsel_10"/>
      <w:bookmarkEnd w:id="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J.W. Bromley, for the plaintiff. D.F. McEwen Q.C. and G.G. Blue, for the defendant, Gowlland Towing Ltd. J.D. Buchan and C.V. Allin, for the defendant, T.&amp; D. Carter Holdings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5" w:name="Judgment_10"/>
      <w:bookmarkEnd w:id="55"/>
      <w:r>
        <w:pict>
          <v:line id="_x0000_s1071" style="position:absolute;z-index:2517207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6" w:name="SIGURDSON J."/>
            <w:bookmarkEnd w:id="56"/>
            <w:r>
              <w:rPr>
                <w:rFonts w:ascii="arial" w:eastAsia="arial" w:hAnsi="arial" w:cs="arial"/>
                <w:b/>
                <w:color w:val="000000"/>
                <w:sz w:val="30"/>
                <w:lang w:val="en-US" w:eastAsia="en-US" w:bidi="ar-SA"/>
              </w:rPr>
              <w:t>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concerns the sinking of a vessel near Port Neville. The only issue is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North King Lodge Ltd., was the owner of a vessel called the Sea Lion VI. In 2000, it entered into an oral agreement with a logging contractor, the defendant T.&amp; D. Carter Holdings Ltd., for the hire of the Sea Lion VI for about two months for use near Port Neville as an overflow accommodation facility for T.&amp; D. Carter's workers. About ten days after the Sea Lion VI had been originally moored offshore, at T.&amp; D. Carter's request, North King moored it closer to shore for easier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Sea Lion VI was then moored with an anchor off its bow, two stern lines tied to shore and three lines off its port side tied to a booming ground. The booming ground was built for Ashlaur Trading, the company for which T.&amp; D. Carter was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December 9, 2000, after the logging had ended, Gowlland Towing, the company which had built the booming ground, at the instruction of Ashlaur Trading removed the boom and the bundles of wood that were boomed there. In the process, it disconnected the port lines of the Sea Lion VI which were attached to the booming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later evening of December 11, 2000, employees of the logging company remaining at the camp found the Sea Lion VI submerged.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Between December 9 and the evening of December 11, 2000, when the Sea Lion VI sank, there was some communication between the logging company and the owner of the vessel. The content and timing of these discussions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insurer has paid the owners $700,000, the amount of coverage for the vessel. It brings this subrogated claim against T.&amp; D. Carter, alleging that it was in breach of the responsibilities it had by virtue of being in possession, care and control of the vessel. As against Gowlland Towing, the plaintiff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altering the moorage of a safely moored vessel, which resulted in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T.&amp; D. Carter says that its charter of the vessel was a time charter under which the care and control of the vessel remained at all times with the owner. The oral lease agreement provided for North King to provide a watchman, but there was no watchman after early November. There is an issue whether that term was waived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T.&amp; D. Carter says that if it had responsibility for the care of the vessel, it was not in breach of any obligation it may have had. It says that the damage to the vessel was due to the lack of care of the owner or of Gowlland Towing.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Gowlland Towing says that North King was a trespasser and that Gowlland Towing was entitled to remove the trespassing item, the lines attached to the boom. It says that it met the standard of care it owed. Alternatively, Gowlland Towing says that if the standard of care is higher, it met it by taking reasonable steps to satisfy itself that the vessel was secure when it altered the mooring lines, notified those on shore who were apparently in charge of the Sea Lion VI, and took away the booming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Gowlland Towing argues that if it was negligent in removing the booming ground that the damage nevertheless occurred more than two days after the booming ground was moved. It contends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owner and the logging company, not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the proximate and effective causes of the loss. Gowlland Towing contends that the loss could have been avoided, even if the vessel had grounded, by reasonably prompt action on the part of the owner or the logging company. Further, Gowlland Towing contends that if it was negligent and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loss, the plaintiff was contributorily negligent. In that case, it submits that the liability of the defendants is several.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and T.&amp; D. Carter say that if they are at fault, it should be apportioned among all three parties. They contend that Gowlland Towing is arguing on the basis of the last clear chance, a legal doctrine that they say is anachronistic.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T.&amp; D. Carter also says that the insurer cannot sue it because, under the insurance contract, it is entitled to the benefit of the waiver of subrogation clause, an interpretation the plaintiff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parties called expert witnesses who gave evidence on subjects such as mooring vessels, the normal practice and their experience in tying to log booms, the purpose of various lines, the possible causes of the grounding of the vessel, possible steps to avoid problems when they arise, the effect of currents and tides in Port Neville, and the time required to get assistance to Port Neville.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issues that arise in this case are:</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caused the Sea Lion VI to sink?</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of T.&amp; D. Carter: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nature of the contract for the hiring of the Sea Lion VI?</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had responsibility for the care and control of the vessel?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purpose of the provision in the agreement between T.&amp; D. Carter and North King that the plaintiff would provide a watchman?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that term waived?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T.&amp; D. Carter in breach of any obligation it had for the safety of the vessel?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T.&amp; D. Carter liable for the damage to the Sea Lion VI and, if so, on what basis?</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of Gowlland Towing:</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North King a trespasser and if so, what duty was owed by Gowlland to North King?</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what was the nature of the duty owed by Gowlland to North King in the circumstances?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Was Gowlland Towing in breach of the duty that it owed?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Gowlland Towing was in breach of a duty it owed, was it an effective proximate cause of the loss?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several parties were at fault, how should fault be apportioned?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T.&amp; D. Carter entitled to the benefit of the waiver of subrogation clause in the insurance policy between the plaintiff and its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North King Lodge Ltd., was the owner of the Sea Lion VI, a wooden-hulled vessel built in 1905. It was 130 feet long, 25 feet wide and had a draft of 16 feet. During the regular season North King moored the Sea Lion VI and operated it as a fishing lodge.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principal of North King is Rick Wood. His wife, Bev Wood, runs the North King office in Ladysmith,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T.&amp; D. Carter Holdings Ltd. is a logging contractor. Douglas Carter is the principal. T.&amp; D. Carter has an office near Ladysmith where Mr. Carter's sister runs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Ashlaur Trading, whose president is Douglas Saunders, owned a timber license near Port Neville. In 2000, T.&amp; D. Carter was acting as a logging contractor for Ashlaur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Port Neville is located on the coast of British Columbia on an inlet off Johnstone Strait. T.&amp; D. Carter operated a camp at Port Neville where it had trailers to house its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Port Neville, T.&amp; D. Carter dropped off the harvested logs in the booming ground owned by Ashlaur Trading. The booming ground had been built for Ashlaur Trading by Gowlland Towing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Gowlland Towing is a towboat and booming company, the president of which is Glen Wheeler.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booming ground was located offshore at the logging camp. It was a temporary one made up of two strings of seven boomsticks, each string connected to the shore by a cable. The boomsticks were joined together with chains and the seaward end of each string of seven boomsticks was made up of a doubled boomstick connected to a rock anchor by cable several hundred feet offshore. The logs and boomsticks were the property of Ashlaur Trading and could be removed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T.&amp; D. Carter found that it needed more room to house its crew. In 1988, when it had a similar need, T.&amp; D. Carter had leased the Sea Lion VI as a bunkhouse for its logging crew at Bonwick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October 2000, Rick Wood, on behalf of North King, and Doug Carter, on behalf of T.&amp; D. Carter, entered into an oral agreement to lease the Sea Lion VI to T.&amp; D. Carter as an accommodation vessel for a period that was expected to last for about two months, until mid-December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terms of the oral agreement were that T.&amp; D. Carter would pay $8,000 per month and pay for fuel and that North King and T.&amp; D. Carter would split the cost of a watchman provided by North King. Mr. Wood of North King suggested that there be a watchman. North King agreed to deliver the accommodation vessel to Port Neville, moor it and take it out when T.&amp; D. Carter was finished using it. There was no discussion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vessel was delivered by North King to Port Neville on October 16, 2000. It was taken there under the command of Captain Michael Heavenor. He moored the vessel well offshore. It was anchored with a anchor line about 300 feet, a port bow line about one-third of the way back tied in a north-easterly direction to the beach, and a stern line in a north-westerly direction to the beach. At this time, it was moored east of the booming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the Sea Lion VI was offshore, access to the Sea Lion VI was only by boat. This arrangement was inconvenient and Mr. Carter asked Mr. Wood to move the Sea Lion VI to a location which would allow his employees access by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October 26, 2000, Rick Wood and his stepson, Clay Barney, flew up to Port Neville and relocated the Sea Lion VI. Brad Wood, Rick Wood's son, was also there. Rick Wood is 58 years old, is not a certified mariner but is a commercial fisherman and has owned several large vessels. He did not consult the chart of the Port Neville area when re-mooring the vessel, or do any manual sounding.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vessel was moved to the west side of the booming ground. It was located near an area called Piles Pieux on the marine charts. Mr. Wood set the anchor and, with the assistance of the crew of T.&amp; D. Carter, pushed the Sea Lion VI towards the stiff leg of the booming ground to tighten the anchor.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Neither North King nor T.&amp; D. Carter asked Ashlaur Trading for permission to tie to its booming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were three lines from the vessel to the boomstick on the port side of the Sea Lion VI, although there is some issue as to how those lines were positioned and how the vessel was tied. The vessel had two stern lines to the beach, about ten feet apart, one being to a rock and the other to a cable at shore edge, slightly underwater.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angle of the vessel and the angle of the anchor off the vessel are in dispute, as is the closeness of the vessel to the stiff leg. I find that the vessel was quite tight to the boomsticks at the stern port corner. There is a dispute about its precise 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question is whether the anchor was off the bow of the vessel slightly to the starboard as Mr. Wood said or whether it was, as other witnesses indicated, straight off the bow. I find that there was about 300 feet of anchor chain in about 41 feet of water and generally the line was straight but slightly to the starboard off the 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that the Sea Lion VI was moored at an angle of approximately 10-15 degrees off the boom. The distance from the boomsticks to the bow was greater than the distance from the boomsticks to the stern. This is consistent, at least in part, with an initial drawing prepared by Mr. Wood and the evidence of several witnesses. I do not accept as reliable the evidence of Mr. Wood or his sons that the vessel was parallel to or tight against the boomsticks for the length of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the vessel was relocated on October 26, 2000, T.&amp; D. Carter constructed a gangway that allowed access directly to the vessel from shore. This ramp and float arrangement allowed T.&amp; D. Carter's employees access to the mid-starboard side of the vessel by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From all of the evidence, I conclude that the vessel, depending on the tide, was in the range of 30 to 60 feet from the shore, occasionally somewhat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vessel remained safely in this position until at least December 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agreement between North King and T.&amp; D. Carter provided that there would be a watchman. Clay Barney, Rick Wood's stepson, was the initial watchman. Brad Wood and Mr. Barney stayed in the vessel until October 29, 2000. When Mr. Barney was the watchman, he slept on the Sea Lion VI. He was replaced by Mr. Wohlund, whose employment was later terminated. I will discuss the parties' knowledge of and actions concerning the watchman provision when I discuss whether this term was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owner had hull insurance for $700,000 but because it did not have the proper endorsements or had not notified the insurer and paid the appropriate premium, it did not have coverage for the Sea Lion VI from October 16 to November 10, 2000. Even though Mr. Wood knew that there was no insurance coverage on October 26 when he moved the vessel, he said he did so because Mr. Carter was in a hurry.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November 10, North King obtained an endorsement from the insurer which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consideration of an additional premium of $2,450 permission is granted for the "Sea Lion" to be chartered and used as an accommodation facility at Port Neville, B.C. for the period November 10, 2000 to December 19,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insurance was obtained by Mr. Wood by phone on November 10,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Logging for T.&amp; D. Carter was coming to an end around December 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December 7, 2000, Gowlland Towing received word from Ashlaur Trading that it was to go and pick up the boom and the booming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Captain Adam Sweeney with his deck hand, Len Gardiner, employees of Gowlland Towing, arrived at Port Neville on December 8, 2000 at about 1:30 p.m. to boom the logs dumped in the ocean by T.&amp; D. Carter.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By the time Gowlland Towing arrived at Port Neville on December 8, 2000 and began booming the bundles of logs, there were only a few employees of T.&amp; D. Carter left at the Port Neville site. Logging by T.&amp; D. Carter had ceased on December 7 and most of the crew left the area around December 8. T.&amp; D. Carter was doing wrap-up work. The few remaining loggers stayed in the camp trailers on shore. One was Dennis Stubbs, the foreman, and another was Larry Rumley, a mechanic.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of December 10, Mr. Rumley, Mr. Stubbs, and Mr. Simmonds of T.&amp; D. Carter, as well as a couple of tree cleaners, were working in the camp, but none of the T.&amp; D. Carter employees were on board the Sea Lion VI. The employees of T.&amp; D. Carter were not generally working in the area of the Sea Lion 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David Simmonds, an equipment operator and mechanic with T.&amp; D. Carter and a partner with Mr. Carter in another company, flew into Port Neville on December 9, 2000. As he arrived, the booming ground was in the middle of the inlet, being towed away by Gowlland Towing. About 24 hours, or a little less, after the Gowlland tug had arrived, it took the boom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return to the time when Gowlland Towing's tug, the Gowlland Chief, arrived at Port Neville on December 8, 2000. When Captain Sweeney and Mr. Gardiner arrived at Port Neville at about 1:30 p.m., they became aware for the first time that the Sea Lion VI was tied to the booming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They had not expected to see the Sea Lion VI tied to the boomsticks. Captain Sweeney could see that the Sea Lion VI had its anchor out but he did not inspect to see how the Sea Lion VI was moored. That afternoon Captain Sweeney and his deck hand were otherwise occupied making up a boom in the northeast side of the booming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afternoon, Captain Sweeney went on shore to get some swifter wires. He spoke to a man he believed to be the foreman, and together they looked for, but could not find, swifter wires. Captain Sweeney was dispatched to Port McLeod to obtain some. He and Mr. Gardiner took the tug out of Port Neville at 18:30 and returned at 21:00 on December 8. By then, it was dark and they were not able to complete another boom until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morning of December 9, the crew of the Gowlland Chief resumed work on the boom at 7:30 a.m. and completed its work at 10:30 a.m. The last boom was composed in part from the southern string of boomsticks.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9:14 a.m., Captain Sweeney called Mr. Wheeler, the president of Gowlland Towing, and told him that the Sea Lion VI was alongside the booming ground with lines from the Sea Lion VI to the booming ground. Mr. Wheeler had not previously been aware that the Sea Lion VI was tied to the booming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After a discussion, Mr. Wheeler told Captain Sweeney that if he thought the vessel would be all right if the lines were let loose, then that would be okay with Mr. Wheeler. They did not discuss the possibility of leaving a boomstick and the lines from the Sea Lion VI tied. Mr. Wheeler also said to let someone in camp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Captain Sweeney sent his deck hand, Mr. Gardiner, ashore to advise "someone" in camp that they were taking the boom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Gardiner testified that he did advise someone; however, he did not know if that person was a T.&amp; D. Carter employee or what his relationship was to the Sea Lion VI, other than that Mr. Gardiner had seen him on the ramp. Although the witnesses from T.&amp; D. Carter disagree that they were told, I find that Mr. Gardiner told someone on shore that they were removing the booming ground, and that person was likely an employee of T.&amp; D. Carter.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person Mr. Gardiner spoke to appeared surprised, which Mr. Gardiner reported to Captain Sweeney. No one requested that the booming ground or part of it remain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Captain Sweeney and Mr. Gardiner untied the lines. Mr. Gardiner went on the walkway on to the Sea Lion VI. Mr. Gardiner did not check the anchor, although he observed it was not hanging down. Mr. Gardiner did not notice any movement of the Sea Lion VI in a lateral direction when the lines to the booming ground were removed. Captain Sweeney estimated the distance between the stern and the shore was about 20 feet, that the lines were not slack, and nothing about the anchor or the stern lines caused him concern. According to Captain Sweeney, when the port lines were untied, the distance from the booming ground did not change in any noticeable way. At the time of the removal of the lines the tide was flooding, and the current running into the inlet would push the Sea Lion VI closer to the boomsticks and would tend to take tension off the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around 10:30 a.m., the Gowlland Chief removed the log boom from the area where the booming ground had been. Gowlland Towing commenced the tow of the booms, including all boomsticks and the winder, to Port Harvey on December 9, 2000 at 11:30 a.m. This was the last contact the Gowlland Towing employees had with the Sea Lion 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Sea Lion VI was now moored with its anchor and two stern lines, but no longer any lines affixed on the port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T.&amp; D. Carter was aware by the late morning of December 9, that the boom was gone. Mr. Simmonds, for example, had seen the boom in the middle of the inlet as he flew in to Port Neville late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an agreed fact that on December 9, 2000, between 10:00 a.m. and 11:00 a.m., Bev Wood, the wife of Rick Wood, was advised by Patty Clark, the sister of Doug Carter and an employee of T.&amp; D. Carter, that the logging was finished and that Rick Wood could go pick up his boat. No other information was given to North King by Ms. Clark in that telephone call. North King was not told that day that the booming ground had been, or was about to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December 9 and 10, Mr. Wood placed calls to Captain Heavenor to arrange the return of the Sea Lion VI, leaving a message once and speaking to his answering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Wood did not speak to Mr. Carter on December 9 and did not enquire whether the logs were about to be removed or how long the booming ground would remain in place. He did not attempt to contact another mariner other than Captain Heavenor. When the call came on December 9, Mr. Wood knew that the charter was essentially over. Mr. Wood did not consider what might happen to the vessel if the boom was towed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was no communication between North King and T.&amp; D. Carter on December 10,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December 11, at 8:03 in the morning, Mr. Rumley of T.&amp; D. Carter reported by phone to Mr. Carter that he observed that the Sea Lion VI had shifted its position with the bow swinging outward toward the mouth of the inlet in a south-westerly direction. He observed that the Sea Lion VI had swung about 45 degrees towards the mouth of the inlet.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Simmonds also reported by phone to Mr. Carter at 10:46 a.m. on December 11 that the vessel looked like it was "trying to leave the inlet". Although Mr. Simmonds was not phoning because of the Sea Lion VI, he was "very concerned" and he confirmed to Mr. Carter that the Sea Lion VI was moving parallel to the beach.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an issue as to when and what was reported by Mr. Carter to Mr. or Mrs. Wood of North King. It is difficult to resolve this issue because both Mr. Wood and Mr. Carter have very poor memories. They also both have hearing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is a dispute as to whether Mr. Carter called Mr. Wood in the morning of December 11. Mr. Carter says that he reported the movement of the Sea Lion VI to Mr. Wood in the morning of December 11. Mr. Carter testified that he called after waiting a half hour, or upwards to an hour, after the call from Mr. Rumley, and spoke to Mr. Wood who told him, he said, that his mariner was storm bound, was not too concerned as he had set the anchor, and there was nothing that he could do about it. Mr. Wood and Mrs. Wood denied receiving that call or a message. Mrs. Wood said that they were at their office that morning until about 9:30 and thereafter had an answering machine. There is no record of this call in the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Carter said that after he got the call from Mr. Simmonds later in the morning, he called the plaintiff several hours later. This by Mr. Carter's evidence would be his second call to the Woods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was clearly an afternoon call on December 11, 2000 from Mr. Carter to Mrs. Wood, but there is dispute over the time, and to some extent the content, of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Carter said the call was about 2:00 p.m., or between 2:00 and 3:00, and Mrs. Wood says it was between 3:00 and 4:00 p.m. Because it is a local call there is no record of this call, unlike some of the other calls that are long distance calls or cellular telephone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find that the first call that Mr. Carter made to the Woods that day was most likely made at about 2:00 p.m., or shortly thereafter. I find that Mr. Carter's recollection of an earlier call on December 11 is mistaken. Although there was no good reason for him not to call earlier, if he did try to, he did not speak to Mr. Wood or leave a message on the North King answering machine. He testified that he did not like speaking to answering machines. I find that Mr. Carter has a poor memory about whether he called Mr. Wood in the morning of the 11th. He appeared nervous dealing with this subject but I did not place much weight on that. The fact that he says that he waited a half hour or more after the first call and several hours after the Simmonds call suggests he did not treat it as seriously as he now wishes he had. In a prior statement he was unsure to whom he spoke during the first call. The tenor of the call between Mrs. Wood and Mr. Carter, in the afternoon, suggests it was the first call on the subject matter between the parties that day. Mr. Carter may, to some extent, be mixing up a call later that night when he refers to Mr. Wood's comment that his mariner was storm bound, or is reconstructing the matter inaccurately. Mr. Carter was generally frank in his evidence, even though I find he was mistaken as to his first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think that to a degree that Mrs. Wood's recollection of the content and time of the call between 3:00 and 4:00 p.m. with Mr. Carter is affected by her desire to place the call in the best light from the plaintiff's perspective. Mrs. Wood said that Mr. Carter in the afternoon told her that the vessel was "a bit" parallel to the beach and it had moved "a bit", and that when she asked him if he was sure it was not in danger and up on the beach, he said no. Mr. Wood was in the bath and Mrs. Wood reported to him, I find, that the vessel was roughly parallel to the beach. Mr. Wood said, "We have to get up there". I think that Mrs. Wood, to explain her husband's actions, is de-emphasizing the concern that Mr. Carter was imparting, but that Mr. Wood understood there was a risk to the Sea Lion 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Wood knew from the telephone call to his wife that the Sea Lion VI had swung toward the beach and he would have thought that for it to become parallel, a stern line would have had to become disconnected. Mr. Wood must have known then that the boom was gone for the vessel to be parallel to the shore. Although he said that "we have to get up there", he testified he did not think it was a necessity to take immediate action and that he did not know tug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Wood did not call Mr. Carter to find out the precise circumstances of the Sea Lion 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After the call between Mrs. Wood and Mr. Carter on the afternoon of December 11, Mr. Wood made arrangements to go up to Port Neville the first thing the next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employees of T.&amp; D. Carter did not take any steps to ensure the mooring was safe and secure after they noticed that it was pointing out to the mouth of the inlet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During December 9, 10 and 11, Port Neville experienced very low and very high tides. Low tide on December 11, 2000 was approximately 1.3 feet at 20:09, the lowest tide in the period between October 26 and December 11, 2000. During a flood tide the current flowed into the inlet parallel to the shore and during an ebb tide the current ran out or to the west or in a starboard direction from the moorage the Sea Lion V1 had over the last 40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Rumley of T.&amp; D. Carter testified that at 5:00 p.m. on December 11, he observed the vessel floating normally, but he could not recall the direction it was pointing. Mr. Stubbs said that he had pumped up the generator on the evening of December 11 and the vessel was fine then. There is an issue about the reliability of this evidence given the observations of T.&amp; D. Carter employees earlier in the day that the vessel was parallel to the beach or appeared to be leaving the inlet. Mr. Stubbs was aware that his colleagues had reported that the vessel had shifted.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Was Mr. Stubbs accurate in his recollection that he went to the vessel to fill up the day tank on the evening of December 11 at around 5:00 p.m.? Mr. Rumley said that he looked out at 5:00 p.m. and the vessel appeared no worse and was floating properly. Mr. Rumley and Mr. Stubbs appeared to be credible that the vessel appeared all right at 5:00 p.m. Other credible evidence, in particular the evidence of Captain Rose, an expert witness under cross-examination by Mr. McEwan, suggests that the angle of the vessel would be obvious by that time. I accept that evidence. Accordingly, I conclude, on a consideration of all of the evidence, that Mr. Stubbs was mistaken that he went down to the Sea Lion VI to pump the generator at 5:00 p.m. on December 11. I conclude that if, during the day, the vessel had swung out, by the evening it was dark and it was not then apparent to the T.&amp; D. Carter employees in the vicinity that there was a problem with the vessel's mooring.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the evening of December 11, 2000, following the Monday night football game on television, Mr. Rumley, as he was about to retire for the evening, heard a beeping noise from the Sea Lion VI and observed it to be listing and down at the 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is an agreed fact that at approximately 10:30 p.m. on December 11, 2000, the vessel was found to have grounded and during the course of the rising tide it flooded and sank.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Rumley telephoned Mr. Carter at about 10:00 p.m. to advise him of the sinking of the Sea Lion VI. Mr. Carter telephoned Mr. Wheeler to request tug assistance but he had no tugs in the area and gave him the number of Jarl Towing in Kelsey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Jarl Towing tug arrived at 01:30 on December 12, and found the Sea Lion VI aground, listing to starboard and partially submerged.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the evening of December 13, the Sea Lion VI was re-floated.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insurers or underwriters paid out to North King the amount under the policy of $700,000.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This action was commenced on June 12,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This is a maritime case. As noted by the Supreme Court of Canada in ITO International Terminal Operators v. Miida Electronics Inc., </w:t>
      </w:r>
      <w:hyperlink r:id="rId207" w:history="1">
        <w:r>
          <w:rPr>
            <w:rFonts w:ascii="arial" w:eastAsia="arial" w:hAnsi="arial" w:cs="arial"/>
            <w:i/>
            <w:color w:val="0077CC"/>
            <w:sz w:val="20"/>
            <w:u w:val="single"/>
            <w:shd w:val="clear" w:color="auto" w:fill="FFFFFF"/>
            <w:lang w:val="en-US" w:eastAsia="en-US" w:bidi="ar-SA"/>
          </w:rPr>
          <w:t>[1986] 1 S.C.R. 752</w:t>
        </w:r>
      </w:hyperlink>
      <w:r>
        <w:rPr>
          <w:rFonts w:ascii="arial" w:eastAsia="arial" w:hAnsi="arial" w:cs="arial"/>
          <w:color w:val="000000"/>
          <w:sz w:val="20"/>
          <w:lang w:val="en-US" w:eastAsia="en-US" w:bidi="ar-SA"/>
        </w:rPr>
        <w:t>, Canadian maritime law is "a body of federal law encompassing the common law principles of tort, contract and bailment". Common law principles in these three areas of law are at issue in this case.</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caused the Sea Lion VI to sink?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What caused the Sea Lion VI to ground on December 11, 2000? For 45 days beginning October 26, 2000 the Sea Lion VI was moored close to shore, tied by two stern lines, an anchor off its bow, and three port lines to the boomsticks, without apparent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After the booming ground was removed on December 9, the ocean in the area of the Sea Lion VI was subject to extreme low and high tides. At some point over the next two days, the vessel moved on an ebb tide to starboard and grounded.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that the main reason that the Sea Lion VI moved to the starboard was the removal of the lines to the boom ground that had earlier restricted that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pumps on the Sea Lion VI were turned off. Low water on December 11 was at about 20:00 hours. The bow fell on the falling tide and went underwater. The expert evidence suggests, and I find, that it either fell over or water entered through hatches, vents and the spurling pipe and then it was 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vessel where it sank was about 125 feet from shore. It then had only one stern line on the starboard side. The starboard stern line appeared to be of two colours which suggests that it was joined or extended at some point. There was no explanation for when and how that line was lengthened or changed. It was an agreed fact that there were originally two stern lines and there is no evidence as to when the port stern line was disconnected or came loose, although it no doubt had broken loose or become disconnected by the morning of December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photographs taken on December 12, 2000 show that the port stern line had been broken and the Sea Lion VI was lying on the remains of the float. The port stern line could have prevented the vessel falling off to the southwest. Once that line parted, the vessel could move to the southwest, and in doing so, move towards the beach, allowing the stern to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 Gowlland Towing called Captain John Dolmage as an expert, who indicated in his report that "the question must be asked why the Sea Lion grounded on December 11, 2000 and did not ground, or at least did not ground noticeably on December 9 or 10, 2000". Although the vessel went parallel to the shore prior to sinking on December 11, it may well have gone aground at low tide before the night of December 11. It could have grounded during low tide on the 9th or the 10th but it was not until the evening of December 11 that it either fell over or fell forward and flooded.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find that it is too speculative to determine at what point the starboard stern line was extended or repaired. I do not think it is a reasonable inference on the evidence to conclude that lengthening that line was the cause of the vessel grounding.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fact that early in the morning on December 11 the vessel was observed to have changed position and "wanted to leave the inlet" suggests, and this is supported by Captain Dolmage's evidence, that the anchor line may then have been slack. Further, I think that a stern line was probably disconnected at that point. However, the vessel was secure in its location for 45 days, even in times of significant storms. The most likely cause of its grounding, upon a consideration of all of the evidence, was the removal of the lateral support from the port side to the log boom.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conclude that the vessel grounded because over three days it moved starboard in the current after the lines to the booming ground were removed.</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T.&amp; D. Carter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Did T.&amp; D. Carter owe a duty of care to North King for the safety of the Sea Lion VI? If so, how did that duty arise, what was its scope and was it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 related issue arises. What were North King's obligations for the safety of its vessel during the term of the hiring and how did they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North King asserts that T.&amp; D. Carter had an implied obligation to keep the plaintiff notified of the condition of the vessel, particularly if there was any danger, and that there was an implied obligation to advise North King when logging was completed and the vessel ceased to be occupied. Reasonable advance notice, it says, could have allowed Mr. Wood to attend to the vessel in a timely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Bromley argues that T.&amp; D. Carter had the vessel in its care, custody and control, and by taking no steps to protect it, in the circumstances, T.&amp; D. Carter is responsible for the vessel's damage. North King argues that after the vessel shifted, T.&amp; D. Carter should have done something to protect it; it should have sought assistance or tied a line from the vessel to heavy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summary, the plaintiff says there were implied terms of the contract that were breached by T.&amp; D. Carter: failing to notify the plaintiff in a timely way that the logging was ending; failing to notify the plaintiff that the vessel was empty; failing to notify the plaintiff that the boom was gone and the moorage had changed; and, failing to notify the plaintiff in a timely way or at all that the vessel had shifted or that it may be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T.&amp; D. Carter contends that it did not have an obligation to take care for the safety of the vessel given the nature of its agreement with North King. It says that the obligation to care for the vessel rested with North King which had a contractual obligation to provide a watchman.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Bromley argues that if there was an obligation on the part of North King to provide a watchman, there was a variation of the contract by the parties' conduct or that term was waived by agreement. Mr. Bromley's argument is that in those circumstances, after the term was waived or varied, it was implied that the lessee was then responsible for the safe moorage of the vessel until it was returned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relationship between North King and T.&amp; D. Carter was contractual. There were no express terms for the care of the vessel. Were there implied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T.&amp; D. Carter's counsel says that, in classic maritime law terms, the lease of the vessel was a time charterparty rather than a charterparty by demise. Mr. Allin points to this passage from Maritime Law by Christopher Hill, 5th ed. (London: LLP Reference Publishing, 1998) at 179: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fundamental feature of a time charter is that the charterer has no possession or control of the vessel. The Master and crew remain in the employment of the shipowner and at all times are his servants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T.&amp; D. Carter says that the terms of the charter show that it was a charter of a type where responsibility rests with the owner for its care and control. In support, it points to these facts: the vessel was for an accommodation bunkhouse at a specific location, the owner was responsible for getting it to Port Neville and back, the owner supplied the captain for navigation and moorage purposes, there was no arrangement for T.&amp; D. Carter to pay for maintenance or repairs, the owner supplied fuel (which was reimbursed later), the lease was for a fixed period (estimated to be two months), the watchman was chosen by the owner, the owner placed insurance, and the owner was paid in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Allin argues that possession of the vessel never went to T.&amp; D. Carter. He says that possession remained at all times with the plaintiff, and in those circumstances, there is no duty of care owed by the hirer in relation to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T.&amp; D. Carter's counsel argues that the sinking was caused by the failure on the part of North King to use due diligence and, in particular, to discharge its obligation to provide a watchman or act expeditiously when it knew that the vessel was no longer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Bromley, for North King, disagrees. He argues that the contract is not a charter for a trip, but is something quite different, an accommodation. Even if it could be characterized as a time charter, he says there is nevertheless an obligation on T.&amp; D. Carter to re-deliver the vessel in good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Bromley argues that T.&amp; D. Carter, not North King, had possession of the vessel and that it was a contract of bailment. He says there was an obligation on the hirer, T.&amp; D. Carter, to use reasonable care and to restore the vessel to the owner at the end of the term. He says that the obligations include an obligation to provide proper notice that logging was completed and that the vessel was unoccupied, and to warn of any danger to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was the legal nature of the relationship between North King and T.&amp; D. Carter; was it a contract of bailment?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Bailment, as stated in Tyler and Palmer, ed., Crossley Vaines' Personal Property, 5th ed. (London: Butterworths, 1973) at 70 and 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eludes precise definition because the term covers a host of legal relationships which have as a common denominator only that one is in possession of another's chattel. </w:t>
      </w:r>
      <w:r>
        <w:rPr>
          <w:rFonts w:ascii="arial" w:eastAsia="arial" w:hAnsi="arial" w:cs="arial"/>
          <w:color w:val="000000"/>
          <w:sz w:val="20"/>
          <w:u w:val="single"/>
          <w:lang w:val="en-US" w:eastAsia="en-US" w:bidi="ar-SA"/>
        </w:rPr>
        <w:t>Possession is the salient feature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judges and writers have more or less consistently treated bailment as an express or implied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hire of a chattel is a recognized class of bailment: see 2 Hals. (4th ed.) at [paragraph] 1802; Coggs v. Bernard (1703) 92 E.R. 106; Trident Construction Ltd. v. Capital Crane Ltd. </w:t>
      </w:r>
      <w:hyperlink r:id="rId208" w:history="1">
        <w:r>
          <w:rPr>
            <w:rFonts w:ascii="arial" w:eastAsia="arial" w:hAnsi="arial" w:cs="arial"/>
            <w:i/>
            <w:color w:val="0077CC"/>
            <w:sz w:val="20"/>
            <w:u w:val="single"/>
            <w:shd w:val="clear" w:color="auto" w:fill="FFFFFF"/>
            <w:lang w:val="en-US" w:eastAsia="en-US" w:bidi="ar-SA"/>
          </w:rPr>
          <w:t>(1987), 64 Nfld. &amp; P.E.I.R. 300</w:t>
        </w:r>
      </w:hyperlink>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[1987] N.J. No. 94</w:t>
        </w:r>
      </w:hyperlink>
      <w:r>
        <w:rPr>
          <w:rFonts w:ascii="arial" w:eastAsia="arial" w:hAnsi="arial" w:cs="arial"/>
          <w:color w:val="000000"/>
          <w:sz w:val="20"/>
          <w:lang w:val="en-US" w:eastAsia="en-US" w:bidi="ar-SA"/>
        </w:rPr>
        <w:t xml:space="preserve"> (S.C.-T.D.); and D.J. Lowe (1980) Ltd. v. Roach (c.o.b. Vern's Auto Repairs) </w:t>
      </w:r>
      <w:hyperlink r:id="rId209" w:history="1">
        <w:r>
          <w:rPr>
            <w:rFonts w:ascii="arial" w:eastAsia="arial" w:hAnsi="arial" w:cs="arial"/>
            <w:i/>
            <w:color w:val="0077CC"/>
            <w:sz w:val="20"/>
            <w:u w:val="single"/>
            <w:shd w:val="clear" w:color="auto" w:fill="FFFFFF"/>
            <w:lang w:val="en-US" w:eastAsia="en-US" w:bidi="ar-SA"/>
          </w:rPr>
          <w:t>(1994), 131 N.S.R. (2d) 268</w:t>
        </w:r>
      </w:hyperlink>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[1994] N.S.J. No. 208</w:t>
        </w:r>
      </w:hyperlink>
      <w:r>
        <w:rPr>
          <w:rFonts w:ascii="arial" w:eastAsia="arial" w:hAnsi="arial" w:cs="arial"/>
          <w:color w:val="000000"/>
          <w:sz w:val="20"/>
          <w:lang w:val="en-US" w:eastAsia="en-US" w:bidi="ar-SA"/>
        </w:rPr>
        <w:t xml:space="preserve"> (S.C.), aff'd </w:t>
      </w:r>
      <w:hyperlink r:id="rId210" w:history="1">
        <w:r>
          <w:rPr>
            <w:rFonts w:ascii="arial" w:eastAsia="arial" w:hAnsi="arial" w:cs="arial"/>
            <w:i/>
            <w:color w:val="0077CC"/>
            <w:sz w:val="20"/>
            <w:u w:val="single"/>
            <w:shd w:val="clear" w:color="auto" w:fill="FFFFFF"/>
            <w:lang w:val="en-US" w:eastAsia="en-US" w:bidi="ar-SA"/>
          </w:rPr>
          <w:t>(1995), 138 N.S.R. (2d) 79</w:t>
        </w:r>
      </w:hyperlink>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[1995] N.S.J. No. 62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Hogarth v. Archibald Moving &amp; Storage </w:t>
      </w:r>
      <w:hyperlink r:id="rId211" w:history="1">
        <w:r>
          <w:rPr>
            <w:rFonts w:ascii="arial" w:eastAsia="arial" w:hAnsi="arial" w:cs="arial"/>
            <w:i/>
            <w:color w:val="0077CC"/>
            <w:sz w:val="20"/>
            <w:u w:val="single"/>
            <w:shd w:val="clear" w:color="auto" w:fill="FFFFFF"/>
            <w:lang w:val="en-US" w:eastAsia="en-US" w:bidi="ar-SA"/>
          </w:rPr>
          <w:t>(1991), 57 B.C.L.R. (2d) 319</w:t>
        </w:r>
      </w:hyperlink>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[1991] B.C.J. No. 2321</w:t>
        </w:r>
      </w:hyperlink>
      <w:r>
        <w:rPr>
          <w:rFonts w:ascii="arial" w:eastAsia="arial" w:hAnsi="arial" w:cs="arial"/>
          <w:color w:val="000000"/>
          <w:sz w:val="20"/>
          <w:lang w:val="en-US" w:eastAsia="en-US" w:bidi="ar-SA"/>
        </w:rPr>
        <w:t xml:space="preserve"> (S.C.), at 323, Oppal J., as he then was, adopted the definition of bailment stated by the Ontario Court of Appeal in Punch v. Savoy's Jewellers Ltd. </w:t>
      </w:r>
      <w:hyperlink r:id="rId212" w:history="1">
        <w:r>
          <w:rPr>
            <w:rFonts w:ascii="arial" w:eastAsia="arial" w:hAnsi="arial" w:cs="arial"/>
            <w:i/>
            <w:color w:val="0077CC"/>
            <w:sz w:val="20"/>
            <w:u w:val="single"/>
            <w:shd w:val="clear" w:color="auto" w:fill="FFFFFF"/>
            <w:lang w:val="en-US" w:eastAsia="en-US" w:bidi="ar-SA"/>
          </w:rPr>
          <w:t>(1986), 26 D.L.R. (4th) 546</w:t>
        </w:r>
      </w:hyperlink>
      <w:r>
        <w:rPr>
          <w:rFonts w:ascii="arial" w:eastAsia="arial" w:hAnsi="arial" w:cs="arial"/>
          <w:color w:val="000000"/>
          <w:sz w:val="20"/>
          <w:lang w:val="en-US" w:eastAsia="en-US" w:bidi="ar-SA"/>
        </w:rPr>
        <w:t xml:space="preserve"> at 552: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Bailment has been defined as the delivery of personal chattels on trust, usually on a contract, express or implied, that the trust shall be executed and the chattels be delivered in either their original or an altered form as soon as the time for which they were bailed has elapsed. It is to be noted that the legal relationship of bailor and bailee can exist independently of a contract. It is created by the voluntary taking into custody of goods which are the property of another. Such is the situation in cases of sub-bailment: see 2 Hals., 4th ed., p. 688, para. 1501.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Let me for a moment characterize the relationship in maritime law terms. N.E. Palmer, in Bailment, 2nd ed. (Sydney: The Law Book Company, 1991) at 193, describes the difference between the two types of charters that I have mentioned in relation to bailment: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of ships and aircraft, the existence of a bailment depends upon the type of charterparty involved. The main distinction is very clearly drawn in a recent Law Commission Working Paper: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are two main categories of charterparty, the charterparty by demise and the charterparty not by demise. . . . A charter by demise is in effect a contract for the hire of a chattel, and is governed by the general principles of the common law relating to contracts of hire... Charterparties not by demise, that is to say time charters and voyage charters, are contracts for the rendering of services by the owner, not for the hiring out of his 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[citations omitted]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Counsel for T.&amp; D. Carter says that the agreement between the parties was a time charterparty, while counsel for North King categorizes it as a charter by demise or a contract of bailment.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Boyd and Foxton, ed., in Scrutton on Charterparties, 20th ed. (London: Sweet &amp; Maxwell, 1996) write at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charter amounts to a demise must turn on the particular terms of the charter. "The question depends, where other things are not in the way, upon this: whether the owner has by the charter, where there is a charter, parted with the whole possession and control of the ship, and to this extent, that he has given to the charterer a power and right independent of him, and without reference to him to do what he pleases with regard to the captain, the crew, and the management and employment of the 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It is not possible to fit the agreement between North King and T.&amp; D. Carter into one of the traditional forms of charterparty arrangements. It was not chartered for a voyage, and it did not have a master and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question, I think, really is whether this contract of hiring, regardless of whether it can be characterized as a charterparty, is also a contract of bailment, and, if so, what were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Allison Concrete Ltd. v. Canadian Pacific Ltd. </w:t>
      </w:r>
      <w:hyperlink r:id="rId213" w:history="1">
        <w:r>
          <w:rPr>
            <w:rFonts w:ascii="arial" w:eastAsia="arial" w:hAnsi="arial" w:cs="arial"/>
            <w:i/>
            <w:color w:val="0077CC"/>
            <w:sz w:val="20"/>
            <w:u w:val="single"/>
            <w:shd w:val="clear" w:color="auto" w:fill="FFFFFF"/>
            <w:lang w:val="en-US" w:eastAsia="en-US" w:bidi="ar-SA"/>
          </w:rPr>
          <w:t>(1973), 40 D.L.R. (3d) 237</w:t>
        </w:r>
      </w:hyperlink>
      <w:r>
        <w:rPr>
          <w:rFonts w:ascii="arial" w:eastAsia="arial" w:hAnsi="arial" w:cs="arial"/>
          <w:color w:val="000000"/>
          <w:sz w:val="20"/>
          <w:lang w:val="en-US" w:eastAsia="en-US" w:bidi="ar-SA"/>
        </w:rPr>
        <w:t xml:space="preserve"> (B.C.S.C.), the contract was to hire a machine to do work for the hirer, although the machine was to be operated exclusively by its owner's employees. Counsel had argued that in order to find a bailment, the Court had to be satisfied that possession was exclusive possession. At 244-245,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the defendant was in possession of the machine. These are my reasons. The contract was one of hiring; it is inherent in such a contract that possession of the chattel hired passes from the hirer to the hiree. The machine was delivered to the defendant. The machine was hired to the defendant for the period that it was required by the defendant for clearing track, upturned cars, etc., and it fell into the water clearly within that period. Neither the plaintiff, its operators nor anyone else could rightfully take the machine from the possession of the defendant because, the work not having been completed, the term of the hiring had not come to an end. During the term of the hiring no one could rightfully assert a claim for possession of the machine against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not overlooked the consideration that by the contract the payloader was to be operated exclusively by the plaintiff's operators. This does not, in my view, touch the issue of possession: the contract was one of hiring with a condition that the machine be run exclusively by operators sent with the machine and in the general employment of the plaintiff. </w:t>
      </w:r>
      <w:r>
        <w:rPr>
          <w:rFonts w:ascii="arial" w:eastAsia="arial" w:hAnsi="arial" w:cs="arial"/>
          <w:color w:val="000000"/>
          <w:sz w:val="20"/>
          <w:u w:val="single"/>
          <w:lang w:val="en-US" w:eastAsia="en-US" w:bidi="ar-SA"/>
        </w:rPr>
        <w:t>The defendant had the right to dictate the tasks to be performed by the machine and when and where it would do assigned tasks. The plaintiff's operators were to run the machine. It was within their discretion, not the defendant's, to decide how the machine should be manipulated to perform assigned tasks. I do not think this right to control the machines in performing assigned tasks derogates from the defendant's right of possession</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find that the contract between North King and T.&amp; D. Carter was a form of bailment because possession was in the hirer, T.&amp; D. Carter. Although the plaintiff was contractually obligated to provide a watchman, the vessel was moored where the defendant wished it moored, and the defendant had the right to occupy the vessel with whom it wanted. The plaintiff, other than having a watchman on board, did not otherwise direct who could be on or what could occur on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are the relevant terms of this contract of bailment?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There are usual implied terms in a contract of bailment. Palmer in Bailment, supra, at 1249, states the normal duties that arise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hirer owes four principle duties: to pay the agreed rental, to take proper care of the chattel, to comply with the limitations upon his use of it and to restore it to the owner at the end of the hiring. These duties may, of course, be modified by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Traditionally, the duty of care required of the bailee varied with the type of bailment. In contracts for hire of chattels, the following duties are commonly implied: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to return the chattel in as good condition as when delivery was made, save for ordinary wear and tear. See: Allison Concrete, supra at 242; Brynjolfson v. Clay's Wharf, </w:t>
      </w:r>
      <w:hyperlink r:id="rId214" w:history="1">
        <w:r>
          <w:rPr>
            <w:rFonts w:ascii="arial" w:eastAsia="arial" w:hAnsi="arial" w:cs="arial"/>
            <w:i/>
            <w:color w:val="0077CC"/>
            <w:sz w:val="20"/>
            <w:u w:val="single"/>
            <w:shd w:val="clear" w:color="auto" w:fill="FFFFFF"/>
            <w:lang w:val="en-US" w:eastAsia="en-US" w:bidi="ar-SA"/>
          </w:rPr>
          <w:t>[1975] F.C. 319</w:t>
        </w:r>
      </w:hyperlink>
      <w:r>
        <w:rPr>
          <w:rFonts w:ascii="arial" w:eastAsia="arial" w:hAnsi="arial" w:cs="arial"/>
          <w:color w:val="000000"/>
          <w:sz w:val="20"/>
          <w:lang w:val="en-US" w:eastAsia="en-US" w:bidi="ar-SA"/>
        </w:rPr>
        <w:t xml:space="preserve"> (F.C.A.) at [paragraph] 4; and Crossley Vaines', supra at 415.</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take reasonable care of the chattel. See: Palmer in Bailment, supra at 1263; Allison Concrete, supra at 242; and Crossley Vaines', supra at 87.</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use reasonable skill in the management of the chattel. Where the bailee's situation or profession is such as to imply skill, he is bound to use such skill in the management of the chattel. See: Palmer in Bailment at 1263; and Crossley Vaines', supra at 87.</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use such care and diligence as a prudent or careful person would exercise in relation to his or her own property. See: A.I.M. Steel Ltd. v. Gulf of Georgia Towing Co. Ltd. </w:t>
      </w:r>
      <w:hyperlink r:id="rId215" w:history="1">
        <w:r>
          <w:rPr>
            <w:rFonts w:ascii="arial" w:eastAsia="arial" w:hAnsi="arial" w:cs="arial"/>
            <w:i/>
            <w:color w:val="0077CC"/>
            <w:sz w:val="20"/>
            <w:u w:val="single"/>
            <w:shd w:val="clear" w:color="auto" w:fill="FFFFFF"/>
            <w:lang w:val="en-US" w:eastAsia="en-US" w:bidi="ar-SA"/>
          </w:rPr>
          <w:t>(1964), 48 D.L.R. (2d) 549</w:t>
        </w:r>
      </w:hyperlink>
      <w:r>
        <w:rPr>
          <w:rFonts w:ascii="arial" w:eastAsia="arial" w:hAnsi="arial" w:cs="arial"/>
          <w:color w:val="000000"/>
          <w:sz w:val="20"/>
          <w:lang w:val="en-US" w:eastAsia="en-US" w:bidi="ar-SA"/>
        </w:rPr>
        <w:t xml:space="preserve"> (B.C.S.C.) at 555; and Crossley Vaines', supra at 87.</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safekeeping of the goods and protection from loss or injury. The Court in D.J. Lowe, supra, quoted with approval from 2 Hals. (4th ed.) at [paragraph] 1801: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element common to all types of bailment is the imposition of an obligation, because the taking of possession in the circumstances involves an assumption of responsibility for the safe keeping of the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Contracts of bailment, depending on their terms, may not contain the usual implied terms. While a term to take reasonable care of a chattel, and other similar terms, would normally be an implied term in most contracts of hire, whether that term is implied depends on the particular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Palmer in Bailment, supra, says at 1269: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terms of the agreement may enlarge or reduce the hirer's common law liability for loss or damage to the chattel. Generally, such agreements take the form of an undertaking by the hirer to restore the chattel in a certain condition, irrespective of whether he has been at fault in permitting it to fall below that condition. Less commonly, the contract will place the risk of deterioration, even that arising from the default of the hirer, upon the owner of the goods. One such case was Brice &amp; Sons v. Christiani and Neilsen (1928), 44 T.L.R. 335. The plaintiffs rented a crane barge to the defendants and undertook to insure it against all risks, the defendants paying the premium. A policy was taken out which failed to cover the machine against certain risks, one of which inevitably occurred, damaging the machine. The defendants, although unable to prove that the injury did not result from any default on the part of their servants, were relieved because the contract clearly indicated that they had declined to assume liability for risks to the machine.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more rarely, the hirer's common law duty of care may be squeezed out of existence by more specific covenants, which delineate every aspect of his responsibility and leave nothing to the implications of common law.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law concerning when terms are implied was described by Mr. Justice Lambert in London Drugs Ltd. v. Kuehne and Nagel International Ltd. </w:t>
      </w:r>
      <w:hyperlink r:id="rId216" w:history="1">
        <w:r>
          <w:rPr>
            <w:rFonts w:ascii="arial" w:eastAsia="arial" w:hAnsi="arial" w:cs="arial"/>
            <w:i/>
            <w:color w:val="0077CC"/>
            <w:sz w:val="20"/>
            <w:u w:val="single"/>
            <w:shd w:val="clear" w:color="auto" w:fill="FFFFFF"/>
            <w:lang w:val="en-US" w:eastAsia="en-US" w:bidi="ar-SA"/>
          </w:rPr>
          <w:t>(1990), 45 B.C.L.R. (2d) 1</w:t>
        </w:r>
      </w:hyperlink>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70 D.L.R. (4th) 51</w:t>
        </w:r>
      </w:hyperlink>
      <w:r>
        <w:rPr>
          <w:rFonts w:ascii="arial" w:eastAsia="arial" w:hAnsi="arial" w:cs="arial"/>
          <w:color w:val="000000"/>
          <w:sz w:val="20"/>
          <w:lang w:val="en-US" w:eastAsia="en-US" w:bidi="ar-SA"/>
        </w:rPr>
        <w:t xml:space="preserve"> (C.A.), aff'd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73 B.C.L.R (2d) 1</w:t>
      </w:r>
      <w:r>
        <w:rPr>
          <w:rFonts w:ascii="arial" w:eastAsia="arial" w:hAnsi="arial" w:cs="arial"/>
          <w:color w:val="000000"/>
          <w:sz w:val="20"/>
          <w:lang w:val="en-US" w:eastAsia="en-US" w:bidi="ar-SA"/>
        </w:rPr>
        <w:t>, when he referred to the restatement of the principles in B.P. Refinery (Westernport) Pty Ltd. v. Shire of Hastings (1977), 16 A.L.R. 363 (P.C.), at 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for a term to be implied, the following conditions (which may overlap) must be satisfied: (1) it must be reasonable and equitable; (2) it must be necessary to give business efficacy to the contract so that no term will be implied if the contract is effective without it; (3) it must be so obvious that "it goes without saying"; (4) it must be capable of clear expression; (5) it must not contradict any express term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precise obligations of T.&amp; D. Carter, including any implied terms, must be considered and interpreted in light of the agreement as a whole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An important aspect of this contract was the owner's obligation to provide a watchman. I find that one of the purposes for this provision was to ensure that the vessel remained adequately and safely moored where it was placed. Given that North King was delivering and mooring the vessel, and had much greater marine experience, that seems a reasonable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Interpreting the contract as a whole, including the owner's obligation to provide a watchman, which party had the primary responsibility to ensure that the vessel remained safely moored? I find that it was an implied term that the primary responsibility for the safe moorage of the vessel, even while in possession of the hirer, rested with the vessel's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At the same time, while the hirer was occupying the vessel, I think that it had an implied obligation to use reasonable care not to damage the vessel in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Before I address the extent of the obligations of T.&amp; D. Carter and whether they were breached, I will address the plaintiff's argument that the watchman term was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watchman term waived?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Unless there was a waiver or a variation of the contract, the plaintiff's contractual obligation to provide a watchman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There was no specific discussion between the parties to the effect that the watchman need not be provided by the owner. The plaintiff argues that there was a "a variation by conduct", or that "T.&amp; D.'s lack of complaint or comment concerning the lack of a watchman amounts to a waiver of that term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Allin, on behalf of T.&amp; D. Carter, says there was no variation or waiver of that term. He says that North King simply failed to put a watchman aboard throughout the relevant time, and failed to tell T.&amp; D. Carter that North King was not going to replace the watchman after November 3. T.&amp; D. Carter's contention is that a watchman would have been able to ensure that the moorage was safe or at least notify Mr. Wood promptly if it was not, and take required remedial steps after December 9 when the boom was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defendant says that the conduct of the parties could not amount to a binding variation of the agreement for the owner to provide a watchman because there was no suggested consideration for the alleged variation.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On waiver, the plaintiff relies on Saskatchewan River Bungalows Ltd. v. Maritime Life Assurance Co., </w:t>
      </w:r>
      <w:hyperlink r:id="rId217" w:history="1">
        <w:r>
          <w:rPr>
            <w:rFonts w:ascii="arial" w:eastAsia="arial" w:hAnsi="arial" w:cs="arial"/>
            <w:i/>
            <w:color w:val="0077CC"/>
            <w:sz w:val="20"/>
            <w:u w:val="single"/>
            <w:shd w:val="clear" w:color="auto" w:fill="FFFFFF"/>
            <w:lang w:val="en-US" w:eastAsia="en-US" w:bidi="ar-SA"/>
          </w:rPr>
          <w:t>[1994] 2 S.C.R. 490</w:t>
        </w:r>
      </w:hyperlink>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115 D.L.R. (4th) 478</w:t>
        </w:r>
      </w:hyperlink>
      <w:r>
        <w:rPr>
          <w:rFonts w:ascii="arial" w:eastAsia="arial" w:hAnsi="arial" w:cs="arial"/>
          <w:color w:val="000000"/>
          <w:sz w:val="20"/>
          <w:lang w:val="en-US" w:eastAsia="en-US" w:bidi="ar-SA"/>
        </w:rPr>
        <w:t>, where the Court said that an overly broad interpretation of the doctrine of waiver undermines contractual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Saskatchewan River, the Court considered whether an insurance company waived its right to compel timely payment in accordance with the terms of a policy and said at [paragraphs] 19-20: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Waiver occurs where one party to a contract or to proceedings takes steps which amount to foregoing reliance on some known right or defect in the performance of the other party: Mitchell and Jewell Ltd. v. Canadian Pacific Express Co., </w:t>
      </w:r>
      <w:hyperlink r:id="rId218" w:history="1">
        <w:r>
          <w:rPr>
            <w:rFonts w:ascii="arial" w:eastAsia="arial" w:hAnsi="arial" w:cs="arial"/>
            <w:i/>
            <w:color w:val="0077CC"/>
            <w:sz w:val="20"/>
            <w:u w:val="single"/>
            <w:shd w:val="clear" w:color="auto" w:fill="FFFFFF"/>
            <w:lang w:val="en-US" w:eastAsia="en-US" w:bidi="ar-SA"/>
          </w:rPr>
          <w:t>[1974] 3 W.W.R. 259</w:t>
        </w:r>
      </w:hyperlink>
      <w:r>
        <w:rPr>
          <w:rFonts w:ascii="arial" w:eastAsia="arial" w:hAnsi="arial" w:cs="arial"/>
          <w:color w:val="000000"/>
          <w:sz w:val="20"/>
          <w:lang w:val="en-US" w:eastAsia="en-US" w:bidi="ar-SA"/>
        </w:rPr>
        <w:t xml:space="preserve"> (Alta. S.C.A.D.); Marchischuk v. Dominion Industrial Supplies Ltd., </w:t>
      </w:r>
      <w:hyperlink r:id="rId219" w:history="1">
        <w:r>
          <w:rPr>
            <w:rFonts w:ascii="arial" w:eastAsia="arial" w:hAnsi="arial" w:cs="arial"/>
            <w:i/>
            <w:color w:val="0077CC"/>
            <w:sz w:val="20"/>
            <w:u w:val="single"/>
            <w:shd w:val="clear" w:color="auto" w:fill="FFFFFF"/>
            <w:lang w:val="en-US" w:eastAsia="en-US" w:bidi="ar-SA"/>
          </w:rPr>
          <w:t>[1991] 2 S.C.R. 61</w:t>
        </w:r>
      </w:hyperlink>
      <w:r>
        <w:rPr>
          <w:rFonts w:ascii="arial" w:eastAsia="arial" w:hAnsi="arial" w:cs="arial"/>
          <w:color w:val="000000"/>
          <w:sz w:val="20"/>
          <w:lang w:val="en-US" w:eastAsia="en-US" w:bidi="ar-SA"/>
        </w:rPr>
        <w:t xml:space="preserve"> (waiver of a limitation period). The elements of waiver were described in Federal Business Development Bank v. Steinbock Development Corp. </w:t>
      </w:r>
      <w:hyperlink r:id="rId220" w:history="1">
        <w:r>
          <w:rPr>
            <w:rFonts w:ascii="arial" w:eastAsia="arial" w:hAnsi="arial" w:cs="arial"/>
            <w:i/>
            <w:color w:val="0077CC"/>
            <w:sz w:val="20"/>
            <w:u w:val="single"/>
            <w:shd w:val="clear" w:color="auto" w:fill="FFFFFF"/>
            <w:lang w:val="en-US" w:eastAsia="en-US" w:bidi="ar-SA"/>
          </w:rPr>
          <w:t>(1983), 42 A.R. 231</w:t>
        </w:r>
      </w:hyperlink>
      <w:r>
        <w:rPr>
          <w:rFonts w:ascii="arial" w:eastAsia="arial" w:hAnsi="arial" w:cs="arial"/>
          <w:color w:val="000000"/>
          <w:sz w:val="20"/>
          <w:lang w:val="en-US" w:eastAsia="en-US" w:bidi="ar-SA"/>
        </w:rPr>
        <w:t xml:space="preserve"> (C.A.), cited by both parties to the present appeal (Laycraft J.A. for the court, at p. 236):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essentials of waiver are thus full knowledge of the deficiency which might be relied upon and the unequivocal intention to relinquish the right to rely on it. That intention may be expressed in a formal legal document, it may be expressed in some informal fashion </w:t>
      </w:r>
      <w:r>
        <w:rPr>
          <w:rFonts w:ascii="arial" w:eastAsia="arial" w:hAnsi="arial" w:cs="arial"/>
          <w:color w:val="000000"/>
          <w:sz w:val="20"/>
          <w:u w:val="single"/>
          <w:lang w:val="en-US" w:eastAsia="en-US" w:bidi="ar-SA"/>
        </w:rPr>
        <w:t>or it may be inferred from conduct</w:t>
      </w:r>
      <w:r>
        <w:rPr>
          <w:rFonts w:ascii="arial" w:eastAsia="arial" w:hAnsi="arial" w:cs="arial"/>
          <w:color w:val="000000"/>
          <w:sz w:val="20"/>
          <w:lang w:val="en-US" w:eastAsia="en-US" w:bidi="ar-SA"/>
        </w:rPr>
        <w:t>. In whatever fashion the intention to relinquish the right is communicated, however, the conscious intention to do so is what must be ascertained.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Waiver will be found only where the evidence demonstrates that the party waiving had (1) a full knowledge of rights; and (2) an unequivocal and conscious intention to abandon them. The creation of such a stringent test is justified since no consideration moves from the party in whose favour a waiver operates. An overly broad interpretation of waiver would undermine the requirement of contractual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Did the parties by their conduct show an unequivocal and conscious intention to abandon or waive the provision that the owner would provide a watchman? Given my conclusion that it follows from the provision of a watchman that the owner was primarily responsible for ensuring that the moorage was safe, the question is whether it can be inferred from the parties' conduct that T.&amp; D. Carter was accepting heightened responsibilities for the safety of the vessel's moorage.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What is the evidence relevant to the issue of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agreement between North King and T.&amp; D. Carter provided that there would be a watchman supplied by the owner. Mr. Barney, Mrs. Wood's son, was the first watchman. After October 29, North King replaced him with Mr. Wohlund, who was not only employed by North King as watchman but was also employed by T.&amp; D. Carter as a bull cook in the logging camp on 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T.&amp; D. Carter was not happy with him as a bull cook and its logging foreman dismissed him as a bull cook on November 3. He then left the Port Neville area. Apparently he was paid by T.&amp; D. Carter for all of his services, including those as a watchman, something that Mr. Carter did not know until during discovery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Ms. Fox was the new bull cook. She did not perform the tasks of a watchman, at least after the first week of November.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There was no discussion between North King and T.&amp; D. Carter about whether the watchman would be replaced after Mr. Wohlund was fired. North King, as of November 16, did not bill T.&amp; D. Carter for its share of the watchman when it billed in advance. Employees of T.&amp; D. Carter performed some of the duties that the watchman had performed on the Sea Lion VI, such as seeing that the day tank was pumped up with fuel each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It is unclear precisely when Mr. Carter and Mr. Wood personally knew that there was no watchman on board, although the fact that North King did not bill for a watchman after November 16 suggests that North King knew by that time. Mr. Wood acknowledged that he had a very bad memory. His evidence about when he was told about the absence of a watchman is not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find that certainly by the latter part of November, and likely earlier, both principals of North King and T.&amp; D. Carter were aware that there was not a watchman or a representative of North King on the Sea Lion VI. When Mr. Wood got back from hunting in late November, I find that he was clearly aware that there was no watchman on board and he acknowledged that in his evidence. He did not contact Mr. Carter regarding the lack of a watchman.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Likewise, T.&amp; D. Carter did not ask for Mr. Wohlund to be replaced and did not complain that there was no watchman on the Sea Lion 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Wood denied that on November 10 he put insurance on in place of a watchman. North King says that it simply did not replace the watchman after Mr. Wohlund was fired.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Was there a variation of the contract? Objectively, the presence of a watchman served somewhat different purposes for the two parties. For the owner it provided some security that the vessel would be safe and safely moored. If there was difficulty with the moorage the problem could be addressed immediately by a knowledgeable person, the owner's representative. For the hirer, the watchman provided some assistance with the vessel so that the hirer could properly use it for accommodation. Hence, the agreement to split the cost made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think that T.&amp; D. Carter, by early November, was able to do tasks which had been the watchman's tasks, such as pumping up the day tank, and therefore no longer needed the watchman. It was for this reason that it took over the watchman's tasks -- not from any acceptance of more obligations or heightened responsibility for the safe moorage of the vessel. I find that from North King's perspective, Mr. Wood probably felt that the vessel was secure and that a watchman was probably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find that the fact that the watchman was not replaced was a result of the failure of the owner to replace him. If he had been replaced, T.&amp; D. Carter would have paid for its share of the cost. I think that the owner did not replace him because it felt that the moorage was safe, simply never got around to it, and felt some comfort from having insurance. In all the circumstances, it is fair to infer from the evidence that one of the reasons that Mr. Wood did not take steps to replace the watchman was the comfort he had from knowing he had insurance in place for the vessel at Port Neville after November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There was no assurance by the logging contractor that it would look after the safe moorage of the vessel. The logging company simply did not complain about the fact that there was no watchman there. Waiver has not been made out, nor has estoppel, although the latter was not specifically argued by the plaintiff. There was no variation of the contract. I find that it is not inequitable for T.&amp; D. Carter to rely on the contract as entered into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T.&amp; D. Carter's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Was there an implied obligation for the care of the vessel on the part of T.&amp; D. Carter?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As Fridman says in The Law of Contract in Canada, 3rd ed. (Scarborough, Ont.: Carswell, 1994) at 476, "In determining the intention of the parties, attention must be paid to the express terms of the contract in order to see whether the suggested implication is necessary and fits in with what has clearly been agreed upon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Given the provision of the watchman and the fact that under the agreement the owner would moor and secure the vessel, I do not think it was the hirer's obligation to take steps to ensure the moorage was safe or secure.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Was there an implied term that required T.&amp; D. Carter to notify the owner that the logging had ended, that the vessel was not occupied, or that the log boom was gone, and that the manner in which the vessel was moored had changed? I think that it was an implied obligation of the hirer, T.&amp; D. Carter, to take reasonable care in its use of the vessel and to ensure that its use did not damage the vessel. As well, it was an implied term of the agreement that the hirer would notify the owner when the logging was finished so that it could take the vessel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Was there however an implied obligation to notify or warn the owner if the vessel was in danger or possibly in danger? Even if the owner was fully performing its contract, there would be times when the watchman was not at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find, applying the London Drugs test as to implied terms, supra, that it was an implied term that if the vessel was, to T.&amp; D. Carter's knowledge, in possible danger, then T.&amp; D. Carter had an obligation to take reasonable steps to bring that danger to the owner's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T.&amp; D. Carter in breach of any implied obligation under the bailment contract with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Let me first address the argument that T.&amp; D. Carter failed to notify North King in a timely way that the logging was finished. The evidence indicates that by December 6 or 7, Mr. Carter knew that the logging was going to be finished on or about December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At the outset, the anticipated rental was until mid-December. On the morning of December 9, North King was told by T.&amp; D. Carter that the logging had ended and that it could pick up the vessel. The evidence indicates that North King started to make arrangements to contact a mariner, Captain Heavenor, to bring the vessel back, but that the plaintiff made no inquiries of T.&amp; D. Carter whether the vessel was empty or whether the booming ground was still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am not persuaded that the defendant breached the obligation to give reasonable notice to the plaintiff that the logging was complete. I think that the notice it gave that the logging was done was reasonable. Moreover, if it was important to the plaintiff whether the vessel was still occupied or whether the booming ground was still there, it could have asked the logging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other obligations that are allegedly implied are also obligations of notice. They are the alleged obligation to provide notice of the fact that the vessel was empty, that the boom was gone, and that the vessel had shifted and may be at risk. Given the term of the contract requiring a watchman, and the fact that the plaintiff had moored the vessel, I do not think there was an implied term requiring notice that the vessel was empty or the boom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pause to note that had the plaintiff discharged its obligation to have a watchman on board, as it was required by contract to do, it would have been aware at an early time of the fact that the boom was gone and the effect of that on the moorage over the next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plaintiff was not attentive when it came to the care of the Sea Lion VI. It did not take steps to send up a watchman after it was aware that the watchman was no longer on site. It had not trained T.&amp; D. Carter to ensure that the vessel was safely moored. It had no information that T.&amp; D. Carter employees were skilled as mariners in this respect. The notice that it received suggested that the plaintiff could pick up the vessel forthwith. It did not inquire whether the defendant needed the vessel any longer. It did not ask if the booming ground was still there when it received notice on December 9 that it could attend to pick up the vessel. These are matters that I must address when considering whether North King was contributorily negligent and the allocation of fault if I conclude that there was a breach of an implied obligation under the contract of bailment.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Assuming that the defendant has an implied obligation under the bailment contract to use reasonable care for the safety of the vessel to provide notice to the plaintiff when there is possible danger, has it breached that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Let me return to the evidence regarding the circumstances after December 9, 2000. The logging had finished but T.&amp; D. Carter had a skeletal crew which was winding things up. T.&amp; D. Carter's foreman, Mr. Stubbs, says that he was on the vessel twice a day. He pumped fuel into the day tank and made sure the auxiliary generator on the Sea Lion VI was operating. He was aware that the booming ground was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On the morning of December 11, Mr. Rumley of T.&amp; D. Carter observed that the vessel had shifted its position with the bow swinging outward toward the mouth of the inlet in a southwesterly direction. Mr. Rumley phoned Mr. Carter at 8:03 a.m. He thought that the vessel had dragged its anchor and he reported this to Mr. Carter. Mr. Rumley was not aware of a shoal to the starboard or west of the vessel. Mr. Simmonds, who had flown in on December 9, on December 11 came down from the hill into the camp later in the morning and made the same observation as Mr. Rumley, including the fact that he felt "the vessel was trying to leave the inlet", and he reported this fact to Mr. Carter at 10:46 a.m. The observations made by Mr. Rumley and Mr. Simmonds were significant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Carter did not instruct Mr. Rumley or Mr. Simmonds to do anything. Earlier in this judgment I have made findings about Mr. Carter's phone call on December 11 shortly after 2:00 p.m. to North 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Wood was told immediately by his wife that Mr. Carter had called, and that the vessel, while not up on the beach, was parallel to the beach. Mr. Wood, if in fact there was a serious risk, was aware of it, I find, when he received this information. He would have known that the anchor had shifted and at least one of the stern lines from the vessel was undone. Mr. Wood, by that time, was also aware that the vessel was no longer moored to the boom and that the boom was probably gone. He was generally aware of the depth of the waters close to shore. He did not make any effort to contact anyone on shore to discuss the situation or ask them to take any preventive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T.&amp; D. Carter was not a company with marine experience. When it told the plaintiff that the vessel was at an angle, it was not told by the plaintiff of the steps that it should take to make the moorage secure. The plaintiff says that once the vessel had swung, T.&amp; D. Carter breached its obligation to the plaintiff in doing nothing to protect it: it did not seek the assistance of anyone in the area; did not use its crew boat to push the vessel perpendicular; did not seek advice; and did not tie a line from the vessel to heavy equipment on shore that would have prevented it from shifting to starboard. I do not find that T.&amp; D. Carter was in breach of any obligation in not taking any such positive steps once the vessel had swung. It is telling that the more marine-sophisticated party, North King, did not suggest that T.&amp; D. Carter do any of these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submits that if T.&amp; D. Carter had given notice to the plaintiff earlier that the vessel had shifted, the damage would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T.&amp; D. Carter was aware by just after 8:00 a.m. the morning of December 11 that the vessel had shifted. Mr. Carter knew or should have known this was a significant matter. Yet he did not notify the plaintiff until the early afternoon, several hours after he had received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Would North King have acted differently if it received earlier notice? If it had notice in the morning, Mr. Wood could have flown to Port Neville or sent a tug, or provided direction to someone on site, and the damage likely would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Wood did not contact Mr. Carter on December 11 to get more information once he learned that the vessel had moved and he knew that important lines were no longer in place. He assessed the fact that the vessel had moved but he concluded, in light of the fact that it was already mid-afternoon, that it was something that he could deal with in the morning. If he had concluded that it was something that needed immediate attention, Mr. Wood could have contacted Mr. Carter or someone at the site or tried to make arrangements to get a tug up there to assist the Sea Lion 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find that the plaintiff was not reassured by Mr. Carter's comments that the vessel was all right. I find that he could not reasonably rely on Mr. Carter's comments. At the time Mr. Wood knew that a line was off and was aware that there were very shallow waters not far off the starboard side of the vessel. Mr. Wood was a better judge of the risk faced by the vessel than the T.&amp; D. Carter employees on site were, but he felt that he could leave it until the morning, which was the earliest time he could get there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have concluded that T.&amp; D. Carter was aware early in the morning of December 11 that the vessel was potentially at risk but T.&amp; D. Carter failed to take reasonable steps to notify the owner of that danger promptly. As a result, the owner did not have the realistic opportunity to fly in to Port Neville that day, even though there were other steps the owner might have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For that reason, I find that T.&amp; D. Carter was in breach of its implied obligation under the contract and that contributed to the damage that the Sea Lion VI suffered.</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Gowlland Towing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question of the liability of Gowlland Towing starts with an analysis of its legal relationship to the Sea Lion VI when it removed its lines to the booming ground on December 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Was North King a trespasser on the booming ground of Ashlaur Trading by having its lines tied to the booming ground? Did Gowlland owe a duty of care to the plaintiff and, if so, what was the nature of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boom that Gowlland Towing was hired to remove belonged to Ashlaur Trading, the company that T.&amp; D. Carter had contracted with to log in the area. North King had simply tied up to the boom. North King did not seek or receive permission from Ashlaur Trading or Gowlland Towing to tie up to the boom. Mr. Saunders, the president of Ashlaur, indicated in his evidence that although he did not know that the vessel was tied to the boomsticks, he probably would not have objected had he been asked. This evidence, of course, was given after the fact. Mr. Saunders, and in fact Captain Dolmage, said that accommodation units are often tied to booming grounds and they are often tied without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However, the evidence indicates that, while it is not an uncommon practice for vessels to tie to a boom for moorage, particularly overnight, it is not common for owners of vessels to leave their vessels tied to a log boom for any length of time beyond that. It is a practice, I find, that is restricted to overnight tie-ups.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do not have to decide whether North King had any implied licence in the circumstances to be tied to the booming ground because the time period that the Sea Lion VI was there was far outside what could be referred to as the normal or usual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Even if Ashlaur Trading would likely have consented, if asked, at the time there was no express or implied consent to North King tying the Sea Lion VI to the log boom.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T.&amp; D. Carter, in any event, did not have authority to grant permission to North King to tie the vessel up to the booming ground nor was it suggested that it did have that authority or had purported to exercise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Given the absence of any express or implied consent to be tied to the boom, I find that the lines of the Sea Lion VI were a trespassing chattel on the booming ground when Gowlland Towing arrived at Port Neville on December 8 to finalize the booming of the logs and to remove the booming ground. As indicated in Clerk and Lindsell on Torts, 18th ed. (London: Sweet &amp; Maxwell, 2000) at [paragraph] 14, "... the wrong of trespass includes any unpermitted contact with or impact upon another's chattel".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If North King was a trespasser, Gowlland Towing says that as a bailee from Ashlaur Trading (as I find that it was), having rightful possession of goods, it was entitled to exercise remedies in trespass when a trespass occurs to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Gowlland Towing argues that it had no duty to acquiesce in the trespass and owed a very low duty to a trespasser at common law. Gowlland Towing says that the duty was discharged by warning those in the vicinity that the boom was about to be moved before removing the lines to the booming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Given that North King was in law a trespasser, what duty did Gowlland Towing owe it when it removed the lines that were trespassing? The answer to this question involves a consideration of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Cases concerning the duty owed to a trespasser are often cases of trespass to land, often by children and sometimes by adults, rather than a trespass to chattels by a chattel as is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In Tort Law, 3rd ed. (Toronto: Carswell, 2003), Professor Klar discusses the common law duty owed to a trespasser which provides some useful background. He discusses approaches which ameliorated the traditional duty to trespassers, which was expressed in Robert Addie &amp; Sons v. Dumbreck, [1929] A.C. 358 (H.L.) at 365, that "[t]here must be some act done with the deliberate intention of doing harm to the trespasser, or at least some act done with reckless disregard of the presence of the trespasser" (at 534). Professor Klar speaks of three approaches to avoid this indifferent attitude towards trespassers: the first, to reclassify trespassers as licensees, especially in the case of children; the second, to distinguish between injuries caused by the condition of the premises (to which the duty formulated in the Addie case was applied), as contrasted with "the ordinary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duty of care ... owed to the trespasser with respect to injuries suffered as a result of the occupier's </w:t>
      </w:r>
      <w:r>
        <w:rPr>
          <w:rFonts w:ascii="arial" w:eastAsia="arial" w:hAnsi="arial" w:cs="arial"/>
          <w:i/>
          <w:color w:val="000000"/>
          <w:sz w:val="20"/>
          <w:lang w:val="en-US" w:eastAsia="en-US" w:bidi="ar-SA"/>
        </w:rPr>
        <w:t>activities</w:t>
      </w:r>
      <w:r>
        <w:rPr>
          <w:rFonts w:ascii="arial" w:eastAsia="arial" w:hAnsi="arial" w:cs="arial"/>
          <w:color w:val="000000"/>
          <w:sz w:val="20"/>
          <w:lang w:val="en-US" w:eastAsia="en-US" w:bidi="ar-SA"/>
        </w:rPr>
        <w:t>" [emphasis added]. He then says, at 536: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third approach to trespassers which greatly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ameliorated their common law position was introduced in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 Ry. Bd. v. Herrington, [1972] A.C. 877 (H.L.). As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have so many of the important occupiers' liability cases,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Herrington case involved a child plaintiff who was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injured while trespassing on railway property. Rather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than applying the narrow duty owned [sic] by occupiers to</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trespassers formulated by Robert Addie &amp; Sons v.</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Dumbreck, the Lords developed a new duty, that of</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ordinary or common humanity. In arriving at its decision,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Lords agreed on certain points. They rejected as 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fiction the approach which reclassified child trespassers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licensees with implicit permission to be on the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property. They adopted, as the duty owed to trespassers,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duty of common humanity, which, although undefined,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 taken to fall somewhere between the low duty of Addie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the general duty of Donoghue v. Stevenson, [1932] A.C. 562. Unlike the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ordinary duty of care, which is tested objectively, the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duty of common humanity is a subjective one, examined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from the specific occupier's perspective. It depends 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that occupier's knowledge, ability and resources. It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essentially balances the court's desire to treat the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trespasser with compassion, especially when that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trespasser is a child, with its realization that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occupiers ought not to be unfairly burdened by unwanted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visitors. The duty is also premised on the fact that the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occupier knew, or ought to have known, of the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trespasser's presence. In Pannett v. McGuiness &amp; Co.,</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[1972] 3 W.L.R. 387 (C.A.), Lord Denning enumerated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those factors relevant to the determination. These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included the gravity and probability of the injury, the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character of the intrusion, the nature of the place and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foreseeability of the trespasser.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The Supreme Court of Canada considered the duty owed to a trespasser in Veinot v. Kerr-Addison Mines Ltd., </w:t>
      </w:r>
      <w:hyperlink r:id="rId221" w:history="1">
        <w:r>
          <w:rPr>
            <w:rFonts w:ascii="arial" w:eastAsia="arial" w:hAnsi="arial" w:cs="arial"/>
            <w:i/>
            <w:color w:val="0077CC"/>
            <w:sz w:val="20"/>
            <w:u w:val="single"/>
            <w:shd w:val="clear" w:color="auto" w:fill="FFFFFF"/>
            <w:lang w:val="en-US" w:eastAsia="en-US" w:bidi="ar-SA"/>
          </w:rPr>
          <w:t>[1975] 2 S.C.R. 311</w:t>
        </w:r>
      </w:hyperlink>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51 D.L.R. (3d) 533</w:t>
        </w:r>
      </w:hyperlink>
      <w:r>
        <w:rPr>
          <w:rFonts w:ascii="arial" w:eastAsia="arial" w:hAnsi="arial" w:cs="arial"/>
          <w:color w:val="000000"/>
          <w:sz w:val="20"/>
          <w:lang w:val="en-US" w:eastAsia="en-US" w:bidi="ar-SA"/>
        </w:rPr>
        <w:t>, and accepted the duty of common humanity. In that case, the plaintiff snowmobiler and his wife suffered serious injuries when they struck a pipe 45 inches off the ground secured in posts on either side of the roadway on the defendant's property. Although the jury found that there was implied permission to enter the property, the Supreme Court of Canada addressed the issue of the defendant's liability if Mr. Veinot was a trespasser and held that in those circumstances his appeal should succeed as well. The duty to a trespasser was described this way by Mr. Justice Dickson, as he then was, at 321-322: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enquiry must be as to whether his presence on the ploughed road could reasonably have been anticipated for, if so, the company owed him a duty and that duty was to treat him with ordinary humanity.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As Mr. Justice Dickson noted at 316, in the words of Lord Pearson: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the presence of the trespasser is known to or reasonably to be anticipated by the occupier, then the occupier has a duty to the trespasser, but it is a lower and less onerous duty than the one which the occupier owes to a lawful visitor.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Madam Justice Rowles in Anderson v. Whitepass, </w:t>
      </w:r>
      <w:hyperlink r:id="rId222" w:history="1">
        <w:r>
          <w:rPr>
            <w:rFonts w:ascii="arial" w:eastAsia="arial" w:hAnsi="arial" w:cs="arial"/>
            <w:i/>
            <w:color w:val="0077CC"/>
            <w:sz w:val="20"/>
            <w:u w:val="single"/>
            <w:shd w:val="clear" w:color="auto" w:fill="FFFFFF"/>
            <w:lang w:val="en-US" w:eastAsia="en-US" w:bidi="ar-SA"/>
          </w:rPr>
          <w:t>[1994] Y.J. No. 9</w:t>
        </w:r>
      </w:hyperlink>
      <w:r>
        <w:rPr>
          <w:rFonts w:ascii="arial" w:eastAsia="arial" w:hAnsi="arial" w:cs="arial"/>
          <w:color w:val="000000"/>
          <w:sz w:val="20"/>
          <w:lang w:val="en-US" w:eastAsia="en-US" w:bidi="ar-SA"/>
        </w:rPr>
        <w:t xml:space="preserve"> (C.A.), referred to Veinot and other cases that I have mentioned involving trespassers, in a context where there was no occupiers' liability legislation. She summarized the duty owed to trespassers this way, at [paragraph]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 following propositions may be extracted from the cases to which I have referred. The basic duty occupiers owe to trespassers is not to harm them either intentionally or recklessly, regardless of the knowledge or forseeability of their presence. An additional duty, a duty of common or ordinary humanity, arises when the presence of trespassers on the property is foreseeable. Once it arises, this duty is limited to taking reasonable steps to enable trespassers to avoid danger. What is reasonable depends on the nature and the degree of the danger and on the knowledge, skill and resources of the occupier. Occupiers can usually fulfil their duty by simply warning of the danger or, especially in the case of children, by physically excluding them from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the case at bar, there was, of course, no issue that the trespasser was unknown and, I find,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question therefore is whether Gowlland Towing acted intentionally to harm the Sea Lion VI, recklessly or without common humanity.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Counsel referred me to cases that did not directly address the issues in terms of the duty of common humanity, absence of intent or recklessness, but were cases where parties exercised self-help remedies or took steps to alter the moorage of a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Regarding the right to exercise self-help remedies to remove a trespasser, counsel cited Stewart v. Gustafson </w:t>
      </w:r>
      <w:hyperlink r:id="rId223" w:history="1">
        <w:r>
          <w:rPr>
            <w:rFonts w:ascii="arial" w:eastAsia="arial" w:hAnsi="arial" w:cs="arial"/>
            <w:i/>
            <w:color w:val="0077CC"/>
            <w:sz w:val="20"/>
            <w:u w:val="single"/>
            <w:shd w:val="clear" w:color="auto" w:fill="FFFFFF"/>
            <w:lang w:val="en-US" w:eastAsia="en-US" w:bidi="ar-SA"/>
          </w:rPr>
          <w:t>(1998), 171 Sask. R. 27</w:t>
        </w:r>
      </w:hyperlink>
      <w:r>
        <w:rPr>
          <w:rFonts w:ascii="arial" w:eastAsia="arial" w:hAnsi="arial" w:cs="arial"/>
          <w:color w:val="000000"/>
          <w:sz w:val="20"/>
          <w:lang w:val="en-US" w:eastAsia="en-US" w:bidi="ar-SA"/>
        </w:rPr>
        <w:t xml:space="preserve"> (Q.B.) at 41-42. In that case, the plaintiffs had left their chattels on real property that they had sold to the defendants. Klebuc J. referred to Professor John Fleming in The Law of Torts, 7th ed. (Sydney: Law Book Company, 1987) at 39-40, where the author discussed the legal status of a chattel left on another's land, and continued on to discuss self-help remedies: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a structure or other object is placed on another's land, not only the initial intrusion but also failure to remove it constitute an actionable wrong. There is a "continuing trespass" as long as the object remains; and on account of it both a subsequent transferee of the land may sue and a purchaser of the offending chattel or structure be liable, because the wrong gives rise to actions de die in diem until the condition is abated. Likewise, if the chattel was initially placed on the land with the possessor's consent, termination of the licence creates a duty to remove it; and it seems that, according to modern authority, a continuing trespass is committed by failure to do so within a reasonable time. In all these cases, the plaintiff may maintain successive actions, but in each damages are assessed only as accrued up to the date of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addition, the time involved in prosecuting the same may be unacceptable where the proprietor requires the land or premise occupied by the trespassing chattel. The following question arises: </w:t>
      </w:r>
      <w:r>
        <w:rPr>
          <w:rFonts w:ascii="arial" w:eastAsia="arial" w:hAnsi="arial" w:cs="arial"/>
          <w:color w:val="000000"/>
          <w:sz w:val="20"/>
          <w:u w:val="single"/>
          <w:lang w:val="en-US" w:eastAsia="en-US" w:bidi="ar-SA"/>
        </w:rPr>
        <w:t>Does the proprietor have limited right of self-help</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decision in Cameron [v. Morang et al. </w:t>
      </w:r>
      <w:hyperlink r:id="rId224" w:history="1">
        <w:r>
          <w:rPr>
            <w:rFonts w:ascii="arial" w:eastAsia="arial" w:hAnsi="arial" w:cs="arial"/>
            <w:i/>
            <w:color w:val="0077CC"/>
            <w:sz w:val="20"/>
            <w:u w:val="single"/>
            <w:shd w:val="clear" w:color="auto" w:fill="FFFFFF"/>
            <w:lang w:val="en-US" w:eastAsia="en-US" w:bidi="ar-SA"/>
          </w:rPr>
          <w:t>(1978), 32 N.B.R. (2d) 22</w:t>
        </w:r>
      </w:hyperlink>
      <w:r>
        <w:rPr>
          <w:rFonts w:ascii="arial" w:eastAsia="arial" w:hAnsi="arial" w:cs="arial"/>
          <w:color w:val="000000"/>
          <w:sz w:val="20"/>
          <w:lang w:val="en-US" w:eastAsia="en-US" w:bidi="ar-SA"/>
        </w:rPr>
        <w:t xml:space="preserve"> (Co. Ct.)] is inconsistent with numerous authorities that recognize a proprietor's limited right of self- help, including R. v. Howson </w:t>
      </w:r>
      <w:hyperlink r:id="rId225" w:history="1">
        <w:r>
          <w:rPr>
            <w:rFonts w:ascii="arial" w:eastAsia="arial" w:hAnsi="arial" w:cs="arial"/>
            <w:i/>
            <w:color w:val="0077CC"/>
            <w:sz w:val="20"/>
            <w:u w:val="single"/>
            <w:shd w:val="clear" w:color="auto" w:fill="FFFFFF"/>
            <w:lang w:val="en-US" w:eastAsia="en-US" w:bidi="ar-SA"/>
          </w:rPr>
          <w:t>(1966), 55 D.L.R. (2d) 582</w:t>
        </w:r>
      </w:hyperlink>
      <w:r>
        <w:rPr>
          <w:rFonts w:ascii="arial" w:eastAsia="arial" w:hAnsi="arial" w:cs="arial"/>
          <w:color w:val="000000"/>
          <w:sz w:val="20"/>
          <w:lang w:val="en-US" w:eastAsia="en-US" w:bidi="ar-SA"/>
        </w:rPr>
        <w:t xml:space="preserve"> (Ont.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Howson, the Court considered the obligations of a parking lot owner and particularly of a person who had towed away and impounded a motor vehicle at the request of a parking lot owner. In obiter, Laskin J.A. at p. 593 suggested that, "[c]learly, he [the parking lot owner] was entitled to remove it [the motor vehicle] from the lot, as by placing it on the street at the curb." He further noted that the parking lot operator, upon carrying out such action, may have a duty of care to those who may be affected by the placing of the motor vehicle on the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burden of establishing the requisite cost-benefit rests with the proponent thereof. </w:t>
      </w:r>
      <w:r>
        <w:rPr>
          <w:rFonts w:ascii="arial" w:eastAsia="arial" w:hAnsi="arial" w:cs="arial"/>
          <w:color w:val="000000"/>
          <w:sz w:val="20"/>
          <w:u w:val="single"/>
          <w:lang w:val="en-US" w:eastAsia="en-US" w:bidi="ar-SA"/>
        </w:rPr>
        <w:t>Thus, such remedy is not without risk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Put differently, Gowlland Towing, although it has the option of exercising its self-help remedies, must also bear the risks and duties associated with doing so. However, this case, while suggesting that a person who removes a trespasser may owe a duty of care, does not shed further light on the scope of that duty of care vis-à-vis the trespassing chattel.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North King says guidance may also be found in cases where the moorage of a secure and safely moored vessel has been changed. The plaintiff says that when a person unties a vessel, it has an obligation to make it secure or ensure that it is re-secured.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The plaintiff relies on Wolverine Steamship Co. v. Canadian Dredging Co. </w:t>
      </w:r>
      <w:hyperlink r:id="rId226" w:history="1">
        <w:r>
          <w:rPr>
            <w:rFonts w:ascii="arial" w:eastAsia="arial" w:hAnsi="arial" w:cs="arial"/>
            <w:i/>
            <w:color w:val="0077CC"/>
            <w:sz w:val="20"/>
            <w:u w:val="single"/>
            <w:shd w:val="clear" w:color="auto" w:fill="FFFFFF"/>
            <w:lang w:val="en-US" w:eastAsia="en-US" w:bidi="ar-SA"/>
          </w:rPr>
          <w:t>(1930), 65 O.L.R. 641</w:t>
        </w:r>
      </w:hyperlink>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[1930] O.J. No. 155</w:t>
        </w:r>
      </w:hyperlink>
      <w:r>
        <w:rPr>
          <w:rFonts w:ascii="arial" w:eastAsia="arial" w:hAnsi="arial" w:cs="arial"/>
          <w:color w:val="000000"/>
          <w:sz w:val="20"/>
          <w:lang w:val="en-US" w:eastAsia="en-US" w:bidi="ar-SA"/>
        </w:rPr>
        <w:t xml:space="preserve"> (H.C.J.) and The "Thames III" and the "K.B.S." (1928), 31 Lloyd's L.R. 274.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Wolverine Steamship, damages were awarded when a vessel was moved from a secure berth to a less secure side of a canal where it was more exposed, and suffered damage. The plaintiff's vessel had been seized by the Crown and was moored in the Welland Canal. The defendant company needed the berth for a dump and, with the Harbour Master's permission, moved the plaintiff's vessel, agreeing to return it to its original berth later. In fact, the vessel was not returned to the original berth and was not moored securely in the new berth. After some months, the moorings broke and the vessel sustained damage. The Court held that whatever the relationship between the parties (contractual or otherwise), the defendant had assumed custody of the vessel without colour of right and had a duty, at the lowest, when it moved the vessel from a safe berth to an unsafe berth, to keep the vessel safe ([paragraph] 14). The defendant was negligent and liable for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The "Thames III" and the "K.B.S.", the plaintiff's barge was securely moored by tying at the bow to a barge which was on the inside berth of the wharf, and at the stern to the Thames III. The tug, K.B.S., came to take away the Thames III. The Court found that there was not enough evidence to make a finding about the liability of the K.B.S., but that someone on the Thames III had untied the line to the plaintiff's barge, which then swung out into the river and sustained damage. The Court held that the owner of the Thames III was negligent in letting the plaintiff's barge go, knowing that it was moored in the river and when there was no necessity to do so. There was some evidence that the master of the Thames III had said that the line from the barge to the Thames III had been tied by the plaintiff without the knowledge of the Thames III crew; however, the Court did not discuss the issue of whether the plaintiff's barge was a trespasser.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These cases, where the moorage of a vessel was changed, are of limited assistance because they do not discuss the scope of the duty of care where the plaintiff vessel was trespassing and the defendant was acting under colour of right in removing the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Did Gowlland Towing act in breach of the duty that was owed to the plaintiff in the circumstances? That duty, I find, that is owed to a trespasser or a trespassing chattel is to not intentionally harm the plaintiff, act recklessly or without common humanity.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plaintiff's position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It alleges that Gowlland Towing did not ensure that the vessel was adequately moored when it removed the boom; the inspection of the vessel was cursory; Gowlland Towing failed to take steps to notify the people on shore immediately that it would shortly be removing the booming ground; Gowlland Towing removed the booming ground when it appeared to be a surprise to the person on shore without determining why he was surprised; and Gowlland Towing's employee did not know the identity or capacity of the person to whom he spoke.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plaintiff's allegation is that Gowlland Towing should never have removed the log boom without somehow notifying the owner of the Sea Lion VI and should have at least left the stiff leg of the booming ground in place as its removal left the vessel fully exposed to the current and wind.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When Gowlland Towing's crew arrived at Port Neville on December 8, Captain Sweeney had a discussion with Mr. Wheeler of Gowlland Towing but did not tell him that the vessel was tied to the boomsticks. They had that discussion on the morning of December 9. By that time, I expect that it was apparent to all in the vicinity that Gowlland Towing was readying the boom for removal, although Gowlland Towing did not tell anyone responsible for the Sea Lion VI or anyone on shore of that fact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Wheeler and Captain Sweeney discussed the question of untying the lines to the boom. Mr. Wheeler thought it was all right to untie the lines if Captain Sweeney thought it would be safe to do so. In accordance with his employer's direction, Captain Sweeney had Mr. Gardiner tell someone on shore that they were towing the booming ground away. Mr. Gardiner did so shortly before 10:30 a.m. Gowlland Towing's personnel did not specifically seek out the person in charge of the Sea Lion VI or attempt to contact the owner of the vessel. Mr. Gardiner got a surprised reaction from the person he spoke with, and did not know his relationship to the Sea Lion VI, but had seen him just leave the vessel. No one on shore asked Gowlland to leave boomsticks in place for the vessel to be tied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Captain Sweeney and Mr. Gardiner checked to see whether the vessel was safely moored. Captain Sweeney found that it had two stern lines under tension and that the vessel was anchored by the bow. Captain Sweeney testified that when he untied the lines, the vessel did not move discernibly. On the evidence, I find that the vessel did not move away from the beach, or to or away from the boom. Captain Sweeney said the anchor appeared to be under tension, as were the two stern lines, and that the lines to the boomsticks were not under tension while the Gowlland Chief employees worked in the area of the Sea Lion 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inspection of the lines from the boom, the shore and the vessel was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tow of the booms and the winder to Port Hardy began at 11:30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Captain Sweeney, who thought the vessel was safe, had never dealt with a vessel the size of the Sea Lion VI. He had never anchored a vessel on his own to the beach before. If Captain Sweeney had left the boomsticks where they were, something which after the fact the owner of the boomsticks indicated was "no big deal" (although it would involve a return trip and some cost), the damage to the vessel would not have occurred. Similarly, if Captain Sweeney or Mr. Gardiner had made the effort to contact the vessel's owner and tell it that they were removing the boomsticks, then the owner may have taken some steps to ensure the Sea Lion VI remained safely moored.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question is whether the failure of the defendant Gowlland Towing to notify the owner, ensure the vessel was secure if it changed the moorage, or leave a boom log in place, amounts to a breach of what I have decided is the duty owed to North King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find that Gowlland Towing did not breach the standard of care not to intentionally harm the plaintiff, be reckless, or act in breach of the duty of common humanity.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Gowlland Towing clearly did not intentionally harm the Sea Lion VI. It took steps to see that the moorage appeared safe after the lines were disconnected, and took some steps to notify the persons apparently in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find that Gowlland Towing did not act in breach of the duty of common humanity. In good faith, it attempted to notify someone on shore connected with the vessel, and was mindful of the need to leave the vessel secure.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Although there was more that Gowlland Towing might have done, I do not think that it was necessary to go on board the Sea Lion VI to check on the anchor from that vantage point or to use a boat to push the Sea Lion VI against its anchor to satisfy the duty that it owed the plaintiff. Those steps go beyond what I think was required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Upon a consideration of all of the evidence, I do not find the actions of Gowlland Towing reckless. It turns out that more than 48 hours after the boom was removed, its assessment of what was required for the secure moorage of the vessel proved to be incorrect, but while the steps it took might be characterized as lacking reasonable care, I do not find that they could be characterized as reckless.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find that the defendant Gowlland Towing was not in breach of the standard of care that it owed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If the standard of care for the duty owed to North King by Gowlland Towing were a higher standard, that of reasonable care, I would have found that Gowlland Towing did not meet that standard. Given that the vessel was moored with three port lines, it could have waited to ensure that the Sea Lion VI was removed or left the stiff leg there and returned later to pick it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When Captain Sweeney found the vessel tied to the log boom, that in itself was not an uncommon situation. What was unusual was the fact that the owner was not there to take the vessel immediately. I think had Captain Sweeney and Mr. Gardiner given the matter more consideration they would have thought that when the tide runs out, the lines on the port side of the vessel may be important for the vessel's safe moorage. Captain Sweeney could have ensured that the owner or person responsible for the vessel had been notified of the removal in order to take steps they felt to be necessary to protect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find that in not taking greater steps to notify the person in possession or in charge of the Sea Lion VI, nor leaving a boomstick to ensure that the vessel was safe or other moorage plans made, when it appeared the boomstick had, for some time, been an integral part of the moorage, Gowlland Towing did not act with reasonable care. However, that is not the standard, as I understand the law, that is applicable in these circumstances, and Gowlland Towing did not breach the requisite standard of care.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and Allocation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I will consider whether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and if so the apportionment of fault between T.&amp; D. Carter and North King. As part of that process, I will also consider what I would have ordered had I found liability on the part of Gowlland Towing.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Gowlland Towing's contention is that even if it were negligent,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the proximate cause of any loss, because it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either North King or T.&amp; D. Carter, or both, after the boom was removed around December 9, 2000 until December 11, 2000, at 20:00 that caused the Sea Lion VI to fill with water and sink. Alternatively, if that submission is not accepted and there is liability on the part of Gowlland Towing, Mr. McEwan says that liability is several and its share of fault should be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As noted earlier, I have concluded that the failure of T.&amp; D. Carter to promptly notify the owner that the moorage had changed and the vessel may be at risk, contributed to the damage suffered by the Sea Lion 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Was North King contributorily negligent? T.&amp; D. Carter argues that the damage was caused by North King's: failure to keep a watchman on board; failure to leave the bilge pumps on; unsafely mooring the vessel on October 26, without the assistance of a licensed mariner; failure to place a watchman on board when it realized the logging was done and should have known that the crew was no longer on board, notwithstanding its knowledge of the expected tide and current situation; failure to act expeditiously when advised the vessel was no longer required; failure to act expeditiously when it was aware that the booming ground was taken away; and failure to take any steps or to ask others to take steps when it was advised the vessel had shifted.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I find that the plaintiff was contributorily negligent and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damage to the Sea Lion VI. North King moored the vessel very close to shore when it moved it on October 26 without the assistance of an expert mariner. The vessel was moored in close proximity to shallow water to the west of the vessel, and the plaintiff was aware of the flow of the currents in the area. I find on the evidence that North King was not adequately mindful of the risk of mooring the vessel in shallow water. It failed to properly sound the area, particularly the area to the southwest. The owner did not ask permission to tie the vessel to the booming ground and ought to have been aware that there was a probability or at least a serious possibility that the booming ground would be removed with little, if any, notice at around the time the logging was completed. It never requested any assurance that it would be given time to remove the vessel if the boom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Moreover, North King undertook by its agreement with T.&amp; D. Carter to have a watchman on the vessel, presumably to deal with questions of the safety of moorage and of the vessel, but failed to ensure that a watchman remained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When the plaintiff became aware that the logging was complete on December 9 and it could get its vessel, it did not inquire whether the boom was still there, when it might be moved or whether the vessel was occupied by anyone. The plaintiff must have, at least, suspected that the overflow employees were gone. Mr. Wood made some calls to reach Captain Heavenor who was not available, but did not inquire whether there was any difficulty leaving the vessel where it was for a period of time. North King did not move promptly to ensure that there would be someone knowledgeable on the ship in the event that T.&amp; D. Carter was no longer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When North King learned that the moorage of the vessel had changed in a manner that ought to have alarmed it given the currents and the shallow water to the west, it should have acted accordingly. It did not contact T.&amp; D. Carter or ask T.&amp; D. Carter to take any steps to ensure that the vessel was safe, and it did not send a tug up to Port Neville to ensure that the vessel was safely moored. North King, at the least, ought to have contacted a third party with marine experience, such as a towing company, to go to the site and ensure that the vessel remained safe. I do not think that it could reasonably rely on the comments of Mr. Carter on the phone that the vessel was not in danger. In fact, I do not find that the Woods relied on the comments of Mr. Carter for an assurance of safety. They knew they had to deal with the problem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For these reasons I find that the plaintiff was negligent and that it contributed to the damage to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Having found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North King and T.&amp; D. Carter, and had I found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Gowlland Towing, the question would then become whether liability for fault should be apportioned among all three and, if so, in what proportions, or whether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any of the parties was not the proximate cause of the loss suffered. There is no suggestion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T.&amp; D. Carter, if so found, was not a proximate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Bow Valley Husky (Bermuda) Ltd. v. Saint John Shipbuilding Ltd., </w:t>
      </w:r>
      <w:hyperlink r:id="rId227"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153 D.L.R. (4th) 385</w:t>
        </w:r>
      </w:hyperlink>
      <w:r>
        <w:rPr>
          <w:rFonts w:ascii="arial" w:eastAsia="arial" w:hAnsi="arial" w:cs="arial"/>
          <w:color w:val="000000"/>
          <w:sz w:val="20"/>
          <w:lang w:val="en-US" w:eastAsia="en-US" w:bidi="ar-SA"/>
        </w:rPr>
        <w:t xml:space="preserve">, holds that when there is shared liability for fault,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bar in maritime torts no longer exists. As the Court sets out at [paragraph] 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change is required to keep the maritime common law "in step with the dynamic and evolving fabric of our society". The considerations on which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bar was based no longer comport with the modern view of fairness and justice. Tort law no longer accepts the traditional theory underpinning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bar - that the injured party cannot prove that the tortfeasor "caused" the damage.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bar results in manifest unfairness, particularly where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injured party is slight in comparison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others. Nor does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bar further the goal of modern tort law of encouraging care and vigilance.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I will now discuss the alternate submission of Gowlland Towing. Gowlland Towing says that if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its part it was not the ultimate or effective cause of the accident. It relies on cases such as Brooks v. Ward, </w:t>
      </w:r>
      <w:hyperlink r:id="rId228" w:history="1">
        <w:r>
          <w:rPr>
            <w:rFonts w:ascii="arial" w:eastAsia="arial" w:hAnsi="arial" w:cs="arial"/>
            <w:i/>
            <w:color w:val="0077CC"/>
            <w:sz w:val="20"/>
            <w:u w:val="single"/>
            <w:shd w:val="clear" w:color="auto" w:fill="FFFFFF"/>
            <w:lang w:val="en-US" w:eastAsia="en-US" w:bidi="ar-SA"/>
          </w:rPr>
          <w:t>[1956] S.C.R. 683</w:t>
        </w:r>
      </w:hyperlink>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4 D.L.R. (2d) 597</w:t>
        </w:r>
      </w:hyperlink>
      <w:r>
        <w:rPr>
          <w:rFonts w:ascii="arial" w:eastAsia="arial" w:hAnsi="arial" w:cs="arial"/>
          <w:color w:val="000000"/>
          <w:sz w:val="20"/>
          <w:lang w:val="en-US" w:eastAsia="en-US" w:bidi="ar-SA"/>
        </w:rPr>
        <w:t xml:space="preserve">; McKee v. Malenfant, </w:t>
      </w:r>
      <w:hyperlink r:id="rId229" w:history="1">
        <w:r>
          <w:rPr>
            <w:rFonts w:ascii="arial" w:eastAsia="arial" w:hAnsi="arial" w:cs="arial"/>
            <w:i/>
            <w:color w:val="0077CC"/>
            <w:sz w:val="20"/>
            <w:u w:val="single"/>
            <w:shd w:val="clear" w:color="auto" w:fill="FFFFFF"/>
            <w:lang w:val="en-US" w:eastAsia="en-US" w:bidi="ar-SA"/>
          </w:rPr>
          <w:t>[1954] S.C.R. 651</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[1954] 4 D.L.R. 785</w:t>
        </w:r>
      </w:hyperlink>
      <w:r>
        <w:rPr>
          <w:rFonts w:ascii="arial" w:eastAsia="arial" w:hAnsi="arial" w:cs="arial"/>
          <w:color w:val="000000"/>
          <w:sz w:val="20"/>
          <w:lang w:val="en-US" w:eastAsia="en-US" w:bidi="ar-SA"/>
        </w:rPr>
        <w:t xml:space="preserve">; and Halford (Guardian ad litem of) v. Maradi </w:t>
      </w:r>
      <w:hyperlink r:id="rId230" w:history="1">
        <w:r>
          <w:rPr>
            <w:rFonts w:ascii="arial" w:eastAsia="arial" w:hAnsi="arial" w:cs="arial"/>
            <w:i/>
            <w:color w:val="0077CC"/>
            <w:sz w:val="20"/>
            <w:u w:val="single"/>
            <w:shd w:val="clear" w:color="auto" w:fill="FFFFFF"/>
            <w:lang w:val="en-US" w:eastAsia="en-US" w:bidi="ar-SA"/>
          </w:rPr>
          <w:t>(1991), 8 C.C.L.T. (2d) 129</w:t>
        </w:r>
      </w:hyperlink>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[1991] B.C.J. No. 2727</w:t>
        </w:r>
      </w:hyperlink>
      <w:r>
        <w:rPr>
          <w:rFonts w:ascii="arial" w:eastAsia="arial" w:hAnsi="arial" w:cs="arial"/>
          <w:color w:val="000000"/>
          <w:sz w:val="20"/>
          <w:lang w:val="en-US" w:eastAsia="en-US" w:bidi="ar-SA"/>
        </w:rPr>
        <w:t xml:space="preserve"> (S.C.). In Halford, a case which considered Brooks v. Ward, the plaintiff, a 10 1/2-year-old boy, was injured while riding his bicycle. At 10:00 in the morning he struck the back of the defendant's vehicle that had been parked improperly on the road surface for several days without road markers. Although the defendant was found to be negligent, Prowse J., as she then was, held that it was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riding into the back of the truck that was the ultimate cause of this daytime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Mr. Bromley for the plaintiff argues that Gowlland Towing is really trying to re-establish the last clear chance doctrine, of which the Alberta Court of Appeal said in Wickberg v. Patterson </w:t>
      </w:r>
      <w:hyperlink r:id="rId231" w:history="1">
        <w:r>
          <w:rPr>
            <w:rFonts w:ascii="arial" w:eastAsia="arial" w:hAnsi="arial" w:cs="arial"/>
            <w:i/>
            <w:color w:val="0077CC"/>
            <w:sz w:val="20"/>
            <w:u w:val="single"/>
            <w:shd w:val="clear" w:color="auto" w:fill="FFFFFF"/>
            <w:lang w:val="en-US" w:eastAsia="en-US" w:bidi="ar-SA"/>
          </w:rPr>
          <w:t>(1997), 145 D.L.R. (4th) 263</w:t>
        </w:r>
      </w:hyperlink>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196 A.R. 43</w:t>
        </w:r>
      </w:hyperlink>
      <w:r>
        <w:rPr>
          <w:rFonts w:ascii="arial" w:eastAsia="arial" w:hAnsi="arial" w:cs="arial"/>
          <w:color w:val="000000"/>
          <w:sz w:val="20"/>
          <w:lang w:val="en-US" w:eastAsia="en-US" w:bidi="ar-SA"/>
        </w:rPr>
        <w:t>, at 266-267: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continues to survive in spite of the efforts to choke it out by courts, law reform bodies, and respected academics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plaintiff argues that the "last clear chance" doctrine is abolished for maritime torts by Bow Valley,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Gowlland Towing says that whether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proximate cause of the damage is not an application of the last clear chance doctrine but simply a question of the proper application of the principles of causation. It relies heavily on Scurfield v. Cariboo Helicopter Skiing </w:t>
      </w:r>
      <w:hyperlink r:id="rId232" w:history="1">
        <w:r>
          <w:rPr>
            <w:rFonts w:ascii="arial" w:eastAsia="arial" w:hAnsi="arial" w:cs="arial"/>
            <w:i/>
            <w:color w:val="0077CC"/>
            <w:sz w:val="20"/>
            <w:u w:val="single"/>
            <w:shd w:val="clear" w:color="auto" w:fill="FFFFFF"/>
            <w:lang w:val="en-US" w:eastAsia="en-US" w:bidi="ar-SA"/>
          </w:rPr>
          <w:t>(1993), 74 B.C.L.R. (2d) 224</w:t>
        </w:r>
      </w:hyperlink>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[1993] B.C.J. No. 25</w:t>
        </w:r>
      </w:hyperlink>
      <w:r>
        <w:rPr>
          <w:rFonts w:ascii="arial" w:eastAsia="arial" w:hAnsi="arial" w:cs="arial"/>
          <w:color w:val="000000"/>
          <w:sz w:val="20"/>
          <w:lang w:val="en-US" w:eastAsia="en-US" w:bidi="ar-SA"/>
        </w:rPr>
        <w:t xml:space="preserve"> (C.A.), a case where the plaintiff was killed when he was skiing and swept away by an avalanche. There, Taylor J.A. said (at [paragraphs] 8-10):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urged on us by counsel for the plaintiff that for the court to dismiss the claim simply because Mr. Scurfield could readily have avoided the avalanche would involve application of the defence of 'last clear chance', an elusive doctrine statutorily abolished in this province by Section 8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1979 Chapter 298, which says: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Act applies to all cases where damage is caused or contributed to by the act of a person notwithstanding that another person had the opportunity of avoiding the consequences of that act and negligently failed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in my view is not whether Mr. Scurfield could with reasonable care have avoided the danger--which, on the judge's view of the matter, he plainly could--but whether the conduct of the defendant guide in taking the party to the particular slope can properly be considered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had a proximate causative connection with the accident, when that accident happened after the hidden hazard to which Mr. Scurfield was thereby exposed had become obvious and readily avoidable.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may well be that Mr. Scurfield would not have died had the party been taken to another slope. It may also be said that he would have lived had he waited for the skier ahead to complete his traverse, or for the guide to give the signal. I think it helpful to consider all these three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to ask whether there was a proximate, effective causative connection between each of them and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Taylor J.A. continued at [paragraph]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risk which Mr. Scurfield faced when he continued on in the face of obvious and avoidable peril--if properly described as a 'risk'--must, in my view, be regarded as one falling well within the scope of those avoidable hazards which are to be regarded as reasonable and acceptable in the present context. This is not a case of Mr. Scurfield having had a 'last clear chance' to avoid a peril created by the defendants. Insofar as the defendants had a duty to protect Mr. Scurfield from unreasonable risk of unavoidable avalanche, that risk was over once the hazard had become obvious and avoidable. On the findings of the trial judge I conclude that Mr. Scurfield's failure to concern himself with what he could see ahead was the sole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constituted in law a proximate cause of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Gowlland Towing also relies on United Grain Growers Ltd. v. Agri-Builders (Regina) Ltd. </w:t>
      </w:r>
      <w:hyperlink r:id="rId233" w:history="1">
        <w:r>
          <w:rPr>
            <w:rFonts w:ascii="arial" w:eastAsia="arial" w:hAnsi="arial" w:cs="arial"/>
            <w:i/>
            <w:color w:val="0077CC"/>
            <w:sz w:val="20"/>
            <w:u w:val="single"/>
            <w:shd w:val="clear" w:color="auto" w:fill="FFFFFF"/>
            <w:lang w:val="en-US" w:eastAsia="en-US" w:bidi="ar-SA"/>
          </w:rPr>
          <w:t>(1984), 33 Sask. R. 241</w:t>
        </w:r>
      </w:hyperlink>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[1984] S.J. No. 61</w:t>
        </w:r>
      </w:hyperlink>
      <w:r>
        <w:rPr>
          <w:rFonts w:ascii="arial" w:eastAsia="arial" w:hAnsi="arial" w:cs="arial"/>
          <w:color w:val="000000"/>
          <w:sz w:val="20"/>
          <w:lang w:val="en-US" w:eastAsia="en-US" w:bidi="ar-SA"/>
        </w:rPr>
        <w:t xml:space="preserve"> (C.A.), and Lamberty v. Saskatchewan Power Corporation </w:t>
      </w:r>
      <w:hyperlink r:id="rId234" w:history="1">
        <w:r>
          <w:rPr>
            <w:rFonts w:ascii="arial" w:eastAsia="arial" w:hAnsi="arial" w:cs="arial"/>
            <w:i/>
            <w:color w:val="0077CC"/>
            <w:sz w:val="20"/>
            <w:u w:val="single"/>
            <w:shd w:val="clear" w:color="auto" w:fill="FFFFFF"/>
            <w:lang w:val="en-US" w:eastAsia="en-US" w:bidi="ar-SA"/>
          </w:rPr>
          <w:t>(1966), 59 D.L.R. (2d) 246</w:t>
        </w:r>
      </w:hyperlink>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[1966] S.J. No. 129</w:t>
        </w:r>
      </w:hyperlink>
      <w:r>
        <w:rPr>
          <w:rFonts w:ascii="arial" w:eastAsia="arial" w:hAnsi="arial" w:cs="arial"/>
          <w:color w:val="000000"/>
          <w:sz w:val="20"/>
          <w:lang w:val="en-US" w:eastAsia="en-US" w:bidi="ar-SA"/>
        </w:rPr>
        <w:t xml:space="preserve"> (Q.B.). Lamberty was a case where a natural gas line was damaged during construction. Although the equipment operator and others were negligent and disrupted the gas line, the public utility intervened and was negligent. It was held that the public utility's failure to take effective steps was subsequent to and severable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other defendants so as not to be "substantially contemporaneous". Only the public utility was found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Gowlland Towing's argument is that even if untying the mooring lines and failing to give proper notice was in breach of its required duty, it was not a proximate effective cause; rather the proximate effective causes were the failure of the plaintiff and the other defendant to take any remedial steps when they knew or ought to have known that the mooring had changed, something which T.&amp; D. Carter was aware of by the early morning of December 9 and North King ought to have been aware of that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Gowlland Towing's position is that there was ample time after December 9, 2000, with reasonable care, for the plaintiff and/or the other defendant to prevent the damage to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Gowlland Towing similarly says that if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exposed the plaintiff to risk, that risk was over when both T.&amp; D. Carter and the plaintiff were aware of risk that was obvious and avoidable.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Gowlland Towing's submission is that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its part clearly was not a proximate cause given that the Sea Lion was re-floated while it was still 3/4 full of water. If a knowledgeable person had attended by 18:00 on December 11 and closed the forward accommodation hatch, sealed the spurling pipe, sealed the vents and doors, and turned on the hydraulic bilge pump and kept it running, the Sea Lion VI would have re-floated on rising tide without significant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If Gowlland Towing was negligent, my conclusion is that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proximate and effective cause of the damage to the Sea Lion VI, even though I conclude that both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T.&amp; D. Carter were also materially contributing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damage to the Sea Lion VI occurred because Gowlland Towing changed the manner in which the vessel was moored. While it was not the sole cause, it was a material cause of the plaintiff's loss, and continued to be a contributing cause at the time of the damage to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The question that arises is the proper allocation of fault. The apportionment of fault is based on the relative degree of blameworthiness, not causation. No dispute was taken by counsel as to this approach. This approach was described in Cempel v. Harrison Hot Springs Hotel </w:t>
      </w:r>
      <w:hyperlink r:id="rId164" w:history="1">
        <w:r>
          <w:rPr>
            <w:rFonts w:ascii="arial" w:eastAsia="arial" w:hAnsi="arial" w:cs="arial"/>
            <w:i/>
            <w:color w:val="0077CC"/>
            <w:sz w:val="20"/>
            <w:u w:val="single"/>
            <w:shd w:val="clear" w:color="auto" w:fill="FFFFFF"/>
            <w:lang w:val="en-US" w:eastAsia="en-US" w:bidi="ar-SA"/>
          </w:rPr>
          <w:t>(1997), 100 B.C.A.C. 212</w:t>
        </w:r>
      </w:hyperlink>
      <w:r>
        <w:rPr>
          <w:rFonts w:ascii="arial" w:eastAsia="arial" w:hAnsi="arial" w:cs="arial"/>
          <w:color w:val="000000"/>
          <w:sz w:val="20"/>
          <w:lang w:val="en-US" w:eastAsia="en-US" w:bidi="ar-SA"/>
        </w:rPr>
        <w:t xml:space="preserve">, where the British Columbia Court of Appeal, dealing with whether apportionment under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should be on relative degrees of causation, said at [paragraph]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supra] does not say that the apportionment should be on the basis of the degree to which each person's fault caused the damage. So we are not assessing degrees of causation, we are assessing degrees of fault. In this context, "fault" means blameworthiness. So it is a gauge of the amount by which each proximate and effective causative agent fell short of the standard of care that was required of that person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At [paragraph] 24, Lambert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apportionment of fault there must be an assessment of the degree of the risk created by each of the parties, including a consideration of the effect and potential effect of occurrences within the risk, and including any increment in the risk brought about by their conduct after the initial risk was created. The fault should then be apportioned on the basis of the nature and extent of the departure from the respective standards of care of each of the parties.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This "fault-based" approach also applies to apportioning liability at common law. For instance, in Bow Valley Husky, supra, the judgments of Iacobucci J. and McLachlin J. (as she then was) concurred on the question of apportionment of fault between the plaintiff and the defendant(s). (I note that Iacobucci J. for the majority on that point, found liability on the part of only one defendant, while McLachlin J. would have apportioned liability between two defendants.) McLachlin J. upheld the trial judge's conclusion that fault should be apportioned 60% to the plaintiff and 40% to the defendants, based on considerations of their knowledge of the risks. McLachlin J. confirmed that there was ample evidence to support the trial judge's finding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"outweighed" that of the defendants, because the plaintiff, in continuing to operate the heat trace system, was aware of the product's flammability and the risk of explosion.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I have concluded that the largest degree of fault rests on the plaintiff. I have described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Assuming that I had found Gowlland Towing negligent, I would have apportioned fault 60 percent as against the plaintiff, 25 percent to Gowlland Towing and 15 percent to T.&amp; D. Carter.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However, as I have only found T.&amp; D. Carter and the plaintiff at fault, I apportion fault 80 percent to the plaintiff and I find T.&amp; D. Carter 20 percent at fault.</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Insurance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T.&amp; D. Carter contend that even if it is in breach of an obligation to use reasonable care, this action cannot be advanced against it because it was a charterer, and under the plaintiff's insurance policy a charterer or hirer as an additional assured was entitled to the waiver of subrogation contained in the policy, just as North King was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insurance policy, described as a hull subscription policy, covered the Sea Lion VI at Port Neville upon the endorsement being made on November 10, 2000. The relevant clauses are Clauses 3, 4,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Clause 3 was an additional assureds clause. In it, it was agreed that "in addition to the Assured named" in the policy, the policy also covered charterers.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vessel(s) insured herein it is agreed that in addition to the Assured named in this policy, this policy also covers subsidiary and/or affiliated companies of the Assured and, provided permission to be given to charter, charterers and/or operators and/or lessees, provided however that in the event of any claim being made by them they shall not be entitled to recover in respect of any liability to which they would not be subject if they were the Assured nor to a greater extent than the Assured would be entitled in such event to recover. It is agreed that Underwriters rights of subrogation against Additional Assureds are waived.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Clause 4 is described as the "subrogation clause", and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agreed that no right of subrogation except through General Average shall lie against any vessel or craft belonging in part or in whole to the Assured and/or to a subsidiary and/or affiliated company of the Assured and/or charterers, and/or operators and/or lessees. It is also agreed that no right of subrogation except through General Average shall lie directly or indirectly against the Assured and/or charterers and/or operators and/or lessees and/or any subsidiary and/or affiliated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Clause 5 is described in the policy as the "omnibus clause" and is the critical one. It reads in its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w:t>
      </w:r>
      <w:r>
        <w:rPr>
          <w:rFonts w:ascii="arial" w:eastAsia="arial" w:hAnsi="arial" w:cs="arial"/>
          <w:color w:val="000000"/>
          <w:sz w:val="20"/>
          <w:u w:val="single"/>
          <w:lang w:val="en-US" w:eastAsia="en-US" w:bidi="ar-SA"/>
        </w:rPr>
        <w:t>not intended</w:t>
      </w:r>
      <w:r>
        <w:rPr>
          <w:rFonts w:ascii="arial" w:eastAsia="arial" w:hAnsi="arial" w:cs="arial"/>
          <w:color w:val="000000"/>
          <w:sz w:val="20"/>
          <w:lang w:val="en-US" w:eastAsia="en-US" w:bidi="ar-SA"/>
        </w:rPr>
        <w:t xml:space="preserve"> by the Assured and the Insurer(s) that this Policy shall </w:t>
      </w:r>
      <w:r>
        <w:rPr>
          <w:rFonts w:ascii="arial" w:eastAsia="arial" w:hAnsi="arial" w:cs="arial"/>
          <w:color w:val="000000"/>
          <w:sz w:val="20"/>
          <w:u w:val="single"/>
          <w:lang w:val="en-US" w:eastAsia="en-US" w:bidi="ar-SA"/>
        </w:rPr>
        <w:t>automatically</w:t>
      </w:r>
      <w:r>
        <w:rPr>
          <w:rFonts w:ascii="arial" w:eastAsia="arial" w:hAnsi="arial" w:cs="arial"/>
          <w:color w:val="000000"/>
          <w:sz w:val="20"/>
          <w:lang w:val="en-US" w:eastAsia="en-US" w:bidi="ar-SA"/>
        </w:rPr>
        <w:t xml:space="preserve"> cover any party named herein other than the specifically named Assured(s). </w:t>
      </w:r>
      <w:r>
        <w:rPr>
          <w:rFonts w:ascii="arial" w:eastAsia="arial" w:hAnsi="arial" w:cs="arial"/>
          <w:color w:val="000000"/>
          <w:sz w:val="20"/>
          <w:u w:val="single"/>
          <w:lang w:val="en-US" w:eastAsia="en-US" w:bidi="ar-SA"/>
        </w:rPr>
        <w:t>Notwithstanding any Waiver of Subrogation, Additional Assureds, or similar clauses</w:t>
      </w:r>
      <w:r>
        <w:rPr>
          <w:rFonts w:ascii="arial" w:eastAsia="arial" w:hAnsi="arial" w:cs="arial"/>
          <w:color w:val="000000"/>
          <w:sz w:val="20"/>
          <w:lang w:val="en-US" w:eastAsia="en-US" w:bidi="ar-SA"/>
        </w:rPr>
        <w:t xml:space="preserve"> contained in this Policy, the coverage and benefits provided by those clauses are </w:t>
      </w:r>
      <w:r>
        <w:rPr>
          <w:rFonts w:ascii="arial" w:eastAsia="arial" w:hAnsi="arial" w:cs="arial"/>
          <w:color w:val="000000"/>
          <w:sz w:val="20"/>
          <w:u w:val="single"/>
          <w:lang w:val="en-US" w:eastAsia="en-US" w:bidi="ar-SA"/>
        </w:rPr>
        <w:t>only extended</w:t>
      </w:r>
      <w:r>
        <w:rPr>
          <w:rFonts w:ascii="arial" w:eastAsia="arial" w:hAnsi="arial" w:cs="arial"/>
          <w:color w:val="000000"/>
          <w:sz w:val="20"/>
          <w:lang w:val="en-US" w:eastAsia="en-US" w:bidi="ar-SA"/>
        </w:rPr>
        <w:t xml:space="preserve"> to parties other than the specifically named Assured(s) </w:t>
      </w:r>
      <w:r>
        <w:rPr>
          <w:rFonts w:ascii="arial" w:eastAsia="arial" w:hAnsi="arial" w:cs="arial"/>
          <w:color w:val="000000"/>
          <w:sz w:val="20"/>
          <w:u w:val="single"/>
          <w:lang w:val="en-US" w:eastAsia="en-US" w:bidi="ar-SA"/>
        </w:rPr>
        <w:t>at the option of the Assured(s)</w:t>
      </w:r>
      <w:r>
        <w:rPr>
          <w:rFonts w:ascii="arial" w:eastAsia="arial" w:hAnsi="arial" w:cs="arial"/>
          <w:color w:val="000000"/>
          <w:sz w:val="20"/>
          <w:lang w:val="en-US" w:eastAsia="en-US" w:bidi="ar-SA"/>
        </w:rPr>
        <w:t xml:space="preserve">, and no one other than the specifically named Assured(s) may claim any rights in respect of this Policy without the </w:t>
      </w:r>
      <w:r>
        <w:rPr>
          <w:rFonts w:ascii="arial" w:eastAsia="arial" w:hAnsi="arial" w:cs="arial"/>
          <w:color w:val="000000"/>
          <w:sz w:val="20"/>
          <w:u w:val="single"/>
          <w:lang w:val="en-US" w:eastAsia="en-US" w:bidi="ar-SA"/>
        </w:rPr>
        <w:t>written consent of the specifically named Assured(s)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 endorsement taken out on November 10, 2000 to cover the Sea Lion VI at Port Neville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hereby understood and agreed that in consideration of an additional premium of $2,450 permission is granted for the "Sea Lion" to be chartered and used as an accommodation facility at Port Neville, B.C. for the period November 10, 2000 to December 19,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Mr. Bromley for the plaintiff concedes that if the insurance policy only contained Clauses 3 and 4, and not Clause 5, then the plaintiff would not be able to sue T.&amp; D. Carter in this subrogated action, except to the extent that it was not a subrogated claim. However, he argues that, given that the policy must be interpreted as a whole, its proper interpretation is that the waiver of subrogation clause and additional assureds clause does not extend to the charterer, absent written consent of the named assured, North 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The particular language in Clause 5 of the policy is apparently the insurer's response to the decision of the Supreme Court of Canada in Fraser River Pile &amp; Dredge Ltd. v. Can-Dive Services Ltd., </w:t>
      </w:r>
      <w:hyperlink r:id="rId235" w:history="1">
        <w:r>
          <w:rPr>
            <w:rFonts w:ascii="arial" w:eastAsia="arial" w:hAnsi="arial" w:cs="arial"/>
            <w:i/>
            <w:color w:val="0077CC"/>
            <w:sz w:val="20"/>
            <w:u w:val="single"/>
            <w:shd w:val="clear" w:color="auto" w:fill="FFFFFF"/>
            <w:lang w:val="en-US" w:eastAsia="en-US" w:bidi="ar-SA"/>
          </w:rPr>
          <w:t>[1999] 3 S.C.R. 108</w:t>
        </w:r>
      </w:hyperlink>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67 B.C.L.R. (3d) 213</w:t>
        </w:r>
      </w:hyperlink>
      <w:r>
        <w:rPr>
          <w:rFonts w:ascii="arial" w:eastAsia="arial" w:hAnsi="arial" w:cs="arial"/>
          <w:color w:val="000000"/>
          <w:sz w:val="20"/>
          <w:lang w:val="en-US" w:eastAsia="en-US" w:bidi="ar-SA"/>
        </w:rPr>
        <w:t>. There, a similar issue arose but while the policy contained language similar to Clauses 3 and 4 of this insurance contract, it did not contain a clause like Clause 5 that purported to require the owner to exercise its option to extend the benefit of a waiver of subrogation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In Fraser River, the issue was stated by Mr. Justice Iacobucci this way (at [paragraph]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Can-Dive, as a third-party beneficiary under the insurance policy pursuant to the waiver of subrogation clause, entitled to rely on that clause to defend against the insurer's subrogated action on the basis of the principled exception to the privity of contract doctrine established by the Court's decision in London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Court applied London Drugs, supra, and determined that a third party beneficiary under an insurance policy pursuant to a waiver of subrogation was entitled to rely on that clause on the basis of the principled exception to the privity of contract doctrine. It said that the determination of that question in general terms depended on "two critical and cumulative factors" (at [paragraph] 32):</w:t>
      </w:r>
      <w:r>
        <w:rPr>
          <w:rFonts w:ascii="arial" w:eastAsia="arial" w:hAnsi="arial" w:cs="arial"/>
          <w:sz w:val="20"/>
          <w:lang w:val="en-US" w:eastAsia="en-US" w:bidi="ar-SA"/>
        </w:rPr>
        <w:cr/>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parties to the contract intend to extend the benefit in question to the third party seeking to rely on the contractual provision? and</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activities performed by the third party seeking to rely on the contractual provision the very activities contemplated as coming within the scope of the contract in general, or the provision in particular, again as determined by reference to the intentions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Court did not rely, or comment one way or the other, on whether the principle of agency that was discussed in the British Columbia Court of Appeal applies to deem Can-Dive a party to the contract as a matter of law (see [paragraph]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Given the clear language of the clause that the parties intended to extend the benefit to third party beneficiaries, which included Can-Dive, the question became whether the provision could only be enforced by Fraser River on Can-Dive's behalf and not by Can-Dive acting independently. The Court said (at [paragraph]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plain reading of the provision, however, does not support this conclusion. </w:t>
      </w:r>
      <w:r>
        <w:rPr>
          <w:rFonts w:ascii="arial" w:eastAsia="arial" w:hAnsi="arial" w:cs="arial"/>
          <w:color w:val="000000"/>
          <w:sz w:val="20"/>
          <w:u w:val="single"/>
          <w:lang w:val="en-US" w:eastAsia="en-US" w:bidi="ar-SA"/>
        </w:rPr>
        <w:t>There is no language in the clause indicating that the waiver of subrogation is intended to be conditional upon Fraser River's initiative in favour of any particular third-party beneficiary</w:t>
      </w:r>
      <w:r>
        <w:rPr>
          <w:rFonts w:ascii="arial" w:eastAsia="arial" w:hAnsi="arial" w:cs="arial"/>
          <w:color w:val="000000"/>
          <w:sz w:val="20"/>
          <w:lang w:val="en-US" w:eastAsia="en-US" w:bidi="ar-SA"/>
        </w:rPr>
        <w:t>. ... In no uncertain terms, the waiver of subrogation clause indicates that the insurers are precluded from proceeding with an action against third-party beneficiaries coming within the class of "charterer(s)", and the relevant inquiry is whether to give effect to these intentions by enforcing the contractual term, notwithstanding the doctrine of privity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Mr. Justice Iacobucci addressed the possible subsequent agreement to delete crystallized rights of the third party. He said at [paragraph]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Accordingly, nothing in these reasons concerning the ability of the initial parties to amend contractual provisions subsequently should be taken as applying other than to the limited situation of a third-party's seeking to rely on a benefit conferred by the contract to defend against an action initiated by one of the parties, and only then in circumstances where the inchoate contractual right has crystallized prior to any purported amendment. Within this narrow exception, however, the doctrine of privity presents no obstacle to contractual rights conferred on third-party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Court then considered the second requirement that the third party beneficiary was performing the activities contemplated in the contract and held that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Therefore, a person other than a party to an insurance contract may rely on the waiver of subrogation benefit if the parties to the insurance contract intended the third party to have that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 now return to the facts of this case and the differently worded insurance policy. The parties were unsophisticated as far as insurance matters go. Insurance and the particular policy were never discussed between Mr. Wood and Mr. Carter. There was no discussion about subrogation or the waiver of subrogation. Neither Mr. Wood or Mr. Carter knew about the subrogation issue or discussed it. Accordingly, and not surprisingly, there was no specific permission or written consent given by North King for T.&amp; D. Carter to claim rights under the policy. There was no communication, written or otherwise, about the waiver of subrogation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Mr. Bromley suggests that under Clause 5 the parties to this insurance contract specifically agreed that the benefit of the policy would only extend to the third party at the option of North King and no rights may be claimed in respect of this policy without the written consent of North 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Mr. Bromley in his argument noted that while the policy contained an additional assureds clause, which included charterers, and a non-subrogation clause, which clause said there would be no right of subrogation against charterers, the policy must be read as a whole and with the provision that it does not "automatically cover any party other than the specifically named Assured(s)".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He points out that "notwithstanding any Waiver of Subrogation, Additional Assureds or similar clause contained in this Policy, the coverage and benefits provided by those clauses are only extended to parties other than the specifically named Assured(s) </w:t>
      </w:r>
      <w:r>
        <w:rPr>
          <w:rFonts w:ascii="arial" w:eastAsia="arial" w:hAnsi="arial" w:cs="arial"/>
          <w:i/>
          <w:color w:val="000000"/>
          <w:sz w:val="20"/>
          <w:lang w:val="en-US" w:eastAsia="en-US" w:bidi="ar-SA"/>
        </w:rPr>
        <w:t>at the option of the Assured(s)</w:t>
      </w:r>
      <w:r>
        <w:rPr>
          <w:rFonts w:ascii="arial" w:eastAsia="arial" w:hAnsi="arial" w:cs="arial"/>
          <w:color w:val="000000"/>
          <w:sz w:val="20"/>
          <w:lang w:val="en-US" w:eastAsia="en-US" w:bidi="ar-SA"/>
        </w:rPr>
        <w:t>". He also pointed out that it provides that "</w:t>
      </w:r>
      <w:r>
        <w:rPr>
          <w:rFonts w:ascii="arial" w:eastAsia="arial" w:hAnsi="arial" w:cs="arial"/>
          <w:i/>
          <w:color w:val="000000"/>
          <w:sz w:val="20"/>
          <w:lang w:val="en-US" w:eastAsia="en-US" w:bidi="ar-SA"/>
        </w:rPr>
        <w:t>no one, other than the specifically named Assured(s), may claim any rights in respect of the policy without the written consent of the specifically named Assured(s)</w:t>
      </w:r>
      <w:r>
        <w:rPr>
          <w:rFonts w:ascii="arial" w:eastAsia="arial" w:hAnsi="arial" w:cs="arial"/>
          <w:color w:val="000000"/>
          <w:sz w:val="20"/>
          <w:lang w:val="en-US" w:eastAsia="en-US" w:bidi="ar-SA"/>
        </w:rPr>
        <w:t>" [Mr. Bromley's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T.&amp; D. Carter argued that the insurers of North King knew its identity as the charterer, gave permission for it to be chartered, and that in the circumstances it is entitled to a waiver of subrogation just as North King was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T.&amp; D. Carter says that the insurance coverage was obtained directly as a result of the charter. T.&amp; D. Carter argues that Clause 5 is not a bar because the specific risk associated with the charter to T.&amp; D. Carter was the reason that the premiums were paid to obtain the coverage under the endorsement, that T.&amp; D. Carter is incorporated by reference, and that T.&amp; D. Carter is not asserting any rights in respect of the policy, but simply saying that the insurers are estopped from using the policy as a sword.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T.&amp; D. Carter also points out that there was no agreement for T.&amp; D. Carter to pay for damage as was the case with the earlier 1998 charter, that no new charter agreement was made to exempt North King from its responsibilities of having a watchman aboard, and argues that in the circumstances there should be an implied term that the owner would provide insurance respecting damage claims arising from the loss of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T.&amp; D. Carter argues that coverage (the endorsement) should be interpreted broadly, but that the exclusion (the omnibus clause) should be interpreted narrowly.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T.&amp; D. Carter, I think, is trying to use the policy as a shield and not as a sword. Nevertheless, I think that it is seeking to obtain rights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policy provides that the waiver of subrogation provision can only be extended to a charterer at the option of the main named assured. Put another way in the policy, it requires the written consent of the owner. Has that happened? Writing is presumably only a matter of proof of the exercise of the owner's option to extend the benefit of the clause to the charterer.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Can it be said that North King has consented to T.&amp; D. Carter having the benefit of the insurance insofar as the waiver of subrogation clause is concerned? The issue is somewhat novel given the language that appears in this policy following the decision in Fraser River,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Part of the difficulty in resolving this question is that the parties are not sophisticated commercial people, at least from an insurance perspective. They were not particularly familiar with the insurance coverage that they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Was there an implied term as T.&amp; D. Carter argues or should North King be taken to have consented in the circumstances to T.&amp; D. Carter getting the benefit of the waiver of subrogation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language in the insurance contract that was added after Fraser River, supra, is explicit and is not contradicted by other language. Although I would think that written consent is not required, some evidence that the plaintiff exercised its option or agreed that the logging company would have the benefit of the waiver of subrogation must exist. Without creating a fiction, it is difficult to find that the plaintiff extended the right to T.&amp; D. Carter when Mr. Wood himself was not aware of the terms of 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 think that the defendant's argument comes to this. It says that there was an implied term, particularly if the watchman term was not complied with, that the owner would ensure that there was insurance and that the hirer would get the benefit of that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The defendant's argument might be put this way as well. For the safety of the vessel, the owner was contractually obliged to provide a watchman. Objectively, at least, in large part, the purpose of that provision was to ensure that the vessel was safe while it was moored at Port Neville. It had insurance that provided a waiver of subrogation against a charterer, but the owner had to elect for the charterer to have the benefit of that provision. In November, when it learned that it did not have a watchman, it did not replace the watchman. In November, it got a specific rider to cover the use of the vessel as an accommodation vessel at Port Neville. At some point in November, the plaintiff knew that it was not fulfilling its contractual obligation to provide a watchman. It continued not to provide a watchman, in part because, as I have said, it now knew it had insurance in place. To extend the benefit of that insurance to the hirer, it only had to tell the charterer, it did not have to advise the insurer or obtain the insurer's consent; it had already paid the premium for the risk of having the vessel as an accommodation vessel at Port Neville.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However, I am unable to find that the owner, not being aware of the terms of the policy and never directing his mind to the question of insurance, could be taken to have exercised his option that the hirer obtain the protection of the waiver of subrogation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insured must in some manner express its intention that the third party benefit from that clause. I am unable to find on the evidence that has been done. In some commercial cases, there may be good reasons for not extending the right. None of that appears to exist here; it just did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Even though the exclusion clause should be read narrowly, some meaning must be given to the written terms of the insurance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 find that T.&amp; D. Carter is not entitled to benefit from the waiver of subrogation or additional assureds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For these reasons, I concluded that the plaintiff is 80 percent at fault and the defendant T.&amp; D. Carter is 20 percent at fault. The action against Gowlland Towing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771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Singh v. Chand, [2019] B.C.J. No. 1065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 Watchuk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29-31, November 1-2, 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 19-23, 26-30, December 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17-20,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M130151, M130580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1065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932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Surbhi Singh, Plaintiff, and Subhas Chand and Interprovincial Auto Sales Ltd., Defendants And between Surbhi Singh, Plaintiff, and Spiro Katsonis and Rahul Bhagirath,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(143 paras.)</w:t>
      </w:r>
    </w:p>
    <w:p>
      <w:pPr>
        <w:jc w:val="both"/>
        <w:rPr>
          <w:rFonts w:ascii="arial" w:eastAsia="arial" w:hAnsi="arial" w:cs="arial"/>
          <w:sz w:val="20"/>
          <w:lang w:val="en-US" w:eastAsia="en-US" w:bidi="ar-SA"/>
        </w:rPr>
      </w:pPr>
      <w:bookmarkStart w:id="57" w:name="Counsel_11"/>
      <w:bookmarkEnd w:id="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3"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V.J. LeBlanc, J.M. Naylor.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Subhas Chand and Interprovincial Auto Sales Ltd.: S.B. Stewart, M. von Antal.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Rahul Bhagirath: J. Gill, M. Mirosolin.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8" w:name="Judgment_11"/>
      <w:bookmarkEnd w:id="58"/>
      <w:r>
        <w:pict>
          <v:line id="_x0000_s1074" style="position:absolute;z-index:251721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69"/>
        <w:gridCol w:w="3346"/>
        <w:gridCol w:w="9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Paragraph</w:t>
            </w:r>
          </w:p>
        </w:tc>
        <w:tc>
          <w:tcPr>
            <w:tcW w:w="327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 INTRODUCTION</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92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692"/>
        <w:gridCol w:w="2823"/>
        <w:gridCol w:w="9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 THE SECOND ACCIDENT</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006"/>
        <w:gridCol w:w="1882"/>
        <w:gridCol w:w="9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Circumstances of the Second Accident</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238"/>
        <w:gridCol w:w="6502"/>
        <w:gridCol w:w="1239"/>
        <w:gridCol w:w="9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45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Evidence of the Defendant Mr. Bhagirath</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238"/>
        <w:gridCol w:w="5574"/>
        <w:gridCol w:w="2167"/>
        <w:gridCol w:w="9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Evidence of the Plaintiff</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065"/>
        <w:gridCol w:w="2823"/>
        <w:gridCol w:w="9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 Positions of the Parties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238"/>
        <w:gridCol w:w="5367"/>
        <w:gridCol w:w="2374"/>
        <w:gridCol w:w="9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Position</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238"/>
        <w:gridCol w:w="6193"/>
        <w:gridCol w:w="1548"/>
        <w:gridCol w:w="9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Defendant Mr. Bhagirath's Position</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647"/>
        <w:gridCol w:w="3241"/>
        <w:gridCol w:w="9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 The Applicable Law</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238"/>
        <w:gridCol w:w="4335"/>
        <w:gridCol w:w="3406"/>
        <w:gridCol w:w="9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Liability</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238"/>
        <w:gridCol w:w="4438"/>
        <w:gridCol w:w="3303"/>
        <w:gridCol w:w="9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u w:val="single"/>
                <w:lang w:val="en-US" w:eastAsia="en-US" w:bidi="ar-SA"/>
              </w:rPr>
              <w:t>Negligence</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238"/>
        <w:gridCol w:w="5470"/>
        <w:gridCol w:w="2271"/>
        <w:gridCol w:w="9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Plaintiff's Burden of Proof</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3764"/>
        <w:gridCol w:w="9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 Discussion</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238"/>
        <w:gridCol w:w="4851"/>
        <w:gridCol w:w="2890"/>
        <w:gridCol w:w="9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Adverse Inference</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238"/>
        <w:gridCol w:w="4335"/>
        <w:gridCol w:w="3406"/>
        <w:gridCol w:w="9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Liability</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w:t>
            </w:r>
          </w:p>
        </w:tc>
        <w:tc>
          <w:tcPr>
            <w:tcW w:w="9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6"/>
        <w:gridCol w:w="523"/>
        <w:gridCol w:w="4601"/>
        <w:gridCol w:w="2614"/>
        <w:gridCol w:w="7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Models of Causation</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w:t>
            </w:r>
          </w:p>
        </w:tc>
        <w:tc>
          <w:tcPr>
            <w:tcW w:w="71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523"/>
        <w:gridCol w:w="4078"/>
        <w:gridCol w:w="3136"/>
        <w:gridCol w:w="7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Conclusion</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117</w:t>
            </w:r>
          </w:p>
        </w:tc>
        <w:tc>
          <w:tcPr>
            <w:tcW w:w="71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855"/>
        <w:gridCol w:w="3869"/>
        <w:gridCol w:w="7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 DAMAGES</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141</w:t>
            </w:r>
          </w:p>
        </w:tc>
        <w:tc>
          <w:tcPr>
            <w:tcW w:w="71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9" w:name="J.E. WATCHUK J."/>
            <w:bookmarkEnd w:id="59"/>
            <w:r>
              <w:rPr>
                <w:rFonts w:ascii="arial" w:eastAsia="arial" w:hAnsi="arial" w:cs="arial"/>
                <w:b/>
                <w:color w:val="000000"/>
                <w:sz w:val="30"/>
                <w:lang w:val="en-US" w:eastAsia="en-US" w:bidi="ar-SA"/>
              </w:rPr>
              <w:t>J.E. WATCHUK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these actions, tried together, the plaintiff, Surbhi Singh, seeks damages for injuries sustained in two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involved in a motor vehicle accident in New Westminster on April 1, 2011 (the "First Accident"). She was the driver of a Honda Civic that was rear-ended by another vehicle that was operated by the defendant Subhas Chand. Liability in relation to the First Accident is admitted by the defendants Mr. Chand and Interprovincial Auto Sales Ltd. The remaining issues of damages are addressed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subsequently involved in a motor vehicle accident that occurred in New York State approximately three weeks later on April 25, 2011 (the "Second Accident"). The First Accident and Second Accident are collectively referred to as the "Accidents". The plaintiff was a passenger in a rental vehicle, a Kia Sorrento, being operated by her husband, the defendant Rahul Bhagirath. The vehicle was involved in a collision in a traffic light-controlled intersection with a vehicle travelling perpendicularly to it. The second vehicle was operated by Spiro Katsonis.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Liability in relation to the Second Accident is denied by the defendant Mr. Bhagirath. As background, Mr. Bhagirath and the plaintiff separated in January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Following the Second Accident, the plaintiff initiated legal proceedings against Mr. Bhagirath and Mr. Katsonis in British Columbia, and against Mr. Katsonis in New York. The action brought against Mr. Katsonis in British Columbia was stayed pursuant to an order pronounced by Madam Justice Russell on November 1, 2013, in which the court declined jurisdiction over Mr. Katsonis. Subsequently, the New York lawsuit was dismissed for the equivalent of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July 14, 2017, consent orders were filed directing that the actions in relation to the First Accident against the Chand defendants and the Second Accident against the remaining defendant Mr. Bhagirath be tried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these reasons, I will address the question of whether Mr. Bhagirath is at fault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SECOND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Circumstances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Second Accident, Mr. Bhagirath was driving from Manhattan to the John F. Kennedy International Airport ("JFK Airport"). The plaintiff and Mr. Bhagirath had flown to New York four days prior to the Second Accident for the Easter long weekend. After spending a night in Manhattan, they drove to Washington D.C., where they spent a few days with friends. On the morning of April 25, 2011, the day of the Second Accident, Mr. Bhagirath drove from Washington D.C. back to Manhattan with the plaintiff in the front passenger seat. They stopped in Manhattan to do errands before leaving for JFK Airport around 7:30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only evidence before the court concerning the Second Accident is the testimonies of Mr. Bhagirath and the plaintiff. The plaintiff was not aware of any witnesses to the Second Accident other than herself, Mr. Bhagirath, and Mr. Katsonis, the driver of the other vehicle involved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Katsonis is not a party to this proceeding, and he was not called as a witness. The plaintiff explains that she did not call Mr. Katsonis to give evidence as he advised that he has no memory of the Second Accident. He was never examined on discovery or any equivalent process either in New York or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At the outset, it should be noted that Mr. Bhagirath was called by the plaintiff as an "adverse witness" and testified in this action in accordance with Rules 12-5(19)-(26)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His testimony was elicited through questioning by plaintiff's counsel and in the course of a limited cross examination by his own counsel. He was not subsequently called to testify as part of his defence case. Thus all of his testimony was conducted as cross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setting out the testimony of the plaintiff and Mr. Bhagirath regarding the Second Accident, I accept their evidence and make findings of fact accordingly.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The Evidence of the Defendant Mr. Bhagirath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night before the Second Accident, Mr. Bhagirath had been out drinking with friends and stayed up until approximately 2:00 a.m. It was later than he would normally go to bed and he got less sleep than he normally would. On the morning of April 25, 2011, the day of the Second Accident, he left Washington D.C. around 11:00 a.m. and drove to Manhattan. The drive took about 4 or 5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Bhagirath and the plaintiff left Manhattan for JFK Airport around 7:30 p.m. They had a flight to catch at about 9:50 p.m. or 10:00 p.m. It was important that they catch their flight because he was scheduled to be the pharmacist on call in Vancouver the next morning. If he missed the flight, he would miss his shift which would cause hardship for both his patients and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questioning by the plaintiff, Mr. Bhagirath agreed that he was driving with a sense of urgency and that he was in a rush. As he left Manhattan, he understood that traffic could be heavy and he had a number of things to do before boarding the flight, including filling the rental vehicle with gas before returning it, checking in their four pieces of luggage, and clearing security. He estimated the distance from Manhattan to JFK Airport at probably 15 to 20 miles, which he estimated would be about a 45 minute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was a navigation device inside the vehicle. He did not know where he was going to find a gas station as he expected to see signs directing him en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Bhagirath proceeded from Manhattan, travelling southbound on the Van Wyck Expressway. He conceded that he was exceeding the speed limit of 55 mph while driving along the expressway. When he saw a sign indicating an off-ramp for gas, he merged to the right of the expressway and took the off-ramp, parallel to the expressway, towards Hillside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Bhagirath slowed down at the top of the southbound off-ramp of the Van Wyck Expressway to make the left turn at the intersection into the eastbound lanes of Hillside Avenue (the "First Intersection"). This stretch of Hillside Avenue, between the First Intersection and the next, consisted of an overpass travelling over the Van Wyck Expressway. It had three eastbound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Mr. Bhagirath made the left turn at the First Intersection onto Hillside Avenue, he saw a green light at the next intersection on the east side of the overpass (the "Second Intersection"). The gas station was on the northeast corner of the Second Intersection, or across that intersection and on his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Bhagirath admitted that after he saw the green light while at the First Intersection, he paid no more attention to the traffic light at the Second Intersection. He agreed that he does not know if the light at the Second Intersection for eastbound traffic changed to yellow or red as he approached the intersection or what the status of the light was when his vehicle entered the Second Intersection. In cross examination by his counsel, he agreed that he believed that he was entering the intersection on a green light. He agreed that it was his perception that he was advancing through a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Bhagirath estimated that he was travelling at about 35 to 40 mph as he drove on Hillside Avenue between the First Intersection and Second Intersection, which was a straight stretch of road with no impediments to visibility. At trial he indicated he believed the speed limit on Hillside Avenue was 35 mph. However, he agreed that in the course of discovery he previously estimated that the speed limit in that area was 25 mph. In the short time he was on Hillside Avenue he did not see a sign indicating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Bhagirath stated that traffic on Hillside Avenue appeared light at that time. There were no other vehicles between him and the intersection as he made the left turn. He does not know if there was traffic behind him as he approached the Second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he approached the Second Intersection travelling eastbound in the middle lane of Hillside Avenue, Mr. Bhagirath intended to travel straight through the intersection and make a left-hand turn into the gas station on the other side of the Second Intersection. His attention was focused on the gas station located ahead and to his left, at the northeast side of the Second Intersection. He agreed that he was not paying attention to the right side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Bhagirath agreed that he entered the Second Intersection without knowing the status of the traffic light. The collision occurred inside that intersection when the other vehicle, driven by Mr. Katsonis, collided with the front right or passenger side of his vehicle near the wheel and door. He did not see the other vehicle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Bhagirath agreed that Mr. Katsonis' vehicle must have travelled perpendicularly across at least one other eastbound lane in the Second Intersection before the vehicles collided as he was driving in the middle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Bhagirath acknowledged that he was tired, in a rush and worried about missing his flight.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Evidence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April 25, 2011, at the time of the Second Accident, the plaintiff was seated in the front passenger seat of the vehicle being operated by Mr. Bhagirath. She was wearing a seatbelt. There is no suggestion that she is contributorily negligent in relation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parties agree her recollection of the events leading up to the Second Accident is poor. Her evidence is that she was falling in and out of sleep while in the front passenger seat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does not recall the route they took, only that it involved driving on 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testified that Mr. Bhagirath was driving fast on Hillside Avenue but did not know how fast. She does not know the status of the traffic lights when their vehicle entered the Second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confirmed that, from her perspective, she and her husband were travelling straight in the intersection at the point of impact. The vehicle that collided with theirs had emerged from the plaintiff's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testified that she saw the vehicle operated by Mr. Katsonis, but only a split second before the impact. However, under cross examination she acknowledged that she previously stated under oath that she did not see the vehicle until after the collision. She did not hear a horn, nor did she hear the noise of a car skidding. She could not recall whether her husband said anything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testified that there was some movement of her body in the impact, but she could not recall more detail. She testified that, after the collision, she exited the vehicle under her own volition. She was afraid the vehicle might catch on fire because of smoke and the smell of gasoline.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position is that, by virtue of the principle of joint and several liability, if Mr. Bhagirath is found to have been negligent at all in causing the Second Accident, he must be held 100% liable for the plaintiff's damages arising out of the Second Accident. It is irrelevant to the plaintiff's claim concerning Mr. Bhagirath's liability whether Mr. Katsonis was also negligent in causing the Second Accident. As there can be no claim by the plaintiff against Mr. Katsonis, the rule against double recovery is not engaged. The sole issue concerning liability is whether Mr. Bhagirath was negligent, to some degree, in causing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submits that the evidence points to at least three possible bases for finding Mr. Bhagirath liable for the Accident to some degree. First, he may have entered the intersection on a yellow or red light. Second, he was speeding. Third, he was distracted and failed to keep a reasonable or proper look out while driving such that he should have seen the vehicle approaching from his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argues that, given these facts, Mr. Bhagirath's driving, at the very least, constituted a breach of the duty of safety that he owed to the plaintiff as his passenger. In breaching that duty, her position is that he is, to some degree,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to the issue of causation, the plaintiff submits that, while it is impossible, based on the evidence, to conclusively determine the status of the traffic lights at the time of the Second Accident, there is still sufficient evidence to find that Mr. Bhagirath's driving was a probable cause of the collision. Had the light for eastbound traffic changed to red prior to Mr. Bhagirath's vehicle entering the Second Intersection, Mr. Bhagirath was negligent for entering the intersection against a red light. Even if the light was green when Mr. Bhagirath entered the Second Intersection, his vehicle would not have been in the location of the impact had he not been speeding. In that case, she argues that regardless of the status of the lights, Mr. Bhagirath's speeding was a cause of the Second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Defendant Mr. Bhagirath's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Bhagirath submits that the plaintiff has failed to establish to the requisite standard that he is liable for the Second Accident. As such, the claim against him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Bhagirath submits that it is abundantly clear that the plaintiff's evidence with respect to events leading up to the accident is of no assistance in determining liability. He points to various aspects of the plaintiff's testimony concerning the Second Accident as being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That he admitted to being tired on the way to JFK Airport is of no moment Mr. Bhagirath says. The plaintiff led no expert evidence in respect of what if any impact the defendant's tiredness had on his ability to operate a motor vehicle, including his ability to avoid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Moreover, Mr. Bhagirath argues that at no point in the plaintiff's evidence did she suggest that the defendant was operating the vehicle in a manner which she deemed to be unsafe. The fact that he was speeding while on the highway does not establish that his actions contributed to the motor vehicle accident and he contests that the evidence demonstrates that he was speeding at the time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Bhagirath concedes that he was speeding while on the highway. However, after seeing the sign for the gas station, he exited the expressway, slowed down and drove up the off-ramp and onto Hillside Avenue. While there is some uncertainty with respect to the speed at which he travelled on Hillside Avenue, he argues there is no evidence before the court in relation to the speed limit along that section of Hillside Avenue. As such, the defendant submits there is insufficient evidence that he was speeding at the time of the Second Accident. Additionally, he argues there is no evidence that speed played any part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Bhagirath submits that the plaintiff's theory of liability is premised on the notion that Mr. Bhagirath could have avoided the collision with Mr. Katsonis' vehicle if he had been paying attention to the right side of his car when he entered the Second Intersection. He argues that this overlooks the fact that there is no evidence that can assist with whether Mr. Bhagirath was actually in a position to avoid Mr. Katsonis'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Further, Mr. Bhagirath submits that the only evidence pertaining to the traffic light when he entered the Second Intersection was that it was green. This position rests on evidence he provided during limited cross examination by his own counsel, in which Mr. Bhagirath confirmed that he believed that he was entering the intersection on a green light. He further confirmed that as he approached the intersection he was focused on the gas station, there was a light in front of it and, from his perspective it was never anything other than green. This evidence was not contradicted by the evidence of any other witness. As such, his position is that he was entitled to proceed straight through the intersection. He argues that Mr. Katsonis was solely responsible for causing the accident since, if the traffic light was green, Mr. Katsonis was obligated to yield the right of way. Mr. Bhagirath was the dominant driver and he submits that he did not lose that position due to Mr. Katsonis' unreasonable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Bhagirath argues that the case law suggesting that a driver might still be liable on the basis that a driver is not entitled to disregard an apparent danger, is not applicable to the present case as there is no evidence that the danger posed by Mr. Katsonis was apparent. The court does not know how Mr. Katsonis came to be in the intersection and whether the danger he posed could have been avoided. Mr. Bhagirath submits that the plaintiff's decision to not call Mr. Katsonis as a witness was significant and ought to warrant an adverse inference finding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Accordingly, Mr. Bhagirath submits that the plaintiff has failed to discharge her onus of establishing on a balance of probabilities that he breached the duty of care to avoid a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Applicable Law</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order to determine liability, the court must address the issues of whether Mr. Bhagirath was negligent and whether he caused, in whole or in part, the plaintiff's injuries. The law is succinctly set out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6 and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On its own, proof by an injured plaintiff that a defendant was negligent does not make that defendant liable for the loss. The plaintiff must also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the standard of care) caused the injury. That link is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necessary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Turning first to the broad issue of causation, there are two ways Mr. Bhagirath can be found at fault for the Second Accident. If Mr. Bhagirath was negligent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found to be the sole cause of the accident, he will be solely responsible for damages suffered by the plaintiff that are attributable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Even if Mr. Katsonis is deemed to be at fault for the Second Accident, Mr. Bhagirath does not escape liability if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contributing cause of the Second Accident: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If so, the plaintiff is entitled to recover all her damages from Mr. Bhagirath pursuant to section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R.S.B.C., c. 333, which sets out the principle of joint and several liability. It applies where two or more persons cause damage to the plaintiff and where the plaintiff is not at fault.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and right of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89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4 ...</w:t>
            </w:r>
          </w:p>
        </w:tc>
        <w:tc>
          <w:tcPr>
            <w:tcW w:w="88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such, it is of no consequence whether Mr. Bhagirath's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or a contributing cause of the Second Accident. Whether either driver was negligent is in dispute. However for the purposes of the present action, and since there is no action against Mr. Katsonis by the plaintiff for liability with respect to the Second Accident, the only questions for this court are whether Mr. Bhagirath was more likely than not negligent and whether it is more likely than not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causing of the Second Accident. If either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causation has not been established on a balance of possibilities, this court cannot find Mr. Bhagirath liable.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It is uncontroversial that drivers owe a duty of care to their passengers to take reasonable steps to prevent foreseeable injuries. This includes compliance with the rules of the road and exercise of reasonable caution in the operation of a motor vehicle: </w:t>
      </w:r>
      <w:r>
        <w:rPr>
          <w:rFonts w:ascii="arial" w:eastAsia="arial" w:hAnsi="arial" w:cs="arial"/>
          <w:i/>
          <w:color w:val="000000"/>
          <w:sz w:val="20"/>
          <w:lang w:val="en-US" w:eastAsia="en-US" w:bidi="ar-SA"/>
        </w:rPr>
        <w:t>Galaske v. O'Donnell</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[1994] 1 SCR 670</w:t>
        </w:r>
      </w:hyperlink>
      <w:r>
        <w:rPr>
          <w:rFonts w:ascii="arial" w:eastAsia="arial" w:hAnsi="arial" w:cs="arial"/>
          <w:color w:val="000000"/>
          <w:sz w:val="20"/>
          <w:lang w:val="en-US" w:eastAsia="en-US" w:bidi="ar-SA"/>
        </w:rPr>
        <w:t xml:space="preserve"> at 680. The key question with respect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whether Mr. Bhagirath breached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parties are in agreement that the law of British Columbia applies to the Second Accident which occurred in New York State. Accordingly,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defines a driver's statutory duties with respect to a traffic light-controlled intersection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Obeying traffic controls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125 Unless otherwise directed by a peace officer or a person authorized by a peace officer to direct traffic, every driver of a vehicle and every pedestrian must obey the instructions of an applicable traffic control device.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Green light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127(1) When a green light alone is exhibited at an intersection by a traffic control signal,</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facing the green light</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may cause the vehicle to proceed straight through the intersection, or to turn left or right, subject to a sign or signal prohibiting a left or right turn, or both, or designating the turning movement permitted,</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pedestrians lawfully in the intersection or in an adjacent crosswalk at the time the green light is exhibited, and</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vehicles lawfully in the intersection at the time the green light became exhibited, and</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facing the green light may proceed across the roadway in a marked or unmarked crosswalk, subject to special pedestrian traffic control signals directing him or her otherwise, and has the right of way for that purpose over all vehicles.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Yellow light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128(1) When a yellow light alone is exhibited at an intersection by a traffic control signal, following the exhibition of a green light,</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Red light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129(1) Subject to subsection (2), when a red light alone is exhibited at an intersection by a traffic control signal, the driver of a vehicle approaching the intersection and facing the red light must cause it to stop before entering the marked crosswalk on the near side of the intersection, or if there is no marked crosswalk, before entering the intersection, and subject to the provisions of subsection (3), must not cause the vehicle to proceed until a traffic control signal instructs the driver that he or she is permitted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Additionally, s. 144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144(1) A person must not drive a motor vehicle on a highway</w:t>
      </w:r>
    </w:p>
    <w:p>
      <w:pPr>
        <w:numPr>
          <w:numId w:val="1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1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These provisions are not determinative of the common law duty of care owed by a driver to other drivers using the road. However, they are to be considered within the framework of Mr. Bhagirath's common law duty of care, in this case, to his passenger, the plaintiff: </w:t>
      </w:r>
      <w:r>
        <w:rPr>
          <w:rFonts w:ascii="arial" w:eastAsia="arial" w:hAnsi="arial" w:cs="arial"/>
          <w:i/>
          <w:color w:val="000000"/>
          <w:sz w:val="20"/>
          <w:lang w:val="en-US" w:eastAsia="en-US" w:bidi="ar-SA"/>
        </w:rPr>
        <w:t>Karran v. Anderson</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2008 BCCA 429</w:t>
        </w:r>
      </w:hyperlink>
      <w:r>
        <w:rPr>
          <w:rFonts w:ascii="arial" w:eastAsia="arial" w:hAnsi="arial" w:cs="arial"/>
          <w:color w:val="000000"/>
          <w:sz w:val="20"/>
          <w:lang w:val="en-US" w:eastAsia="en-US" w:bidi="ar-SA"/>
        </w:rPr>
        <w:t xml:space="preserve"> at para. 10. In determining whether Mr. Bhagirath is liable, this court must consider both whether he abided by the applicable legislative provisions and whether he met his common law duties of care. The standard of care applicable is informed by both the reasonableness of his actions and by the rules of the road: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"Travelling over the speed limit will only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speed prevented the driver from taking reasonable measure to avoid the collision": </w:t>
      </w:r>
      <w:r>
        <w:rPr>
          <w:rFonts w:ascii="arial" w:eastAsia="arial" w:hAnsi="arial" w:cs="arial"/>
          <w:i/>
          <w:color w:val="000000"/>
          <w:sz w:val="20"/>
          <w:lang w:val="en-US" w:eastAsia="en-US" w:bidi="ar-SA"/>
        </w:rPr>
        <w:t>Cooper v. Garrett</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2009 BCSC 35</w:t>
        </w:r>
      </w:hyperlink>
      <w:r>
        <w:rPr>
          <w:rFonts w:ascii="arial" w:eastAsia="arial" w:hAnsi="arial" w:cs="arial"/>
          <w:color w:val="000000"/>
          <w:sz w:val="20"/>
          <w:lang w:val="en-US" w:eastAsia="en-US" w:bidi="ar-SA"/>
        </w:rPr>
        <w:t xml:space="preserve"> at para. 42. In the absence of evidence that a lower speed may have mitigated or avoided the collision, a court is unlikely to find liability on the part of the speeding driver on the basis of their speed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 driver who lawfully enters an intersection has the statutory right of way; the driver does not lose this position by their own unreasonable actions. However, having the statutory right of way does not absolve a driver of the common law duty of care to avoid a collision which they reasonably should have foreseen and avoided: </w:t>
      </w:r>
      <w:r>
        <w:rPr>
          <w:rFonts w:ascii="arial" w:eastAsia="arial" w:hAnsi="arial" w:cs="arial"/>
          <w:i/>
          <w:color w:val="000000"/>
          <w:sz w:val="20"/>
          <w:lang w:val="en-US" w:eastAsia="en-US" w:bidi="ar-SA"/>
        </w:rPr>
        <w:t>Atchison v. Kummetz</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(1995), 59 B.C.A.C. 81</w:t>
        </w:r>
      </w:hyperlink>
      <w:r>
        <w:rPr>
          <w:rFonts w:ascii="arial" w:eastAsia="arial" w:hAnsi="arial" w:cs="arial"/>
          <w:color w:val="000000"/>
          <w:sz w:val="20"/>
          <w:lang w:val="en-US" w:eastAsia="en-US" w:bidi="ar-SA"/>
        </w:rPr>
        <w:t xml:space="preserve"> at paras. 19 and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Drivers are generally entitled to assume others will obey the rules of the road. However, when a driver has the right of way, they "must still be alert to signs of danger, or to actual conditions suggesting that there may be a danger, in presuming the right of way will be respected": </w:t>
      </w:r>
      <w:r>
        <w:rPr>
          <w:rFonts w:ascii="arial" w:eastAsia="arial" w:hAnsi="arial" w:cs="arial"/>
          <w:i/>
          <w:color w:val="000000"/>
          <w:sz w:val="20"/>
          <w:lang w:val="en-US" w:eastAsia="en-US" w:bidi="ar-SA"/>
        </w:rPr>
        <w:t>Chang v. Alcuaz</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2011 BCSC 843</w:t>
        </w:r>
      </w:hyperlink>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Nonetheless, a driver will not be held liable simply because they "failed to take extraordinary steps to avoid an accident or to show exceptional proficiency in the operation of a motor vehicle":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present case, there is a dispute as to whether Mr. Bhagirath had the right of way in entering the Second Intersection, and as such whether he was in the dominant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 driver in the dominant position will not be found liable where there is no evidence that they ought to have known the servient driver would fail to yield the right of way. However, the driver does have a duty to avoid a collision where they ought to have seen or could reasonably have been expected to realize that another driver was not going to yield the right of way: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2008 BCCA 6</w:t>
        </w:r>
      </w:hyperlink>
      <w:r>
        <w:rPr>
          <w:rFonts w:ascii="arial" w:eastAsia="arial" w:hAnsi="arial" w:cs="arial"/>
          <w:color w:val="000000"/>
          <w:sz w:val="20"/>
          <w:lang w:val="en-US" w:eastAsia="en-US" w:bidi="ar-SA"/>
        </w:rPr>
        <w:t xml:space="preserve"> at paras. 25-27.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duty to avoid a collision in these circumstances requires a finding that the dominant driver did in fact have a sufficient opportunity to avoid the accident, being an opportunity of which a reasonably careful and skilful driver would have availed themself: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461. It must be shown that the driver in the dominant position could have avoided the collision had they exercised reasonable care: </w:t>
      </w:r>
      <w:r>
        <w:rPr>
          <w:rFonts w:ascii="arial" w:eastAsia="arial" w:hAnsi="arial" w:cs="arial"/>
          <w:i/>
          <w:color w:val="000000"/>
          <w:sz w:val="20"/>
          <w:lang w:val="en-US" w:eastAsia="en-US" w:bidi="ar-SA"/>
        </w:rPr>
        <w:t>Brewster (Guardian ad litem of) v. Swain</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2007 BCCA 347</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duty to pay due care and attention extends more broadly than the duty to avoid a collision. Flowing from the general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a duty to drive in a manner that is objectively reasonable given the surrounding circumstances or not to depart from the standard that would be expected of a reasonable and sober driver in the circumstances. In that sense, the content of the duty is fact-specific, and varies based on factors such as weather conditions and flow of traffic. It includes and assumes that one must be on the lookout for unexpected manoeuvres by other drivers. As stated by Madam Justice Kirkpatrick, the "burden imposed upon drivers is reasonably high": </w:t>
      </w:r>
      <w:r>
        <w:rPr>
          <w:rFonts w:ascii="arial" w:eastAsia="arial" w:hAnsi="arial" w:cs="arial"/>
          <w:i/>
          <w:color w:val="000000"/>
          <w:sz w:val="20"/>
          <w:lang w:val="en-US" w:eastAsia="en-US" w:bidi="ar-SA"/>
        </w:rPr>
        <w:t>Stanowski v. Sammat</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[1993] B.C.J. No. 1455</w:t>
        </w:r>
      </w:hyperlink>
      <w:r>
        <w:rPr>
          <w:rFonts w:ascii="arial" w:eastAsia="arial" w:hAnsi="arial" w:cs="arial"/>
          <w:color w:val="000000"/>
          <w:sz w:val="20"/>
          <w:lang w:val="en-US" w:eastAsia="en-US" w:bidi="ar-SA"/>
        </w:rPr>
        <w:t xml:space="preserve"> (S.C.) at para. 29, as cited by </w:t>
      </w:r>
      <w:r>
        <w:rPr>
          <w:rFonts w:ascii="arial" w:eastAsia="arial" w:hAnsi="arial" w:cs="arial"/>
          <w:i/>
          <w:color w:val="000000"/>
          <w:sz w:val="20"/>
          <w:lang w:val="en-US" w:eastAsia="en-US" w:bidi="ar-SA"/>
        </w:rPr>
        <w:t>Power v. White</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2012 BCCA 197</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Plaintiff's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Whether the plaintiff's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Bhagirath is a factual enquiry and thus dependent upon the evidence. The court may dismiss a claim where there is insufficient evidence as to the cause of a collision, including where the issue of which driver entered an intersection on a red light is surrounded by so much speculation and conjecture that it is impossible to find that either is at fault: </w:t>
      </w:r>
      <w:r>
        <w:rPr>
          <w:rFonts w:ascii="arial" w:eastAsia="arial" w:hAnsi="arial" w:cs="arial"/>
          <w:i/>
          <w:color w:val="000000"/>
          <w:sz w:val="20"/>
          <w:lang w:val="en-US" w:eastAsia="en-US" w:bidi="ar-SA"/>
        </w:rPr>
        <w:t>Schneider v. DeMarco</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2012 BCSC 1875</w:t>
        </w:r>
      </w:hyperlink>
      <w:r>
        <w:rPr>
          <w:rFonts w:ascii="arial" w:eastAsia="arial" w:hAnsi="arial" w:cs="arial"/>
          <w:color w:val="000000"/>
          <w:sz w:val="20"/>
          <w:lang w:val="en-US" w:eastAsia="en-US" w:bidi="ar-SA"/>
        </w:rPr>
        <w:t xml:space="preserve"> at paras. 11-15, as cited in Libby and Choi, </w:t>
      </w:r>
      <w:r>
        <w:rPr>
          <w:rFonts w:ascii="arial" w:eastAsia="arial" w:hAnsi="arial" w:cs="arial"/>
          <w:i/>
          <w:color w:val="000000"/>
          <w:sz w:val="20"/>
          <w:lang w:val="en-US" w:eastAsia="en-US" w:bidi="ar-SA"/>
        </w:rPr>
        <w:t>Annotated British Columbia Motor Vehicle Act</w:t>
      </w:r>
      <w:r>
        <w:rPr>
          <w:rFonts w:ascii="arial" w:eastAsia="arial" w:hAnsi="arial" w:cs="arial"/>
          <w:color w:val="000000"/>
          <w:sz w:val="20"/>
          <w:lang w:val="en-US" w:eastAsia="en-US" w:bidi="ar-SA"/>
        </w:rPr>
        <w:t xml:space="preserve"> (Toronto: Thomson Reuters, 2017); </w:t>
      </w:r>
      <w:r>
        <w:rPr>
          <w:rFonts w:ascii="arial" w:eastAsia="arial" w:hAnsi="arial" w:cs="arial"/>
          <w:i/>
          <w:color w:val="000000"/>
          <w:sz w:val="20"/>
          <w:lang w:val="en-US" w:eastAsia="en-US" w:bidi="ar-SA"/>
        </w:rPr>
        <w:t>Haswell v. Enman</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28 D.L.R. (2d) 537</w:t>
        </w:r>
      </w:hyperlink>
      <w:r>
        <w:rPr>
          <w:rFonts w:ascii="arial" w:eastAsia="arial" w:hAnsi="arial" w:cs="arial"/>
          <w:color w:val="000000"/>
          <w:sz w:val="20"/>
          <w:lang w:val="en-US" w:eastAsia="en-US" w:bidi="ar-SA"/>
        </w:rPr>
        <w:t xml:space="preserve"> (B.C.C.A.) at 539.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Lynch v. Insurance Corp. of British Columbia</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(1996), 18 B.C.L.R. (3d) 214</w:t>
        </w:r>
      </w:hyperlink>
      <w:r>
        <w:rPr>
          <w:rFonts w:ascii="arial" w:eastAsia="arial" w:hAnsi="arial" w:cs="arial"/>
          <w:color w:val="000000"/>
          <w:sz w:val="20"/>
          <w:lang w:val="en-US" w:eastAsia="en-US" w:bidi="ar-SA"/>
        </w:rPr>
        <w:t xml:space="preserve"> (C.A.), upheld a trial judge's decision to dismiss an action on the grounds that there was an absence of significant and dependable evidence that the plaintiff, a passenger, had discharged his burden of proving the driver was negligent. In that case, having found that all that had been proved is that an accident had occurred, based on circumstantial evidence of a broken Hydro pole and the car being off the road on its side, the trial judge would have needed to embark upon speculation and conjecture in order to pinpoint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However, the court should be wary of dismissing a claim on this type of uncertainty too readily where it may have been able to resolve basic factual questions that could have enabled it to resolve the critical issue of which of two drivers entered the intersection on a red light. This principle is best set out in </w:t>
      </w:r>
      <w:r>
        <w:rPr>
          <w:rFonts w:ascii="arial" w:eastAsia="arial" w:hAnsi="arial" w:cs="arial"/>
          <w:i/>
          <w:color w:val="000000"/>
          <w:sz w:val="20"/>
          <w:lang w:val="en-US" w:eastAsia="en-US" w:bidi="ar-SA"/>
        </w:rPr>
        <w:t>Hudak v. Gorse</w:t>
      </w:r>
      <w:r>
        <w:rPr>
          <w:rFonts w:ascii="arial" w:eastAsia="arial" w:hAnsi="arial" w:cs="arial"/>
          <w:color w:val="000000"/>
          <w:sz w:val="20"/>
          <w:lang w:val="en-US" w:eastAsia="en-US" w:bidi="ar-SA"/>
        </w:rPr>
        <w:t xml:space="preserve"> (1995), </w:t>
      </w:r>
      <w:hyperlink r:id="rId256" w:history="1">
        <w:r>
          <w:rPr>
            <w:rFonts w:ascii="arial" w:eastAsia="arial" w:hAnsi="arial" w:cs="arial"/>
            <w:i/>
            <w:color w:val="0077CC"/>
            <w:sz w:val="20"/>
            <w:u w:val="single"/>
            <w:shd w:val="clear" w:color="auto" w:fill="FFFFFF"/>
            <w:lang w:val="en-US" w:eastAsia="en-US" w:bidi="ar-SA"/>
          </w:rPr>
          <w:t>[1995] B.C.J. No. 1601</w:t>
        </w:r>
      </w:hyperlink>
      <w:r>
        <w:rPr>
          <w:rFonts w:ascii="arial" w:eastAsia="arial" w:hAnsi="arial" w:cs="arial"/>
          <w:color w:val="000000"/>
          <w:sz w:val="20"/>
          <w:lang w:val="en-US" w:eastAsia="en-US" w:bidi="ar-SA"/>
        </w:rPr>
        <w:t xml:space="preserve"> (C.A.)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Hudak</w:t>
      </w:r>
      <w:r>
        <w:rPr>
          <w:rFonts w:ascii="arial" w:eastAsia="arial" w:hAnsi="arial" w:cs="arial"/>
          <w:color w:val="000000"/>
          <w:sz w:val="20"/>
          <w:lang w:val="en-US" w:eastAsia="en-US" w:bidi="ar-SA"/>
        </w:rPr>
        <w:t>, the court of appeal described the proper approach to liability where there is no independent evidence, either direct or circumstantial, to determine which of two drivers involved in a two-vehicle collision in a traffic light-controlled intersection had the right of way. Both drivers, the plaintiff and defendant, respectively, maintained that they entered on a green light. Justice Hollinrake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exercise of concluding whether a plaintiff has met the onus of proof on him or her in an action such as this ends with that quandary in the mind of the trial judge he or she would have no alternative but to dismiss the action for want of proof as this trial judge did. However, in my opinion, where the judge does not reject the evidence of the plaintiff but rather concludes that he or she cannot prefer the plaintiff's evidence over the defendant's, I think the judge should go on to consider the probabilities of what happened based on the evidence he or she does not reject.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Viewing the probabilities of what happened can be, and I do not say necessarily is, a useful tool in coming to a conclusion on an issue of credibility such as this trial judge had before him. It is not infrequent that a trial judge will conclude that witnesses on both sides of the case are telling the truth as they see it where on the evidence someone has to be wrong. A consideration of what probably happened based on the whole of the evidence could lead to a finding of whose evidence is to be accepted. Here, I am not satisfied the trial judge engaged in the exercise of considering on the evidence as a whole, excluding that evidence not considered as being worthy of credit, what probably happened thus leading to a conclusion of which party's evidence should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Lord Justice Jenkins, in an oft-cited passage, made similar comments confirming that it is a trial judge's duty to make a determination where there is evidence to do so in </w:t>
      </w:r>
      <w:r>
        <w:rPr>
          <w:rFonts w:ascii="arial" w:eastAsia="arial" w:hAnsi="arial" w:cs="arial"/>
          <w:i/>
          <w:color w:val="000000"/>
          <w:sz w:val="20"/>
          <w:lang w:val="en-US" w:eastAsia="en-US" w:bidi="ar-SA"/>
        </w:rPr>
        <w:t>Bray v. Palmer</w:t>
      </w:r>
      <w:r>
        <w:rPr>
          <w:rFonts w:ascii="arial" w:eastAsia="arial" w:hAnsi="arial" w:cs="arial"/>
          <w:color w:val="000000"/>
          <w:sz w:val="20"/>
          <w:lang w:val="en-US" w:eastAsia="en-US" w:bidi="ar-SA"/>
        </w:rPr>
        <w:t>, [1953] 2 All E.R. 1449 (Eng. C.A.) at 1451: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doubt that a judge is entitled in an action for damages for personal injury occasioned by the negligent driving of the defendant to reject the plaintiffs' case if, in the view of the judge, the evidence does not suffice to make out that case. The onus is on the plaintiff. The same, of course, applies where there is a counterclaim; the onus is on the defendant to make the counterclaim.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part of the defendant it is said, in effect, that the present case was a simple case of the learned judge rejecting the plaintiff's claim on the ground that they had not discharged the onus which lay on them and, similarly, rejecting the defendant's counterclaim. In my view, the case is not of that simple character. Oliver J., did not simply reject the plaintiff's and the defendant's evidence, and say: I do not believe that the accident happened in the way claimed by either side. If he had done that, his decision would not, as far as I can see, be open to any criticism. The judge's reasoning appears, in effect, to have been: The choice lies between the plaintiff's story and the defendant's story, either of which may, and one of which must, be true. If the plaintiff's story is true, they are entitled to succeed, but I am unable to say whether or not it is true, as it is equally possible that the defendant's story may be the true one. I will therefore, grant no relief either way. This seems to me to fall short of a decision of the case. Having come to the conclusion that the accident happened in the way asserted either by the plaintiffs or by the defendants, he said, in effect that he was unable to decide which story was right. With the greatest respect to Oliver J., that seems to me to be a denial of justice. It can only mean that the parties are deprived of relief to which they are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primacy of the evidence is illustrated in the case of </w:t>
      </w:r>
      <w:r>
        <w:rPr>
          <w:rFonts w:ascii="arial" w:eastAsia="arial" w:hAnsi="arial" w:cs="arial"/>
          <w:i/>
          <w:color w:val="000000"/>
          <w:sz w:val="20"/>
          <w:lang w:val="en-US" w:eastAsia="en-US" w:bidi="ar-SA"/>
        </w:rPr>
        <w:t>Lutley v. Southern</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2011 BCCA 299</w:t>
        </w:r>
      </w:hyperlink>
      <w:r>
        <w:rPr>
          <w:rFonts w:ascii="arial" w:eastAsia="arial" w:hAnsi="arial" w:cs="arial"/>
          <w:color w:val="000000"/>
          <w:sz w:val="20"/>
          <w:lang w:val="en-US" w:eastAsia="en-US" w:bidi="ar-SA"/>
        </w:rPr>
        <w:t xml:space="preserve"> at paras. 55-56. The circumstances of </w:t>
      </w:r>
      <w:r>
        <w:rPr>
          <w:rFonts w:ascii="arial" w:eastAsia="arial" w:hAnsi="arial" w:cs="arial"/>
          <w:i/>
          <w:color w:val="000000"/>
          <w:sz w:val="20"/>
          <w:lang w:val="en-US" w:eastAsia="en-US" w:bidi="ar-SA"/>
        </w:rPr>
        <w:t>Lutley</w:t>
      </w:r>
      <w:r>
        <w:rPr>
          <w:rFonts w:ascii="arial" w:eastAsia="arial" w:hAnsi="arial" w:cs="arial"/>
          <w:color w:val="000000"/>
          <w:sz w:val="20"/>
          <w:lang w:val="en-US" w:eastAsia="en-US" w:bidi="ar-SA"/>
        </w:rPr>
        <w:t xml:space="preserve"> involved two drivers, the plaintiff and defendant, respectively, who collided in an intersection with a flashing green light. Justice Donald, for the majority, found that liability did not need to be resolved by the question of who had the right of way, since the evidence demonstrated that both drivers proceeded in the intersection, in circumstances that warranted caution, without knowing whether it was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 trial judge's role in the face of an absence of evidence is addressed in the following comments of Davey J.A. in </w:t>
      </w:r>
      <w:r>
        <w:rPr>
          <w:rFonts w:ascii="arial" w:eastAsia="arial" w:hAnsi="arial" w:cs="arial"/>
          <w:i/>
          <w:color w:val="000000"/>
          <w:sz w:val="20"/>
          <w:lang w:val="en-US" w:eastAsia="en-US" w:bidi="ar-SA"/>
        </w:rPr>
        <w:t>Haswell</w:t>
      </w:r>
      <w:r>
        <w:rPr>
          <w:rFonts w:ascii="arial" w:eastAsia="arial" w:hAnsi="arial" w:cs="arial"/>
          <w:color w:val="000000"/>
          <w:sz w:val="20"/>
          <w:lang w:val="en-US" w:eastAsia="en-US" w:bidi="ar-SA"/>
        </w:rPr>
        <w:t xml:space="preserve"> at 540-541: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 it is a case, not so much of the probabilities being evenly divided, as an absence of evidence concerning the events causing the accident. It is one thing to assess the probabilities on sketchy evidence covering the whole of the accident, but another thing to attempt to draw inferences and assess the probabilities when the evidence shows that the important matters are not before the Court. To attempt to determine the cause of the collision and the several or combined responsibility of the parties under those circumstances would be to substitute speculation and conjecture for inference. In my respectful opinion, considering the state of the evidence, the reasoning employed by the learned trial Judge is supported by the judgment of the Supreme Court of Canada in </w:t>
      </w:r>
      <w:r>
        <w:rPr>
          <w:rFonts w:ascii="arial" w:eastAsia="arial" w:hAnsi="arial" w:cs="arial"/>
          <w:i/>
          <w:color w:val="000000"/>
          <w:sz w:val="20"/>
          <w:lang w:val="en-US" w:eastAsia="en-US" w:bidi="ar-SA"/>
        </w:rPr>
        <w:t>Wotta v. Haliburton Oil Well Cementing Co.</w:t>
      </w:r>
      <w:r>
        <w:rPr>
          <w:rFonts w:ascii="arial" w:eastAsia="arial" w:hAnsi="arial" w:cs="arial"/>
          <w:color w:val="000000"/>
          <w:sz w:val="20"/>
          <w:lang w:val="en-US" w:eastAsia="en-US" w:bidi="ar-SA"/>
        </w:rPr>
        <w:t xml:space="preserve">, [ </w:t>
      </w:r>
      <w:hyperlink r:id="rId258" w:history="1">
        <w:r>
          <w:rPr>
            <w:rFonts w:ascii="arial" w:eastAsia="arial" w:hAnsi="arial" w:cs="arial"/>
            <w:i/>
            <w:color w:val="0077CC"/>
            <w:sz w:val="20"/>
            <w:u w:val="single"/>
            <w:shd w:val="clear" w:color="auto" w:fill="FFFFFF"/>
            <w:lang w:val="en-US" w:eastAsia="en-US" w:bidi="ar-SA"/>
          </w:rPr>
          <w:t>[1955] S.C.R. 377</w:t>
        </w:r>
      </w:hyperlink>
      <w:r>
        <w:rPr>
          <w:rFonts w:ascii="arial" w:eastAsia="arial" w:hAnsi="arial" w:cs="arial"/>
          <w:color w:val="000000"/>
          <w:sz w:val="20"/>
          <w:lang w:val="en-US" w:eastAsia="en-US" w:bidi="ar-SA"/>
        </w:rPr>
        <w:t xml:space="preserve">], and the claim and counterclaim were properly dismissed because neither party discharged the burden resting upon him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Justice Davey relied on an earlier decision of the Supreme Court of Canada, </w:t>
      </w:r>
      <w:r>
        <w:rPr>
          <w:rFonts w:ascii="arial" w:eastAsia="arial" w:hAnsi="arial" w:cs="arial"/>
          <w:i/>
          <w:color w:val="000000"/>
          <w:sz w:val="20"/>
          <w:lang w:val="en-US" w:eastAsia="en-US" w:bidi="ar-SA"/>
        </w:rPr>
        <w:t>Wotta v. Haliburton Oil Well Cementing Co.</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[1955] S.C.R. 377</w:t>
        </w:r>
      </w:hyperlink>
      <w:r>
        <w:rPr>
          <w:rFonts w:ascii="arial" w:eastAsia="arial" w:hAnsi="arial" w:cs="arial"/>
          <w:color w:val="000000"/>
          <w:sz w:val="20"/>
          <w:lang w:val="en-US" w:eastAsia="en-US" w:bidi="ar-SA"/>
        </w:rPr>
        <w:t>, for the proposition at issue, namely that where the evidential record demonstrates there are important matters on which there is no evidence, trial judges should not substitute speculation for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 description of the tension that exists in these two propositions, namely that it is the court's duty to make a determination on the evidence, and that the court should not speculate, is found in this passage from Segal, </w:t>
      </w:r>
      <w:r>
        <w:rPr>
          <w:rFonts w:ascii="arial" w:eastAsia="arial" w:hAnsi="arial" w:cs="arial"/>
          <w:i/>
          <w:color w:val="000000"/>
          <w:sz w:val="20"/>
          <w:lang w:val="en-US" w:eastAsia="en-US" w:bidi="ar-SA"/>
        </w:rPr>
        <w:t>Manual of Motor Vehicle Law</w:t>
      </w:r>
      <w:r>
        <w:rPr>
          <w:rFonts w:ascii="arial" w:eastAsia="arial" w:hAnsi="arial" w:cs="arial"/>
          <w:color w:val="000000"/>
          <w:sz w:val="20"/>
          <w:lang w:val="en-US" w:eastAsia="en-US" w:bidi="ar-SA"/>
        </w:rPr>
        <w:t>, 3rd ed (Toronto: Carswell, 2014) at 35-48.23 - 35-49: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Accordingly, where there is a complete absence of evidence of the events surrounding the accident and it is impossible to infer from the facts where responsibility lies the Court will not engage in speculation and conjecture but will dismiss the action: </w:t>
      </w:r>
      <w:r>
        <w:rPr>
          <w:rFonts w:ascii="arial" w:eastAsia="arial" w:hAnsi="arial" w:cs="arial"/>
          <w:i/>
          <w:color w:val="000000"/>
          <w:sz w:val="20"/>
          <w:lang w:val="en-US" w:eastAsia="en-US" w:bidi="ar-SA"/>
        </w:rPr>
        <w:t>Wotta v. Haliburton Oil Well Cementing Co.</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[1955] S.C.R. 377</w:t>
        </w:r>
      </w:hyperlink>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[1955] 2 D.L.R. 785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Haswell v. Enman</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(1961), 28 D.L.R. (2d) 537</w:t>
        </w:r>
      </w:hyperlink>
      <w:r>
        <w:rPr>
          <w:rFonts w:ascii="arial" w:eastAsia="arial" w:hAnsi="arial" w:cs="arial"/>
          <w:color w:val="000000"/>
          <w:sz w:val="20"/>
          <w:lang w:val="en-US" w:eastAsia="en-US" w:bidi="ar-SA"/>
        </w:rPr>
        <w:t xml:space="preserve"> (B.C. C.A.). But if the accident is one which could not have occurred in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has been said that the action should not be dismissed and that it is the trial judge's duty on the evidence to reach a conclusion as to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either or both, caused the accident: </w:t>
      </w:r>
      <w:r>
        <w:rPr>
          <w:rFonts w:ascii="arial" w:eastAsia="arial" w:hAnsi="arial" w:cs="arial"/>
          <w:i/>
          <w:color w:val="000000"/>
          <w:sz w:val="20"/>
          <w:lang w:val="en-US" w:eastAsia="en-US" w:bidi="ar-SA"/>
        </w:rPr>
        <w:t>Morrow v. McNeil</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[1957] O.W.N. 254</w:t>
        </w:r>
      </w:hyperlink>
      <w:r>
        <w:rPr>
          <w:rFonts w:ascii="arial" w:eastAsia="arial" w:hAnsi="arial" w:cs="arial"/>
          <w:color w:val="000000"/>
          <w:sz w:val="20"/>
          <w:lang w:val="en-US" w:eastAsia="en-US" w:bidi="ar-SA"/>
        </w:rPr>
        <w:t xml:space="preserve"> (C.A.). And where the nature of the accident is such (as, e.g., a collision in the centre of the road)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w:t>
      </w:r>
      <w:r>
        <w:rPr>
          <w:rFonts w:ascii="arial" w:eastAsia="arial" w:hAnsi="arial" w:cs="arial"/>
          <w:i/>
          <w:color w:val="000000"/>
          <w:sz w:val="20"/>
          <w:lang w:val="en-US" w:eastAsia="en-US" w:bidi="ar-SA"/>
        </w:rPr>
        <w:t>each</w:t>
      </w:r>
      <w:r>
        <w:rPr>
          <w:rFonts w:ascii="arial" w:eastAsia="arial" w:hAnsi="arial" w:cs="arial"/>
          <w:color w:val="000000"/>
          <w:sz w:val="20"/>
          <w:lang w:val="en-US" w:eastAsia="en-US" w:bidi="ar-SA"/>
        </w:rPr>
        <w:t xml:space="preserve"> driver might, in the absence of a satisfactory explanation, be properly inferred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has been established and liability may be equally apportioned: </w:t>
      </w:r>
      <w:r>
        <w:rPr>
          <w:rFonts w:ascii="arial" w:eastAsia="arial" w:hAnsi="arial" w:cs="arial"/>
          <w:i/>
          <w:color w:val="000000"/>
          <w:sz w:val="20"/>
          <w:lang w:val="en-US" w:eastAsia="en-US" w:bidi="ar-SA"/>
        </w:rPr>
        <w:t>Bray v. Palmer</w:t>
      </w:r>
      <w:r>
        <w:rPr>
          <w:rFonts w:ascii="arial" w:eastAsia="arial" w:hAnsi="arial" w:cs="arial"/>
          <w:color w:val="000000"/>
          <w:sz w:val="20"/>
          <w:lang w:val="en-US" w:eastAsia="en-US" w:bidi="ar-SA"/>
        </w:rPr>
        <w:t xml:space="preserve">, [1953] 2 All E.R. 1449 (C.A.); </w:t>
      </w:r>
      <w:r>
        <w:rPr>
          <w:rFonts w:ascii="arial" w:eastAsia="arial" w:hAnsi="arial" w:cs="arial"/>
          <w:i/>
          <w:color w:val="000000"/>
          <w:sz w:val="20"/>
          <w:lang w:val="en-US" w:eastAsia="en-US" w:bidi="ar-SA"/>
        </w:rPr>
        <w:t>Fogel v. Satmik</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(1960), 23 D.L.R. (2d) 630</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Vaughan v. Isenor</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[1955] 2 D.L.R. 403</w:t>
        </w:r>
      </w:hyperlink>
      <w:r>
        <w:rPr>
          <w:rFonts w:ascii="arial" w:eastAsia="arial" w:hAnsi="arial" w:cs="arial"/>
          <w:color w:val="000000"/>
          <w:sz w:val="20"/>
          <w:lang w:val="en-US" w:eastAsia="en-US" w:bidi="ar-SA"/>
        </w:rPr>
        <w:t xml:space="preserve"> (N.S. T.D.); </w:t>
      </w:r>
      <w:r>
        <w:rPr>
          <w:rFonts w:ascii="arial" w:eastAsia="arial" w:hAnsi="arial" w:cs="arial"/>
          <w:i/>
          <w:color w:val="000000"/>
          <w:sz w:val="20"/>
          <w:lang w:val="en-US" w:eastAsia="en-US" w:bidi="ar-SA"/>
        </w:rPr>
        <w:t>Leaman v. Rea</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[1954] 4 D.L.R. 423</w:t>
        </w:r>
      </w:hyperlink>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35 M.P.R. 125</w:t>
        </w:r>
      </w:hyperlink>
      <w:r>
        <w:rPr>
          <w:rFonts w:ascii="arial" w:eastAsia="arial" w:hAnsi="arial" w:cs="arial"/>
          <w:color w:val="000000"/>
          <w:sz w:val="20"/>
          <w:lang w:val="en-US" w:eastAsia="en-US" w:bidi="ar-SA"/>
        </w:rPr>
        <w:t xml:space="preserve"> (N.B. C.A.) seems to go further and to suggest that both drivers should be found equally at fault if the collision occurs under such circumstances that there must have been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w:t>
      </w:r>
      <w:r>
        <w:rPr>
          <w:rFonts w:ascii="arial" w:eastAsia="arial" w:hAnsi="arial" w:cs="arial"/>
          <w:i/>
          <w:color w:val="000000"/>
          <w:sz w:val="20"/>
          <w:lang w:val="en-US" w:eastAsia="en-US" w:bidi="ar-SA"/>
        </w:rPr>
        <w:t>one</w:t>
      </w:r>
      <w:r>
        <w:rPr>
          <w:rFonts w:ascii="arial" w:eastAsia="arial" w:hAnsi="arial" w:cs="arial"/>
          <w:color w:val="000000"/>
          <w:sz w:val="20"/>
          <w:lang w:val="en-US" w:eastAsia="en-US" w:bidi="ar-SA"/>
        </w:rPr>
        <w:t xml:space="preserve"> or both drivers, and the Court is unable to distinguish between such drivers as to liability; this proposition is too broad and cannot be supported in light of </w:t>
      </w:r>
      <w:r>
        <w:rPr>
          <w:rFonts w:ascii="arial" w:eastAsia="arial" w:hAnsi="arial" w:cs="arial"/>
          <w:i/>
          <w:color w:val="000000"/>
          <w:sz w:val="20"/>
          <w:lang w:val="en-US" w:eastAsia="en-US" w:bidi="ar-SA"/>
        </w:rPr>
        <w:t>Wotta v. Haliburton Oil Well Cementing Co., supra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Discussion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Following the Second Accident on April 25, 2011, the plaintiff commenced lawsuits in both British Columbia and in New York State. The lawsuit in New York brought against Mr. Katsonis alleged that the collision and injuries resulting therefrom were due "solely and wholly to the careless and negligent manner" in which Mr. Katsonis operated, controlled and maintained his motor vehicle. The plaintiff alleged: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aforesaid collision and injuries resulting therefrom were due solely and wholly to the careless negligent manner in which the Defendant Katsonis operated, controlled, and maintained his motor vehicle, without this Plaintiff in any way contributing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lawsuit against Mr. Katsonis in New York was stayed on September 8, 2015 as a consequence of the plaintiff failing to communicate with her New York lawyers and ultimately failing to attend the equivalent of a Trial Management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Bhagirath says that the plaintiff did not file a complaint against her American lawyers, nor has she alleged that they failed to follow instructions. He submits that there is an obvious inference that the plaintiff has shifted her position with respect to who was actually responsible 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is Mr. Bhagirath's submission that, due to these circumstances, the court should draw an adverse finding against the plaintiff for failing to call Mr. Katsonis to testify as part of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Thomasson v. Moeller</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2016 BCCA 14</w:t>
        </w:r>
      </w:hyperlink>
      <w:r>
        <w:rPr>
          <w:rFonts w:ascii="arial" w:eastAsia="arial" w:hAnsi="arial" w:cs="arial"/>
          <w:color w:val="000000"/>
          <w:sz w:val="20"/>
          <w:lang w:val="en-US" w:eastAsia="en-US" w:bidi="ar-SA"/>
        </w:rPr>
        <w:t>, the court of appeal stated the following concerning the discretion of the court to draw an adverse inference: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law relevant to adverse inferences was helpfully summarized in </w:t>
      </w:r>
      <w:r>
        <w:rPr>
          <w:rFonts w:ascii="arial" w:eastAsia="arial" w:hAnsi="arial" w:cs="arial"/>
          <w:i/>
          <w:color w:val="000000"/>
          <w:sz w:val="20"/>
          <w:lang w:val="en-US" w:eastAsia="en-US" w:bidi="ar-SA"/>
        </w:rPr>
        <w:t>Zawadski v. Calimoso</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where Mr. Justice Voith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[149] An adverse inference may be drawn against a party if, without sufficient explanation, that party fails to call a witness who might be expected to provide important supporting evidence if their case was sound: [citation omitted]. </w:t>
      </w:r>
      <w:r>
        <w:rPr>
          <w:rFonts w:ascii="arial" w:eastAsia="arial" w:hAnsi="arial" w:cs="arial"/>
          <w:color w:val="000000"/>
          <w:sz w:val="20"/>
          <w:u w:val="single"/>
          <w:lang w:val="en-US" w:eastAsia="en-US" w:bidi="ar-SA"/>
        </w:rPr>
        <w:t>The inference is not to be drawn if the witness is equally available to both parties and unless a prima facie case is established</w:t>
      </w:r>
      <w:r>
        <w:rPr>
          <w:rFonts w:ascii="arial" w:eastAsia="arial" w:hAnsi="arial" w:cs="arial"/>
          <w:color w:val="000000"/>
          <w:sz w:val="20"/>
          <w:lang w:val="en-US" w:eastAsia="en-US" w:bidi="ar-SA"/>
        </w:rPr>
        <w:t>: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Noting that the scope and effect of the adverse inference doctrine are often misunderstood, the court of appeal in </w:t>
      </w:r>
      <w:r>
        <w:rPr>
          <w:rFonts w:ascii="arial" w:eastAsia="arial" w:hAnsi="arial" w:cs="arial"/>
          <w:i/>
          <w:color w:val="000000"/>
          <w:sz w:val="20"/>
          <w:lang w:val="en-US" w:eastAsia="en-US" w:bidi="ar-SA"/>
        </w:rPr>
        <w:t>Rohl v. British Columbia (Superintendent of Motor Vehicles)</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2018 BCCA 316</w:t>
        </w:r>
      </w:hyperlink>
      <w:r>
        <w:rPr>
          <w:rFonts w:ascii="arial" w:eastAsia="arial" w:hAnsi="arial" w:cs="arial"/>
          <w:color w:val="000000"/>
          <w:sz w:val="20"/>
          <w:lang w:val="en-US" w:eastAsia="en-US" w:bidi="ar-SA"/>
        </w:rPr>
        <w:t xml:space="preserve"> at paras. 1-5, provided a more fulsome discussion of the relevant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In [</w:t>
      </w:r>
      <w:r>
        <w:rPr>
          <w:rFonts w:ascii="arial" w:eastAsia="arial" w:hAnsi="arial" w:cs="arial"/>
          <w:i/>
          <w:color w:val="000000"/>
          <w:sz w:val="20"/>
          <w:lang w:val="en-US" w:eastAsia="en-US" w:bidi="ar-SA"/>
        </w:rPr>
        <w:t>R. v. Jolivet</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2000 SCC 29</w:t>
        </w:r>
      </w:hyperlink>
      <w:r>
        <w:rPr>
          <w:rFonts w:ascii="arial" w:eastAsia="arial" w:hAnsi="arial" w:cs="arial"/>
          <w:color w:val="000000"/>
          <w:sz w:val="20"/>
          <w:lang w:val="en-US" w:eastAsia="en-US" w:bidi="ar-SA"/>
        </w:rPr>
        <w:t xml:space="preserve">], Binnie J. emphasized that </w:t>
      </w:r>
      <w:r>
        <w:rPr>
          <w:rFonts w:ascii="arial" w:eastAsia="arial" w:hAnsi="arial" w:cs="arial"/>
          <w:color w:val="000000"/>
          <w:sz w:val="20"/>
          <w:u w:val="single"/>
          <w:lang w:val="en-US" w:eastAsia="en-US" w:bidi="ar-SA"/>
        </w:rPr>
        <w:t>one must be "precise" about the exact nature of the adverse inference sought to be drawn</w:t>
      </w:r>
      <w:r>
        <w:rPr>
          <w:rFonts w:ascii="arial" w:eastAsia="arial" w:hAnsi="arial" w:cs="arial"/>
          <w:color w:val="000000"/>
          <w:sz w:val="20"/>
          <w:lang w:val="en-US" w:eastAsia="en-US" w:bidi="ar-SA"/>
        </w:rPr>
        <w:t xml:space="preserve">, endorsing the suggestion made in the Lederman text that in Canada, the inference is generally that the evidence of the absent witness </w:t>
      </w:r>
      <w:r>
        <w:rPr>
          <w:rFonts w:ascii="arial" w:eastAsia="arial" w:hAnsi="arial" w:cs="arial"/>
          <w:i/>
          <w:color w:val="000000"/>
          <w:sz w:val="20"/>
          <w:lang w:val="en-US" w:eastAsia="en-US" w:bidi="ar-SA"/>
        </w:rPr>
        <w:t>would not support</w:t>
      </w:r>
      <w:r>
        <w:rPr>
          <w:rFonts w:ascii="arial" w:eastAsia="arial" w:hAnsi="arial" w:cs="arial"/>
          <w:color w:val="000000"/>
          <w:sz w:val="20"/>
          <w:lang w:val="en-US" w:eastAsia="en-US" w:bidi="ar-SA"/>
        </w:rPr>
        <w:t xml:space="preserve"> or, more significantly, that it would be </w:t>
      </w:r>
      <w:r>
        <w:rPr>
          <w:rFonts w:ascii="arial" w:eastAsia="arial" w:hAnsi="arial" w:cs="arial"/>
          <w:i/>
          <w:color w:val="000000"/>
          <w:sz w:val="20"/>
          <w:lang w:val="en-US" w:eastAsia="en-US" w:bidi="ar-SA"/>
        </w:rPr>
        <w:t>contrary to</w:t>
      </w:r>
      <w:r>
        <w:rPr>
          <w:rFonts w:ascii="arial" w:eastAsia="arial" w:hAnsi="arial" w:cs="arial"/>
          <w:color w:val="000000"/>
          <w:sz w:val="20"/>
          <w:lang w:val="en-US" w:eastAsia="en-US" w:bidi="ar-SA"/>
        </w:rPr>
        <w:t xml:space="preserve"> the evidence of the party involved.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It is now generally accepted that it lies in the discretion of the court whether to draw an adverse inference... As stated by Alan W. Mewett and Peter J. Sankoff in </w:t>
      </w:r>
      <w:r>
        <w:rPr>
          <w:rFonts w:ascii="arial" w:eastAsia="arial" w:hAnsi="arial" w:cs="arial"/>
          <w:i/>
          <w:color w:val="000000"/>
          <w:sz w:val="20"/>
          <w:lang w:val="en-US" w:eastAsia="en-US" w:bidi="ar-SA"/>
        </w:rPr>
        <w:t>Witnesses</w:t>
      </w:r>
      <w:r>
        <w:rPr>
          <w:rFonts w:ascii="arial" w:eastAsia="arial" w:hAnsi="arial" w:cs="arial"/>
          <w:color w:val="000000"/>
          <w:sz w:val="20"/>
          <w:lang w:val="en-US" w:eastAsia="en-US" w:bidi="ar-SA"/>
        </w:rPr>
        <w:t xml:space="preserve"> (looseleaf):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question of whether to make such an inference seems to depend upon the specific circumstances, in particular whether:</w:t>
      </w:r>
    </w:p>
    <w:p>
      <w:pPr>
        <w:numPr>
          <w:numId w:val="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There is a legitimate explanation for the failure to call the witness</w:t>
      </w:r>
      <w:r>
        <w:rPr>
          <w:rFonts w:ascii="arial" w:eastAsia="arial" w:hAnsi="arial" w:cs="arial"/>
          <w:color w:val="000000"/>
          <w:sz w:val="20"/>
          <w:lang w:val="en-US" w:eastAsia="en-US" w:bidi="ar-SA"/>
        </w:rPr>
        <w:t>;</w:t>
      </w:r>
    </w:p>
    <w:p>
      <w:pPr>
        <w:numPr>
          <w:numId w:val="1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witness is within the "exclusive control" of the party, and is </w:t>
      </w:r>
      <w:r>
        <w:rPr>
          <w:rFonts w:ascii="arial" w:eastAsia="arial" w:hAnsi="arial" w:cs="arial"/>
          <w:color w:val="000000"/>
          <w:sz w:val="20"/>
          <w:u w:val="single"/>
          <w:lang w:val="en-US" w:eastAsia="en-US" w:bidi="ar-SA"/>
        </w:rPr>
        <w:t>not "equally available to both parties"</w:t>
      </w:r>
      <w:r>
        <w:rPr>
          <w:rFonts w:ascii="arial" w:eastAsia="arial" w:hAnsi="arial" w:cs="arial"/>
          <w:color w:val="000000"/>
          <w:sz w:val="20"/>
          <w:lang w:val="en-US" w:eastAsia="en-US" w:bidi="ar-SA"/>
        </w:rPr>
        <w:t>; and</w:t>
      </w:r>
    </w:p>
    <w:p>
      <w:pPr>
        <w:numPr>
          <w:numId w:val="1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witness has material evidence to provide</w:t>
      </w:r>
      <w:r>
        <w:rPr>
          <w:rFonts w:ascii="arial" w:eastAsia="arial" w:hAnsi="arial" w:cs="arial"/>
          <w:color w:val="000000"/>
          <w:sz w:val="20"/>
          <w:lang w:val="en-US" w:eastAsia="en-US" w:bidi="ar-SA"/>
        </w:rPr>
        <w:t>; and</w:t>
      </w:r>
    </w:p>
    <w:p>
      <w:pPr>
        <w:numPr>
          <w:numId w:val="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witness is the only person or the best person who can provide the evidence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Essentially, </w:t>
      </w:r>
      <w:r>
        <w:rPr>
          <w:rFonts w:ascii="arial" w:eastAsia="arial" w:hAnsi="arial" w:cs="arial"/>
          <w:color w:val="000000"/>
          <w:sz w:val="20"/>
          <w:u w:val="single"/>
          <w:lang w:val="en-US" w:eastAsia="en-US" w:bidi="ar-SA"/>
        </w:rPr>
        <w:t>the decision to draw an adverse inference is discretionary and premised on the likelihood that the witness would have given harmful testimony to the party who failed to call him or her</w:t>
      </w:r>
      <w:r>
        <w:rPr>
          <w:rFonts w:ascii="arial" w:eastAsia="arial" w:hAnsi="arial" w:cs="arial"/>
          <w:color w:val="000000"/>
          <w:sz w:val="20"/>
          <w:lang w:val="en-US" w:eastAsia="en-US" w:bidi="ar-SA"/>
        </w:rPr>
        <w:t>. In a case before a jury, where there are circumstances that support the drawing of such an inference, the trial judge should charge the jury that it is "appropriate for a jury to infer, although [jurors] are not obliged to do so, that the failure to call material evidence which was particularly and uniquely available to [a party] was an indication that such evidence would not have been favourable to [that party].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These principles were reaffirmed more recently in </w:t>
      </w:r>
      <w:r>
        <w:rPr>
          <w:rFonts w:ascii="arial" w:eastAsia="arial" w:hAnsi="arial" w:cs="arial"/>
          <w:i/>
          <w:color w:val="000000"/>
          <w:sz w:val="20"/>
          <w:lang w:val="en-US" w:eastAsia="en-US" w:bidi="ar-SA"/>
        </w:rPr>
        <w:t>Singh v. Reddy</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2019 BCCA 79</w:t>
        </w:r>
      </w:hyperlink>
      <w:r>
        <w:rPr>
          <w:rFonts w:ascii="arial" w:eastAsia="arial" w:hAnsi="arial" w:cs="arial"/>
          <w:color w:val="000000"/>
          <w:sz w:val="20"/>
          <w:lang w:val="en-US" w:eastAsia="en-US" w:bidi="ar-SA"/>
        </w:rPr>
        <w:t>, in which the court of appeal upheld a trial judge's decision not to draw an adverse inference against a party who declined to call a witness who had been available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Bhagirath's position with respect to the precise nature of the adverse inference to be drawn against the plaintiff for her failure to call Mr. Katsonis is somewhat vague; the relevant portions of his written submissions are as follows: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court does not know how [Mr. Katsonis] came to be in the intersection and whether the danger he posed could have been avoided. The defendant submits that the plaintiff's decision to not call Mr. Katsonis as a witness was significant and ought to warrant an adverse inference finding against the plaintiff. Accordingly, the defendant submits that the plaintiff has failed to discharge her onus of establishing on a balance of probabilities that he breached the duty of care to avoid a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defendant submits that the circumstances of this case are appropriate to draw an adverse inference for the plaintiff's failure to call Mr. Katsonis as a witness in their case. This has been addressed in further detail under the heading of "Adverse Inference"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defendant submits that an adverse inference must be drawn for the plaintiff's failure to call Mr. Katsonis as a witness to the Second Accident. Although the both parties had access to Mr. Katsonis, the burden of proof lies with the plaintiff on the issue of liability. The defendant also submits that any evidence of the plaintiff with respect to the utility or non-utility of his evidence [is] inadmissible hearsay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Bhagirath concedes that Mr. Katsonis was equally available to him as a witness. Neither party knew Mr. Katsonis or had a relationship with him prior to the Second Accident. There is no basis for me to conclude that the plaintiff had greater access to Mr. Katsonis than Mr. Bhagirath.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Bhagirath would have been aware as of November 2013 that Mr. Katsonis was no longer a party to the action pertaining to the Second Accident in which he was a named defendant. I note parenthetically that Mr. Bhagirath did not appear on the application which resulted in the stay of proceedings against Mr. Katsonis in British Columbia, and he took no position with respect to whether the court should decline jurisdiction over Mr. Katsonis.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Additionally, Mr. Bhagirath would have been aware that the plaintiff did not intend to call Mr. Katsonis as a witness as of July 25, 2018, when she filed her trial briefs in both actions. Had Mr. Bhagirath believed Mr. Katsonis' evidence would have been helpful to his case, in that it could have weakened the plaintiff's case against him or assisted his defence, Mr. Bhagirath had ample opportunity to take steps to call Mr. Katsonis. There is no evidence Mr. Bhagirath was unable to or attempted to contact Mr. Katsonis.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court of appeal has confirmed that an adverse inference is not to be drawn where a witness is available to both parties: </w:t>
      </w:r>
      <w:r>
        <w:rPr>
          <w:rFonts w:ascii="arial" w:eastAsia="arial" w:hAnsi="arial" w:cs="arial"/>
          <w:i/>
          <w:color w:val="000000"/>
          <w:sz w:val="20"/>
          <w:lang w:val="en-US" w:eastAsia="en-US" w:bidi="ar-SA"/>
        </w:rPr>
        <w:t>Singh</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Thomasson</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Zawadski v. Calimoso</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xml:space="preserve"> at paras. 149-150. On this basis alone, it is appropriate to decline to draw an 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This is not a circumstance like that discussed in </w:t>
      </w:r>
      <w:r>
        <w:rPr>
          <w:rFonts w:ascii="arial" w:eastAsia="arial" w:hAnsi="arial" w:cs="arial"/>
          <w:i/>
          <w:color w:val="000000"/>
          <w:sz w:val="20"/>
          <w:lang w:val="en-US" w:eastAsia="en-US" w:bidi="ar-SA"/>
        </w:rPr>
        <w:t>Benhaim v. St-Germain</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2016 SCC 48</w:t>
        </w:r>
      </w:hyperlink>
      <w:r>
        <w:rPr>
          <w:rFonts w:ascii="arial" w:eastAsia="arial" w:hAnsi="arial" w:cs="arial"/>
          <w:color w:val="000000"/>
          <w:sz w:val="20"/>
          <w:lang w:val="en-US" w:eastAsia="en-US" w:bidi="ar-SA"/>
        </w:rPr>
        <w:t xml:space="preserve"> at paras. 41-70, in which an adverse inference would serve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to discharge the plaintiff's burden of proof. Rather, as I understand his position, Mr. Bhagirath proposes that because Mr. Katsonis' evidence may have assisted the court in resolving the issue of liability and since the plaintiff bears the burden of establishing liability, the court should infer that Mr. Katsonis' testimony likely would not have been favourable to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agree that Mr. Katsonis may have been able to provide material evidence that may have assisted the court in resolving the issue of liability; this is a factor the court is to consider when determining whether to draw an adverse inference. As will become apparent from the discussion below, this court has very limited evidence as to the cause of the Second Accident. Evidence from the other driver involved in the collision likely would have assisted this court in drawing inferences as to causation and with the ultimate finding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However, I note that here the "missing proof", borrowing language from </w:t>
      </w:r>
      <w:r>
        <w:rPr>
          <w:rFonts w:ascii="arial" w:eastAsia="arial" w:hAnsi="arial" w:cs="arial"/>
          <w:i/>
          <w:color w:val="000000"/>
          <w:sz w:val="20"/>
          <w:lang w:val="en-US" w:eastAsia="en-US" w:bidi="ar-SA"/>
        </w:rPr>
        <w:t>Jolivet</w:t>
      </w:r>
      <w:r>
        <w:rPr>
          <w:rFonts w:ascii="arial" w:eastAsia="arial" w:hAnsi="arial" w:cs="arial"/>
          <w:color w:val="000000"/>
          <w:sz w:val="20"/>
          <w:lang w:val="en-US" w:eastAsia="en-US" w:bidi="ar-SA"/>
        </w:rPr>
        <w:t xml:space="preserve"> at para. 27, does not benefit or enhance the case of the plaintiff against whom Mr. Bhagirath seeks the adverse inference to be drawn. To the contrary, the failure to elicit any evidence from the only other identifiable witness to the Second Accident, even without an adverse inference, operates to the detriment of the plaintiff. This is because the burden of proof rests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that sense, Mr. Bhagirath's submission that the court should draw an adverse inference against the plaintiff because, without Mr. Katsonis' evidence, this court has insufficient evidence with respect to liability is rendered redundant because the result is that, without this evidence, the plaintiff is less able to discharge her onus to show that Mr. Bhagirath is liable 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Although a factor to consider, it is not necessary to resolve the question of whether there is a legitimate explanation for the plaintiff's failure to call Mr. Katsonis. The plaintiff explained that Mr. Katsonis said in a phone call that he did not have a good memory of the Second Accident, which occurred six years prior to them speaking. As such, she did not believe he would assist in proving her claim. Mr. Bhagirath submits that this evidence is inadmissible hearsay and cannot be considered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Singh</w:t>
      </w:r>
      <w:r>
        <w:rPr>
          <w:rFonts w:ascii="arial" w:eastAsia="arial" w:hAnsi="arial" w:cs="arial"/>
          <w:color w:val="000000"/>
          <w:sz w:val="20"/>
          <w:lang w:val="en-US" w:eastAsia="en-US" w:bidi="ar-SA"/>
        </w:rPr>
        <w:t xml:space="preserve"> at para. 25 confirmed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 rule that a party must call a witness who is </w:t>
      </w:r>
      <w:r>
        <w:rPr>
          <w:rFonts w:ascii="arial" w:eastAsia="arial" w:hAnsi="arial" w:cs="arial"/>
          <w:i/>
          <w:color w:val="000000"/>
          <w:sz w:val="20"/>
          <w:lang w:val="en-US" w:eastAsia="en-US" w:bidi="ar-SA"/>
        </w:rPr>
        <w:t>unlikely</w:t>
      </w:r>
      <w:r>
        <w:rPr>
          <w:rFonts w:ascii="arial" w:eastAsia="arial" w:hAnsi="arial" w:cs="arial"/>
          <w:color w:val="000000"/>
          <w:sz w:val="20"/>
          <w:lang w:val="en-US" w:eastAsia="en-US" w:bidi="ar-SA"/>
        </w:rPr>
        <w:t xml:space="preserve"> to help in proving one's case. The nature of an adversarial system is that every litigant is expected to put before the court only what evidence counsel believes will be probative of his or her position. There may be many reasons why counsel decides not to call a witness and it is generally not the business of the court to ascertain those reasons.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To attempt to prove her case for liability against Mr. Bhagirath without calling Mr. Katsonis was a decision the plaintiff was entitled to make. It is not for this court to look beyond why the plaintiff believed that his evidence would not be helpful in proving her case. In other words, with the explanation provided that she did not believe his evidence would be helpful, this court does not need to rely on the phone call as supporting evidence for that conclusion. As discussed, it was available to Mr. Bhagirath to call Mr. Katsonis as a witness if he wished.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these circumstances, I do not consider it appropriate to draw an adverse inference against the plaintiff for her failure to call Mr. Katsonis.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argues that Mr. Bhagirath was negligent in one or more of the following ways:</w:t>
      </w:r>
      <w:r>
        <w:rPr>
          <w:rFonts w:ascii="arial" w:eastAsia="arial" w:hAnsi="arial" w:cs="arial"/>
          <w:sz w:val="20"/>
          <w:lang w:val="en-US" w:eastAsia="en-US" w:bidi="ar-SA"/>
        </w:rPr>
        <w:cr/>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Bhagirath failed to stop at the intersection as required by ss. 128(1) or 129(1)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Bhagirath was speeding; or</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Bhagirath failed to exercise due care and attention as required by s. 144(1)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failed to keep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Evidence of Mr. Bhagirath speeding on the expressway does not assist because there is no evidence that the speed was a proximate cause of the collision, and therefore of the injuries. Further, and most importantly, there is no evidence that he was exceeding the speed limit in the relevant stretch. The speed limit of Hillside Avenue is not known. As such, I do not find that the plaintiff has established that Mr. Bhagirath's speeding was a contributing cause to the Second Accident. Liability cannot be found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Similarly, I find the plaintiff has not established that Mr. Bhagirath failed to stop as required by ss. 128(1) or 129(1)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Given there is no evidence concerning the status of the light for eastbound traffic when Mr. Bhagirath entered the intersection, whether direct or circumstantial, there is insufficient evidence to find that he was negligent in this respect. As will be illustrated in my reasons below, I find that the plaintiff's case against Mr. Bhagirath requires me to speculate about the status of the light rather than draw reasonable inferences from the evidence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the evidence, when he was in the First Intersection Mr. Bhagirath saw the green light ahead at the Second Intersection. He did not look at the light again before he entered the Second Intersection. Although he believes and perceived that the light was green, he cannot say that he knows that it had not changed. I accept that this lack of due care and attention to the status of the light when he entered the intersection constitutes a breach of his duty of care to his passenger, the plaintiff. Drivers are entitled to assume others will obey the rules of the road, which includes respecting the right of way at a traffic light. This requires that a reasonable driver be expected to be aware of, at a minimum, the status of a traffic light before they enter a light-controlled intersection. Given that the law imposes a duty on drivers to be on the lookout for unexpected manoeuvres by other drivers, it follows that drivers are also to be on the lookout for and responsive to expected and foreseeable conditions of the road, including the changing of a traffic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However, to establish liability, it is also necessary that the negligent act of so entering the intersection without confirming the status of the light be a cause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Evidence of carelessness in not checking again the colour of the light is not of assistance in finding liability because without knowing the cause or causes of the collision, I am unable to say whether, but for his lack of attention or carelessness, Mr. Bhagirath would have been able to avoid the Second Accident. The carelessness in not checking the colour of the light is a breach of the duty of care. It does not, absent additional evidence, establish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the limited evidence before the court concerning the cause of the Second Accident, which involved a collision in a light-controlled intersection, given the uncertainty concerning the status of the light when he entered, there are several possible scenarios that flow which result in differing conclusions on Mr. Bhagirath's liability. These illustrate that although there is some evidence to suggest Mr. Bhagirath may have been a, or the, probable "but for" cause of the Second Accident, the same evidential record may also support a finding that he was not a probable contributing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first set of hypotheticals, I assume that Mr. Bhagirath entered the Second Intersection on a red light, not having the right of way. He was either the sole cause of the Second Accident; or, given his speed and lack of attention, he was an apparent danger which Mr. Katsonis should have reasonably avoided, making him a contributing cause. In either circumstance, Mr. Bhagirath would be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the second set of hypotheticals, I assume that Mr. Bhagirath entered the Second Intersection on a yellow light. This would mean that Mr. Katsonis entered on a red light or that Mr. Bhagirath was in the Second Intersection already when the light turned green and Mr. Katsonis failed to react accordingly. If Mr. Bhagirath could not have stopped safely before entering the Second Intersection upon seeing the yellow light he would not be liable, as there would have been no negligent act on his part, and Mr. Katsonis would have been the sole cause. If Mr. Bhagirath could have stopped safely, both drivers would have been contributing causes, such that both would be liable, but Mr. Bhagirath would be 100% liable for damages to the plaintiff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the circumstance where we consider that Mr. Bhagirath entered on a yellow light, it is impossible, based on the evidence before this court, to assess whether Mr. Bhagirath could or could not have stopped safely had the light been yellow because there is no evidence of how far from the Second Intersection he would have been when the light changed to yellow and his relative speed, and there is no evidence of there being or not being other vehicles behind him. Even if I had evidence on the status of the light to suggest that it was yellow, which in my view is not a factual issue I can resolve, I would lack the necessary evidence to determine whether his entering of the Second Intersection would have been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third set of hypotheticals, I assume that Mr. Bhagirath entered the Second Intersection on a green light, having the right of way. In that case, Mr. Katsonis must have entered on a red light. Mr. Bhagirath would not be liable if there was nothing he could have done to avoid the collision, as he could not have been reasonably expected to notice Mr. Katsonis in time to make a change. Alternatively, he would have been a contributing cause if he could have avoided the collision, with both drivers being liable, but Mr. Bhagirath being 100% liable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circumstance where we consider that Mr. Bhagirath entered on a green light, there is no evidence before the court that Mr. Bhagirath ought to have known Mr. Katsonis would fail to yield the right of way or that he should have exercised "extra caution" in crossing this intersection. Although I have found that his carelessness in entering the Second Intersection amounts to a breach of the duty of care he owed to the plaintiff, there is no evidence that, if the light had been green, Mr. Bhagirath ought to have known that Mr. Katsonis would fail to yield the right of way or that had he exercised reasonable care he could have avoided the collision. Although his non-attention to his right side would have prevented him from seeing Mr. Katsonis earlier, there is insufficient evidence to find that, but for his carelessness or non-attentiveness, he would have realized Mr. Katsonis was not going to yield. Without such evidence, liability against Mr. Bhagirath would not be established. As such, with the evidential record as it is, if I were to resolve the factual question of the status of the light to find that it was green at the relevant time for eastbound traffic, the more likely conclusion would be that Mr. Bhagirath is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Even the plaintiff's testimony on key points relevant to this determination, of which she has provided two versions, suggests that the collision, once Mr. Bhagirath had approached and/or entered the Second Intersection, was unavoidable. Her evidence in discovery was that she only saw the vehicle after the collision. Her evidence at trial, which she conceded differed, was that she saw Mr. Katsonis' vehicle, but only a split second before the impact. In such circumstances, assuming a green light, the record simply does not support a finding that Mr. Bhagirath's inattention could have been a contributing cause, as there would have been insufficient opportunity to respond to Mr. Katsonis' unlawful act of entering the Second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 is apparent from these hypotheticals, the status of the light is a significant finding which the court must resolve in order to determine Mr. Bhagirath's liability. I find therefore that in order for the plaintiff to establish her case she must prove, on a balance of probabilities, the status of the light. Only where the light was red for eastbound traffic, is Mr. Bhagirath clearly liable. Where the light was yellow or green, there may be findings of liability, but more evidence than is available would be required for me to conclude that Mr. Bhagirath was, in fact, negligent and a contributing cause. As will be discussed below, there is no direct evidence, and very limited circumstantial evidence, concerning this key issue of the status of the light, such that I find this is not a factual issue that can be resolved by this court. The result is that I must conclude the plaintiff has not satisfied her burden of proving her case on liability.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Models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Given that my conclusion on Mr. Bhagirath's liability turns on my finding as to whether he was a contributing cause of the Second Accident, it is appropriate to say a few words on the "but for" model of causation and how it applies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It is uncontroverted that a defendant cannot be held liable for the loss or injuries suffered by another if that accident is not traceable as an effect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discussed above, on its own, proof by an injured plaintiff that a defendant was negligent does not make them liable for the loss; the plaintiff must also establish that the defendant's breach of the standard of care caused the injury: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This generally requires the plaintiff to establish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injuries would not have occurred. This is a factual inquiry, calling for a common sense inference of "but for" causation: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8 and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It is not necessary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the sole cause of the injury, however it generally must be a necessary or "but for" cause: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exceptional cases, where the plaintiff is unable to establish "but for" causation, they may still be able to recover on the basis of "material contribution to risk of injury". This is appropriate in cases where it is impossible to determine which of a number of negligent acts by multiple actors did, in fact, cause the injury, but it has been established that one or more of them did. The material contribution to risk test substitutes proof of material contribution to risk for the requirement of "but for" causation; it imposes liability, not because the evidence establishes the defendant's act caused the injury, but because the act contributed to the risk that injury would occur: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13-16.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material contribution to risk test should only be applied in rare circumstances. The Supreme Court of Canada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28 noted that it has never applied the test. It did not find the circumstances of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to be an appropriate case for its application. The defendant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was driving a motorcycle in wet weather with the bike overloaded by about 100 pounds; the plaintiff was riding behind on the passenger seat. Unbeknownst to the defendant, a nail had punctured his rear tire. While he was driving at least 20 km/h over the speed limit, the nail fell out, and the rear tire deflated, causing the bike to wobble; the defendant was unable to get the bike under control and it crashed. The trial judge had found the defendant was negligent, but that the plaintiff, through no fault of her own, was unable to prove "but for" causation due to the limitations of scientific reconstruction evidence, and therefore it was necessary to rely on the material contribution to risk test. The Supreme Court found that such evidence was not a necessary condition for finding "but for" causation, and that the special conditions permitting the use of a material contribution approach were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material contribution to risk test is only appropriate where the plaintiff has established that their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persons, each who might have, in fact, caused the loss; and the plaintiff, through no fault of their own, is unable to show that any one of the possible tortfeasors in fact was the necessary or "but for" cause of her injury, because each can point to one another as the possible "but for" cause of the injury, defeating a finding of causation on a balance of probabilities against anyone: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present case is not one where we know that the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persons, but the plaintiff </w:t>
      </w:r>
      <w:r>
        <w:rPr>
          <w:rFonts w:ascii="arial" w:eastAsia="arial" w:hAnsi="arial" w:cs="arial"/>
          <w:i/>
          <w:color w:val="000000"/>
          <w:sz w:val="20"/>
          <w:lang w:val="en-US" w:eastAsia="en-US" w:bidi="ar-SA"/>
        </w:rPr>
        <w:t>cannot</w:t>
      </w:r>
      <w:r>
        <w:rPr>
          <w:rFonts w:ascii="arial" w:eastAsia="arial" w:hAnsi="arial" w:cs="arial"/>
          <w:color w:val="000000"/>
          <w:sz w:val="20"/>
          <w:lang w:val="en-US" w:eastAsia="en-US" w:bidi="ar-SA"/>
        </w:rPr>
        <w:t xml:space="preserve"> establish on a balance of probabilities which negligent person caused the injury. As discussed, this court does not have any evidence that Mr. Katsonis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Second Accident involved a collision at a traffic light-controlled intersection. One party entered the Second Intersection without having the right of way. It is clear that at least one of Mr. Bhagirath and Mr. Katsonis was negligent in entering the Second Intersection, causing the Second Accident. However the court's difficulty in determining which one is at fault is not due to the special circumstances of the accident, but rather due to a lack of evidence. The reason that the plaintiff cannot point to Mr. Bhagirath as a "but for" cause is not because of the nature of the Second Accident, but rather because nobody that was called to testify is in a position to provide evidence that Mr. Katsonis was or was not negligent in entering the Second Intersection and Mr. Bhagirath's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driving being causally linked to the collision varies depending on the status of the light when he entered the Second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my view, to conclude that the "but for" causation test should be relaxed in the absence of evidence connecting Mr. Bhagirath's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plaintiff's injury in these circumstances would be contrary to the law as set out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The circumstances of the Second Accident are not exceptional and do not meet the conditions suggested by the Supreme Court to impose the material risk of contribution test. This court must apply a robust and common sense application of the "but for" test to assess Mr. Bhagirath's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This is not a circumstance for the application of the material contribution to risk test. Whether liability can or cannot be found through a robust application of "but for" must, in my view, be approached in light of the tension in the direction offered by the case law concerning a trial judge's duty to make determinations based on the evidential record without resorting to speculation, and the plaintiff's burden of proof to establish her case on a balance of probabilities.</w:t>
      </w:r>
      <w:r>
        <w:rPr>
          <w:rFonts w:ascii="arial" w:eastAsia="arial" w:hAnsi="arial" w:cs="arial"/>
          <w:sz w:val="20"/>
          <w:lang w:val="en-US" w:eastAsia="en-US" w:bidi="ar-SA"/>
        </w:rPr>
        <w:cr/>
      </w:r>
    </w:p>
    <w:p>
      <w:pPr>
        <w:numPr>
          <w:numId w:val="2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Although the circumstances of the Second Accident, being a collision between two vehicles travelling perpendicularly in a traffic light-controlled intersection, implies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at least one of the drivers, there is insufficient evidence before this court to determine whether Mr. Bhagirath was in fact at fault. It is clear that both Mr. Bhagirath and Mr. Katsonis could not have entered the Second Intersection properly. However on the evidence before this court, I am unable to determine that Mr. Bhagirath more likely than not entered the Second Intersection unlawfully; and, if he did enter the Second Intersection lawfully, I have insufficient evidence to determine he would have been able to avoid the Second Accident but for his inattention. Having no evidence concerning Mr. Katsonis' driving prior to and at the time of the Second Accident, it is impossible to say that it is not equally or more likely that it was Mr. Katsonis who entered unlawfully. This is not a circumstance where the court must determine whether to prefer the evidence of the plaintiff or the evidence of Mr. Bhagirath as to the status of the light when Mr. Bhagirath entered the Second Intersection; there simply is no reliable evidence as neither professes to know and only one driver involved in the collision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Although it was negligent for Mr. Bhagirath to enter the Second Intersection without checking the status of the light, I am unable to find that this was a cause of the Second Accident. While it is attractive to attribute fault based on Mr. Bhagirath's lack of due care and hypothesize what would have happened had he observed reasonable care, whether because he would have realized he should not have entered the Second Intersection because the light was red, or because he could have avoided a collision with Mr. Katsonis if it had been green, there is insufficient evidence to find that the collision would not have occurred but for his inattention.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absence of the evidence requires reliance on the cases outlined above concerning a trial judge's duty to make a determination on the evidence without speculating.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view expressed by the court of appeal in </w:t>
      </w:r>
      <w:r>
        <w:rPr>
          <w:rFonts w:ascii="arial" w:eastAsia="arial" w:hAnsi="arial" w:cs="arial"/>
          <w:i/>
          <w:color w:val="000000"/>
          <w:sz w:val="20"/>
          <w:lang w:val="en-US" w:eastAsia="en-US" w:bidi="ar-SA"/>
        </w:rPr>
        <w:t>Hudak</w:t>
      </w:r>
      <w:r>
        <w:rPr>
          <w:rFonts w:ascii="arial" w:eastAsia="arial" w:hAnsi="arial" w:cs="arial"/>
          <w:color w:val="000000"/>
          <w:sz w:val="20"/>
          <w:lang w:val="en-US" w:eastAsia="en-US" w:bidi="ar-SA"/>
        </w:rPr>
        <w:t xml:space="preserve"> was that, had the judge attempted to resolve basic factual questions, the judge may have been able to resolve the critical issue of which of the two drivers, the plaintiff and defendant, respectively, entered the intersection on a red light. The difference in </w:t>
      </w:r>
      <w:r>
        <w:rPr>
          <w:rFonts w:ascii="arial" w:eastAsia="arial" w:hAnsi="arial" w:cs="arial"/>
          <w:i/>
          <w:color w:val="000000"/>
          <w:sz w:val="20"/>
          <w:lang w:val="en-US" w:eastAsia="en-US" w:bidi="ar-SA"/>
        </w:rPr>
        <w:t>Hudak</w:t>
      </w:r>
      <w:r>
        <w:rPr>
          <w:rFonts w:ascii="arial" w:eastAsia="arial" w:hAnsi="arial" w:cs="arial"/>
          <w:color w:val="000000"/>
          <w:sz w:val="20"/>
          <w:lang w:val="en-US" w:eastAsia="en-US" w:bidi="ar-SA"/>
        </w:rPr>
        <w:t xml:space="preserve"> and the present case is that the uncertainty in </w:t>
      </w:r>
      <w:r>
        <w:rPr>
          <w:rFonts w:ascii="arial" w:eastAsia="arial" w:hAnsi="arial" w:cs="arial"/>
          <w:i/>
          <w:color w:val="000000"/>
          <w:sz w:val="20"/>
          <w:lang w:val="en-US" w:eastAsia="en-US" w:bidi="ar-SA"/>
        </w:rPr>
        <w:t>Hudak</w:t>
      </w:r>
      <w:r>
        <w:rPr>
          <w:rFonts w:ascii="arial" w:eastAsia="arial" w:hAnsi="arial" w:cs="arial"/>
          <w:color w:val="000000"/>
          <w:sz w:val="20"/>
          <w:lang w:val="en-US" w:eastAsia="en-US" w:bidi="ar-SA"/>
        </w:rPr>
        <w:t xml:space="preserve"> arose from the trial judge being unable to determine which of the two drivers' evidence he should accept. Here, the court only has evidence of one of the drivers and the passenger in that driver's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Mr. Bhagirath's evidence is credible and reliable; however, it is incomplete in important areas and even on the basic surrounding circumstances. The plaintiff's evidence adds little to assist the court's understanding of the facts. Unlike the trial judge in </w:t>
      </w:r>
      <w:r>
        <w:rPr>
          <w:rFonts w:ascii="arial" w:eastAsia="arial" w:hAnsi="arial" w:cs="arial"/>
          <w:i/>
          <w:color w:val="000000"/>
          <w:sz w:val="20"/>
          <w:lang w:val="en-US" w:eastAsia="en-US" w:bidi="ar-SA"/>
        </w:rPr>
        <w:t>Hudak</w:t>
      </w:r>
      <w:r>
        <w:rPr>
          <w:rFonts w:ascii="arial" w:eastAsia="arial" w:hAnsi="arial" w:cs="arial"/>
          <w:color w:val="000000"/>
          <w:sz w:val="20"/>
          <w:lang w:val="en-US" w:eastAsia="en-US" w:bidi="ar-SA"/>
        </w:rPr>
        <w:t>, I am not choosing between competing versions in the evidence, which is clearly a determination a trial judge should make, but rather I am required to speculate based on the only evidence available, whether Mr. Bhagirath unlawfully entered the Second Intersection, knowing that one of Mr. Bhagirath and Mr. Katsonis must have entered unlawfully.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Bray</w:t>
      </w:r>
      <w:r>
        <w:rPr>
          <w:rFonts w:ascii="arial" w:eastAsia="arial" w:hAnsi="arial" w:cs="arial"/>
          <w:color w:val="000000"/>
          <w:sz w:val="20"/>
          <w:lang w:val="en-US" w:eastAsia="en-US" w:bidi="ar-SA"/>
        </w:rPr>
        <w:t xml:space="preserve">, there was some evidence that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each driver involved. The trial judge concluded he was unable to choose between the two stories of the parties, both of which were "wildly improbable". The court of appeal overturned the trial judge's dismissal because it appeared that he had erroneously taken the view that the accident must have been due to the exclusive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one side, when there was in fact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both had been negligent. Again, this is distinguishable from the present matter where there is no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either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While I am of the view that this case is more akin to </w:t>
      </w:r>
      <w:r>
        <w:rPr>
          <w:rFonts w:ascii="arial" w:eastAsia="arial" w:hAnsi="arial" w:cs="arial"/>
          <w:i/>
          <w:color w:val="000000"/>
          <w:sz w:val="20"/>
          <w:lang w:val="en-US" w:eastAsia="en-US" w:bidi="ar-SA"/>
        </w:rPr>
        <w:t>Wotta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Haswell</w:t>
      </w:r>
      <w:r>
        <w:rPr>
          <w:rFonts w:ascii="arial" w:eastAsia="arial" w:hAnsi="arial" w:cs="arial"/>
          <w:color w:val="000000"/>
          <w:sz w:val="20"/>
          <w:lang w:val="en-US" w:eastAsia="en-US" w:bidi="ar-SA"/>
        </w:rPr>
        <w:t xml:space="preserve"> as opposed to </w:t>
      </w:r>
      <w:r>
        <w:rPr>
          <w:rFonts w:ascii="arial" w:eastAsia="arial" w:hAnsi="arial" w:cs="arial"/>
          <w:i/>
          <w:color w:val="000000"/>
          <w:sz w:val="20"/>
          <w:lang w:val="en-US" w:eastAsia="en-US" w:bidi="ar-SA"/>
        </w:rPr>
        <w:t>Bray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Hudak</w:t>
      </w:r>
      <w:r>
        <w:rPr>
          <w:rFonts w:ascii="arial" w:eastAsia="arial" w:hAnsi="arial" w:cs="arial"/>
          <w:color w:val="000000"/>
          <w:sz w:val="20"/>
          <w:lang w:val="en-US" w:eastAsia="en-US" w:bidi="ar-SA"/>
        </w:rPr>
        <w:t>, the present case can also be distinguished from the former cases and those that follow them. In each of the cases in which the court has dismissed a plaintiff's claim due to an inadequate evidentiary basis to find liability, the circumstances of the accident were such that there may have been a non-negligent cause of the accident. The Second Accident, on the other hand, is one where at least one party was clearly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That being said, all of the authorities, even those where liability is found, confirm that decisions must be made on the burden of proof and a robust application of the principles of causation. "It is not open to the Court to go beyond inferences that could fairly be drawn from the proven facts and to speculate on what might have been; nor to ignore the lack of any causative connection between acts complained of and the collision": </w:t>
      </w:r>
      <w:r>
        <w:rPr>
          <w:rFonts w:ascii="arial" w:eastAsia="arial" w:hAnsi="arial" w:cs="arial"/>
          <w:i/>
          <w:color w:val="000000"/>
          <w:sz w:val="20"/>
          <w:lang w:val="en-US" w:eastAsia="en-US" w:bidi="ar-SA"/>
        </w:rPr>
        <w:t>Campbell v. Moxness</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(1974), 56 D.L.R. (3d) 137</w:t>
        </w:r>
      </w:hyperlink>
      <w:r>
        <w:rPr>
          <w:rFonts w:ascii="arial" w:eastAsia="arial" w:hAnsi="arial" w:cs="arial"/>
          <w:color w:val="000000"/>
          <w:sz w:val="20"/>
          <w:lang w:val="en-US" w:eastAsia="en-US" w:bidi="ar-SA"/>
        </w:rPr>
        <w:t xml:space="preserve"> (Alta. S.C.)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Alberta Court of Appeal considered the tension between </w:t>
      </w:r>
      <w:r>
        <w:rPr>
          <w:rFonts w:ascii="arial" w:eastAsia="arial" w:hAnsi="arial" w:cs="arial"/>
          <w:i/>
          <w:color w:val="000000"/>
          <w:sz w:val="20"/>
          <w:lang w:val="en-US" w:eastAsia="en-US" w:bidi="ar-SA"/>
        </w:rPr>
        <w:t>Wotta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Bray</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Vetter v. Goodman</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2008 ABCA 227</w:t>
        </w:r>
      </w:hyperlink>
      <w:r>
        <w:rPr>
          <w:rFonts w:ascii="arial" w:eastAsia="arial" w:hAnsi="arial" w:cs="arial"/>
          <w:color w:val="000000"/>
          <w:sz w:val="20"/>
          <w:lang w:val="en-US" w:eastAsia="en-US" w:bidi="ar-SA"/>
        </w:rPr>
        <w:t xml:space="preserve">, a decision which upholds the finding of the trial judge, who considered both </w:t>
      </w:r>
      <w:r>
        <w:rPr>
          <w:rFonts w:ascii="arial" w:eastAsia="arial" w:hAnsi="arial" w:cs="arial"/>
          <w:i/>
          <w:color w:val="000000"/>
          <w:sz w:val="20"/>
          <w:lang w:val="en-US" w:eastAsia="en-US" w:bidi="ar-SA"/>
        </w:rPr>
        <w:t>Haswell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Wotta</w:t>
      </w:r>
      <w:r>
        <w:rPr>
          <w:rFonts w:ascii="arial" w:eastAsia="arial" w:hAnsi="arial" w:cs="arial"/>
          <w:color w:val="000000"/>
          <w:sz w:val="20"/>
          <w:lang w:val="en-US" w:eastAsia="en-US" w:bidi="ar-SA"/>
        </w:rPr>
        <w:t xml:space="preserve"> before determining that she had sufficient evidence to determine liability. The appellant argued that as there were a "multitude of plausible explanations" for the accident that could involve blame on both sides, therefore it was wrong for the judge to choose one in apportioning liability. The court of appeal upheld her decision, finding she appropriately considered the concerns expressed in </w:t>
      </w:r>
      <w:r>
        <w:rPr>
          <w:rFonts w:ascii="arial" w:eastAsia="arial" w:hAnsi="arial" w:cs="arial"/>
          <w:i/>
          <w:color w:val="000000"/>
          <w:sz w:val="20"/>
          <w:lang w:val="en-US" w:eastAsia="en-US" w:bidi="ar-SA"/>
        </w:rPr>
        <w:t>Wotta</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Bray</w:t>
      </w:r>
      <w:r>
        <w:rPr>
          <w:rFonts w:ascii="arial" w:eastAsia="arial" w:hAnsi="arial" w:cs="arial"/>
          <w:color w:val="000000"/>
          <w:sz w:val="20"/>
          <w:lang w:val="en-US" w:eastAsia="en-US" w:bidi="ar-SA"/>
        </w:rPr>
        <w:t xml:space="preserve"> before determining that, having the evidence of the only two witnesses who saw the collision, and concluding that both drivers could not have initially entered the intersection properly, it was her task to assess which version of the evidence seemed more likely on a balance of probabilities. Similar to the present case, the collision was at a traffic light-controlled intersection. She preferred the evidence of the driver who entered the intersection on an amber light and concluded that this was not done so negligently. The difference with that case and the present one is that to find liability, the judge was able to draw inferences from the evidence before her as to who entered the intersection unlawfully. In the present case, the inference I am asked to draw is that because he cannot confirm that the light was green when he entered, that Mr. Bhagirath in fact entered on a red light. In my view, this is speculation since I have no evidence, even circumstantial, about the light. The alternative inference I am asked to draw, that Mr. Bhagirath could have avoided the collision assuming he entered on a green light is similarly speculative, and as has been discussed, not supported by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general premise of </w:t>
      </w:r>
      <w:r>
        <w:rPr>
          <w:rFonts w:ascii="arial" w:eastAsia="arial" w:hAnsi="arial" w:cs="arial"/>
          <w:i/>
          <w:color w:val="000000"/>
          <w:sz w:val="20"/>
          <w:lang w:val="en-US" w:eastAsia="en-US" w:bidi="ar-SA"/>
        </w:rPr>
        <w:t>Wotta</w:t>
      </w:r>
      <w:r>
        <w:rPr>
          <w:rFonts w:ascii="arial" w:eastAsia="arial" w:hAnsi="arial" w:cs="arial"/>
          <w:color w:val="000000"/>
          <w:sz w:val="20"/>
          <w:lang w:val="en-US" w:eastAsia="en-US" w:bidi="ar-SA"/>
        </w:rPr>
        <w:t xml:space="preserve"> is that where the evidence before the court demonstrates there are important matters missing, the court should not substitute speculation for inference. Here the important matters missing are the status of the light and any reliable evidence that might provide circumstantial evidence of what the status of the light might have been including evidence of Mr. Katsonis' driving before entering the Second Intersection to determine if he was driving carelessly; evidence about other vehicles travelling either east or north; or evidence about the scheme of the northbound road or the distance between the First Intersection and Second Intersection. The only circumstantial evidence on the status of the light is that it was green while Mr. Bhagirath passed through the First Intersection and he did not see it change. This does not provide me with a sufficient foundation to draw an inference as to the status of the light when he entered the Second Intersection; to make a finding on this crucial point, in my view, would be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To illustrate my conclusion that there is simply insufficient evidence from which to draw reasonable inferences about the status of the light, I will briefly consider some of the evidence that may have assisted the court in reaching a determination and set out why in the present case the absence of evidence would require me to resort to speculation rather than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an example, neither Mr. Bhagirath or the plaintiff gave evidence about the behaviour of other cars around them. If there was evidence concerning other vehicles, their behaviour may have been of assistance and could have potentially provided some circumstantial evidence concerning the status of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From the evidence, as it is, I can likely infer that there was no other vehicle entering and driving through the Second Intersection from the rightmost lane of Hillside Avenue since Mr. Bhagirath was travelling in the middle lane and was the only vehicle from his direction that was involved in the accident. If there had been a vehicle travelling in the right lane entering at about the same time, it would have been hit by Mr. Katsonis' car first, so the evidence suggests there was not. With respect to the left lane, however, the inference is less clear. Depending on whether it was a left turn only lane or if left turns were not permitted at the Second Intersection, what a car in that lane of intersection may have done would vary. If there was evidence concerning the speeds or force involved in the Second Accident I could draw an inference, although more tenuously, that there was no car to his left because it likely would have been involved in the collision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Even if I could reasonably infer that there was no other car entering from Hillside, that says little about whether the eastbound traffic had the right of way because the evidence before the court is that traffic was light at the time. Therefore it is possible that there was a green light for eastbound traffic when Mr. Bhagirath entered the Second Intersection, but there were no cars other than Mr. Bhagirath driving in that direction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question of the behaviour of cars travelling north on the unnamed road that Mr. Katsonis was travelling on towards the Second Intersection would be less illustrative concerning the status of the light. If the other cars stopped at the Second Intersection, it could support a finding that Mr. Katsonis did not have the right of way, such that Mr. Bhagirath is likely not liable at all. However, it could equally support a finding that Mr. Katsonis did have the right of way, but that other drivers noticed Mr. Bhagirath's car and that it was likely not to stop before entering the Second Intersection and acted with caution by not proceeding. In that scenario, Mr. Bhagirath would be liable, notwithstanding that Mr. Katsonis was negligent and a contributing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Regardless, there is limited evidence about the scheme of the road (seemingly part of the on-ramp to the Expressway) that intersected with Hillside Avenue at the Second Intersection. The 2018 Google photo entered into evidence is unclear on several details that may have been of assistance, as was the limited evidence referring to the photo. I have no certainty on the evidence as to whether the Google photo accurately depicts the relevant roads and the First Intersection and Second Intersection as they were at the time of the Second Accident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For instance, neither party introduced evidence as to whether the intersecting road was a one-way road or two-way road. Such information may have been helpful because if a two-way road, evidence concerning vehicles travelling south towards the Second Intersection may have enabled inferences about the status of the traffic light. The lack of evidence about any such car travelling into the Second Intersection, alone, does not allow me to draw any inference about the colour of the light in the north-south direction. Similarly, I have no evidence about how many lanes the northbound road had and in which lane was Mr. Katsonis travelling, which again, paired with other evidence, may have enabled an inference about the status of the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also have no evidence of the driving pattern of Mr. Katsonis. Where was he going to and coming from? Was he in a rush? Was he familiar with the area? These are pieces of evidence which may have provided the court a fuller picture of the circumstances such that there could be some inference about whether Mr. Katsonis was driving negligently. Although I have determined it would not be appropriate for this court to draw an adverse inference against the plaintiff for her failure to call Mr. Katsonis in this action, I agree that the testimony of Mr. Katsonis may have assisted the court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Other evidence that may have been of assistance to the court is information regarding the distance between the First Intersection and Second Intersection. The Google photo does provide some indication of relative locations, but is not to scale and not specific enough to enable any clear inferences. If, however, the distance between the intersections had been so short such that it would have taken Mr. Bhagirath less than three to five seconds to travel, that piece of evidence together with clearer evidence of Mr. Bhagirath's speed, may have enabled me to draw an inference as to the likelihood that the light at the Second Intersection for eastbound traffic turned red before Mr. Bhagirath entered. However, every second would count as there is no evidence as to how long a yellow light would last in the Second Intersection. Again, I include this example to illustrate that while it may appear there is some circumstantial evidence concerning the status of the light arising from Mr. Bhagirath's testimony of his observations of the light in the Second Intersection, the evidential record, as it is, is insufficient to enable me to draw a reasonable inference on the status of the light, which I have concluded is an essential matter that impacts my finding on the key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It likely would not be necessary to have all of these examples of additional evidence. Some evidence on any or several issues would likely be sufficient to draw the necessary inferences. However, in the absence of evidence on any of these matters, the findings of fact required for a determination of liability for the collision cannot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A plaintiff cannot succeed in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an accident by relying on the collision itself as proof that defendant has breached the standard of care. The evidence in this case does not give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Bhagirath. Absent a </w:t>
      </w:r>
      <w:r>
        <w:rPr>
          <w:rFonts w:ascii="arial" w:eastAsia="arial" w:hAnsi="arial" w:cs="arial"/>
          <w:i/>
          <w:color w:val="000000"/>
          <w:sz w:val="20"/>
          <w:lang w:val="en-US" w:eastAsia="en-US" w:bidi="ar-SA"/>
        </w:rPr>
        <w:t>prima face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is no onus on Mr. Bhagirath to explain how the accident may have happened without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Gaebel v. Lipka</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2017 BCCA 432</w:t>
        </w:r>
      </w:hyperlink>
      <w:r>
        <w:rPr>
          <w:rFonts w:ascii="arial" w:eastAsia="arial" w:hAnsi="arial" w:cs="arial"/>
          <w:color w:val="000000"/>
          <w:sz w:val="20"/>
          <w:lang w:val="en-US" w:eastAsia="en-US" w:bidi="ar-SA"/>
        </w:rPr>
        <w:t xml:space="preserve"> at paras. 25-30.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This fact situation is akin to the circumstances in </w:t>
      </w:r>
      <w:r>
        <w:rPr>
          <w:rFonts w:ascii="arial" w:eastAsia="arial" w:hAnsi="arial" w:cs="arial"/>
          <w:i/>
          <w:color w:val="000000"/>
          <w:sz w:val="20"/>
          <w:lang w:val="en-US" w:eastAsia="en-US" w:bidi="ar-SA"/>
        </w:rPr>
        <w:t>Haswell</w:t>
      </w:r>
      <w:r>
        <w:rPr>
          <w:rFonts w:ascii="arial" w:eastAsia="arial" w:hAnsi="arial" w:cs="arial"/>
          <w:color w:val="000000"/>
          <w:sz w:val="20"/>
          <w:lang w:val="en-US" w:eastAsia="en-US" w:bidi="ar-SA"/>
        </w:rPr>
        <w:t>, where there was a void in the evidence that explained the collision and several possibilities as to what occurred which resulted in various views as to who, if anyone, was liable. The comments of Davey J.A., for the court of appeal, although set out above are repeated here with my emphasis: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 it is a case, not so much of the probabilities being evenly divided, as an </w:t>
      </w:r>
      <w:r>
        <w:rPr>
          <w:rFonts w:ascii="arial" w:eastAsia="arial" w:hAnsi="arial" w:cs="arial"/>
          <w:color w:val="000000"/>
          <w:sz w:val="20"/>
          <w:u w:val="single"/>
          <w:lang w:val="en-US" w:eastAsia="en-US" w:bidi="ar-SA"/>
        </w:rPr>
        <w:t>absence of evidence concerning the events causing the accident. It is one thing to assess the probabilities on sketchy evidence covering the whole of the accident, but another thing to attempt to draw inferences and assess the probabilities when the evidence shows that the important matters are not before the Court. To attempt to determine the cause of the collision and the several or combined responsibility of the parties under those circumstances would be to substitute speculation and conjecture for inference</w:t>
      </w:r>
      <w:r>
        <w:rPr>
          <w:rFonts w:ascii="arial" w:eastAsia="arial" w:hAnsi="arial" w:cs="arial"/>
          <w:color w:val="000000"/>
          <w:sz w:val="20"/>
          <w:lang w:val="en-US" w:eastAsia="en-US" w:bidi="ar-SA"/>
        </w:rPr>
        <w:t xml:space="preserve">. In my respectful opinion, considering the state of the evidence, the reasoning employed by the learned trial Judge is supported by the judgment of the Supreme Court of Canada in </w:t>
      </w:r>
      <w:r>
        <w:rPr>
          <w:rFonts w:ascii="arial" w:eastAsia="arial" w:hAnsi="arial" w:cs="arial"/>
          <w:i/>
          <w:color w:val="000000"/>
          <w:sz w:val="20"/>
          <w:lang w:val="en-US" w:eastAsia="en-US" w:bidi="ar-SA"/>
        </w:rPr>
        <w:t>Wotta v. Haliburton Oil Well Cementing Co.</w:t>
      </w:r>
      <w:r>
        <w:rPr>
          <w:rFonts w:ascii="arial" w:eastAsia="arial" w:hAnsi="arial" w:cs="arial"/>
          <w:color w:val="000000"/>
          <w:sz w:val="20"/>
          <w:lang w:val="en-US" w:eastAsia="en-US" w:bidi="ar-SA"/>
        </w:rPr>
        <w:t xml:space="preserve">, [ </w:t>
      </w:r>
      <w:hyperlink r:id="rId258" w:history="1">
        <w:r>
          <w:rPr>
            <w:rFonts w:ascii="arial" w:eastAsia="arial" w:hAnsi="arial" w:cs="arial"/>
            <w:i/>
            <w:color w:val="0077CC"/>
            <w:sz w:val="20"/>
            <w:u w:val="single"/>
            <w:shd w:val="clear" w:color="auto" w:fill="FFFFFF"/>
            <w:lang w:val="en-US" w:eastAsia="en-US" w:bidi="ar-SA"/>
          </w:rPr>
          <w:t>[1955] S.C.R. 377</w:t>
        </w:r>
      </w:hyperlink>
      <w:r>
        <w:rPr>
          <w:rFonts w:ascii="arial" w:eastAsia="arial" w:hAnsi="arial" w:cs="arial"/>
          <w:color w:val="000000"/>
          <w:sz w:val="20"/>
          <w:lang w:val="en-US" w:eastAsia="en-US" w:bidi="ar-SA"/>
        </w:rPr>
        <w:t xml:space="preserve">], and the claim and counterclaim were properly dismissed because neither party discharged the burden resting upon him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the result, on the evidence, important matters are not before the court. There is an insufficient evidentiary basis to draw the inferences necessary to determine the cause of the collision between the vehicles driven by Mr. Bhagirath and Mr. Katsonis. To determine the cause of the collision on this evidence would be speculation. I am therefore unable to find that the plaintiff has discharged her burden of proving that Mr. Bhagirath's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to any extent,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action against Mr. Bhagirath is therefore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this lengthy trial, the parties called evidence and made submissions on both damages and liability. However, in submissions the possibility of only the Chand defendants being liable for damages was not thoroughly addressed. Recent case law indicates a range of approaches to the issue of damages in such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Given these circumstances, further submissions on damages are therefore required. The parties will be informed by way of a Memorandum of the nature of those submissions. No further evidence will be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Since the trial is not concluded, no Order should be entered until damages have been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 WATCHUK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5" style="position:absolute;z-index:251772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Tchir v. South Coast British Columbia Transportation Authority, [2014] B.C.J. No. 1269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24-28 and March 3-7,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M111532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1269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1119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Marie Helene Tchir, Plaintiff, and South Coast British Columbia Transportation Authority, Coast Mountain Bus Company Ltd., Andre Tougas,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(197 paras.)</w:t>
      </w:r>
    </w:p>
    <w:p>
      <w:pPr>
        <w:jc w:val="both"/>
        <w:rPr>
          <w:rFonts w:ascii="arial" w:eastAsia="arial" w:hAnsi="arial" w:cs="arial"/>
          <w:sz w:val="20"/>
          <w:lang w:val="en-US" w:eastAsia="en-US" w:bidi="ar-SA"/>
        </w:rPr>
      </w:pPr>
      <w:bookmarkStart w:id="60" w:name="Counsel_12"/>
      <w:bookmarkEnd w:id="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6"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K.D. Lee, E.K.M. Hume.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South Coast British Columbia Transportation Authority, Coast Mountain Bus Company Ltd. and Andre Tougas: T.L.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A.M. MacCallum.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1" w:name="Judgment_12"/>
      <w:bookmarkEnd w:id="61"/>
      <w:r>
        <w:pict>
          <v:line id="_x0000_s1077" style="position:absolute;z-index:25172275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May 11, 2016;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2" w:name="B.M. DAVIES J."/>
            <w:bookmarkEnd w:id="62"/>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April 6, 2009, the plaintiff, Helen Tchir, who was then 60 years old, was a sideways sitting passenger on a transit bus (the "bus") driven by the defendant, Andre Tougas, on Lonsdale Avenue in North Vancouver. Mr. Tougas operated the bus as an employee of the defendants Coast Mountain Bus Company Ltd. and South Coast British Columbia Transportation Authority (collectively, together with Mr. Tougas, now called the "Transit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When an unidentified driver came to an abrupt stop in front of the bus Mr. Tougas was forced to brake hard to avoid a collision with the unidentified vehicle. After the near collision the unidentified vehicle sped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Mrs. Tchir was thrown from her seat and landed on the floor of the bus because of the hard braking engaged in by Mr. Tougas to avoid the collision. She suffered serious injuries from the fall for which she now seeks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the Insurance Corporation of British Columbia ("ICBC"), has admitted liability on behalf of the unidentified driver for Mrs. Tchir's injuries but contests both the extent of her injuries and the amount of compensation which she seeks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Transit Defendants not only do not admit liability but also contest both the extent of the injuries caused to Mrs. Tchir by the collision and the amount of compensation which she now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ICBC contests the quantum of recovery sought by Mrs. Tchir, at the start of this trial counsel for ICBC applied to withdraw from further attendance, asserting that ICBC would rely upon counsel for the Transit Defendants to represent ICBC's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That occurred notwithstanding that ICBC had admitted liability while the Transit Defendants had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With some reluctance I allowed the application by counsel for ICBC to withdraw but only did so on the basis that ICBC would be bound by any findings and rulings made in the trial process and could not later assert that its interests had not been appropriately 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also ruled that in the circumstances of the withdrawal of independent representation by ICBC I would not be prepared to undertake any apportionment of liability as amongst the defendants if I were to find the Transit Defendants were also liable for Mrs. Tchir's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following issues arise for determination:</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Transit Defendants liable for injuries suffered by Mrs. Tchir in the near collision of the bus with the unidentified driver's vehicle so that they are jointly and severally liable with ICBC for the damages suffered by her?</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what damages is Mrs. Tchir entitled for her:</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losses for pain and suffering;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Tchir and her husband, Robert (Bob) Tchir, had a long and productive working life in the fast food industry in Alberta and in the interior of British Columbia before moving to Vancouver in semi-retirement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Mrs. Tchir's work experience before that move included managing a health food store, running a fast food outlet with her husband and working as a counsellor at a diet center.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From 1994 until 2006 Mr. and Mrs. Tchir tried to live off investments and savings. However, their semi-retirement did not go well financially and they had to look for a new source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Mrs. Tchir then began looking for opportunities for work for both herself and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2005 she settled on the idea of managing an apartment complex as live-in caretakers which she believed they could do until past the usual retirement age of 65. Because of their debt situation and depletion of their savings such long term employment income was important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August 16, 2006, Mr. and Mrs. Tchir obtained employment as caretakers at The Grande, an upscale high-rise commercial and residential condominium complex in North Vancouver on Lonsdale Avenue at 13th Street NW.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will discuss the specifics of their remuneration, employment duties, work performance and future prospects later when discussing the issues raised by Mrs. Tchir's claims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NEAR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April 6, 2009, Mrs. Tchir boarded the bus operated by the Transit Defendants at 13th Street NW and Lonsdale Avenue. The bus was travelling southbound on Lonsdale and was quite full with at least one person standing. Mrs. Tchir sat in a sideways positioned seat on the left side of the bus in the forward part of the cabin.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Tchir testified that while she was seated and without warning, the bus came to an abrupt stop that was "like hitting a brick wall." She was thrown from her seat onto the floor of the bus and landed on her left side. She lost her glasses in the fall but they were given back to her by a passenger. She said she crawled back to her seat and sat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the abrupt stop Mr. Tougas asked if anyone was hurt and Mrs. Tchir told him she had hurt her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Tougas reported the occurrence by radio to a supervisor and then drove directly to the intended termination of his southbound route at Lonsdale Quay.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arrival he told all passengers who had been hurt to remain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discussions with attending transit officials Mr. Tougas drove those passengers who had remained on the bus, including Mrs. Tchir, to the Lions Gate Hospital. After leaving the injured passengers at the hospital he continued with his planned route northbound on Lonsdale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Tougas, the only witness who testified at trial as to what occurred other than Mrs. Tchir, testified that when the near collision took place the road conditions were dry and the weather was warm.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His evidence was that as he was driving the bus in the curb lane southbound on Lonsdale Avenue somewhere near Keith Road North (about one block south of 8th Street NW), a car started to drift into the curb lane until there were only a few feet between the front of the bus and the back bumper of the car. Mr. Tougas knew the situation was potentially dangerous and that he had to create space because of the possibility the car might brake suddenly. If that happened he would not be able to stop in time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Tougas did not wait for the car to fully enter his lane of travel before slowing down from the speed of 35 to 40 kilometers per hour at which he was travelling. He began to apply the brakes on the bus as the car edged into the curb lane and he was able to create a gap of about one and one-half bus lengths by decreasing the speed of the bus by between five and 10 kilometers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discovery Mr. Tougas said he did not believe the passengers were aware of the existence of the car in the curb lane that required him to begin to brake to slow the bus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That same car then came to a full stop in the curb lane just before Keith Road South. Mr. Tougas pressed very much harder on his brakes so that he was able to come to a stop about five to 10 feet from the rear bumper of the unidentified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That hard braking caused Mrs. Tchir's fall onto the floor from her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driver of the offending vehicle continued to travel in the curb lane, likely unaware of the near collision his driving had precipitated.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no stop sign for southbound traffic on Lonsdale Avenue at Keith Road South where the near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however, a stop sign on Keith Road South at Lonsdale Avenue for vehicles intending to either enter or cross Lonsdale Avenue from the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Because Keith Road South is a one way street on which traffic moves from west to east (left to right) across Lonsdale Avenue, no right-hand turn onto Keith Road South from the southbound curb lane on Lonsdale Avenue (in which both the car and bus were travelling) is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Tougas was aware of that prohibition.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intersection at Lonsdale Avenue and Keith Road South is protected by crosswalks at both the north and south ends, however, Mr. Tougas did not see any pedestrians in the crosswalk which would have required him to stop at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Tougas would not have had to stop as he did if the unidentified driver had not come to the sudden and complete stop that caused the hard braking needed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distance from the center of a south crosswalk on Lonsdale Avenue at Keith Road North (near where the unidentified driver first drifted into Mr. Tougas' lane of traffic) to the center of the north crosswalk at Keith Road South (near where the unidentified driver came to an unanticipated complete stop) is about 105 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LIABILITY OF THE TRANSIT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standard of care owed by the Transit Defendants to Mrs. Tchir as a passenger is a high one. Also, once it is proven that a passenger is injured while riding on a public transit vehicle,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made out and the onus then shifts to the carrier to establish that the injuries suffered by the passenger occurred without fault on the carrier's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Those principles were summarized by McLachlin J. (as she then was) in </w:t>
      </w:r>
      <w:r>
        <w:rPr>
          <w:rFonts w:ascii="arial" w:eastAsia="arial" w:hAnsi="arial" w:cs="arial"/>
          <w:i/>
          <w:color w:val="000000"/>
          <w:sz w:val="20"/>
          <w:lang w:val="en-US" w:eastAsia="en-US" w:bidi="ar-SA"/>
        </w:rPr>
        <w:t>Planidin v. Dykes</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[1984] B.C.J. No. 907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Planidin</w:t>
      </w:r>
      <w:r>
        <w:rPr>
          <w:rFonts w:ascii="arial" w:eastAsia="arial" w:hAnsi="arial" w:cs="arial"/>
          <w:color w:val="000000"/>
          <w:sz w:val="20"/>
          <w:lang w:val="en-US" w:eastAsia="en-US" w:bidi="ar-SA"/>
        </w:rPr>
        <w:t>] at pages 3 and 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little dispute as to the legal principles applicable in this case. The standard of care imposed on a public character is a high one. This standard has been established in the Supreme Court of Canada decision Day v. Toronto Transportation Committee </w:t>
      </w:r>
      <w:hyperlink r:id="rId280" w:history="1">
        <w:r>
          <w:rPr>
            <w:rFonts w:ascii="arial" w:eastAsia="arial" w:hAnsi="arial" w:cs="arial"/>
            <w:i/>
            <w:color w:val="0077CC"/>
            <w:sz w:val="20"/>
            <w:u w:val="single"/>
            <w:shd w:val="clear" w:color="auto" w:fill="FFFFFF"/>
            <w:lang w:val="en-US" w:eastAsia="en-US" w:bidi="ar-SA"/>
          </w:rPr>
          <w:t>[1940] S.C.R. 433</w:t>
        </w:r>
      </w:hyperlink>
      <w:r>
        <w:rPr>
          <w:rFonts w:ascii="arial" w:eastAsia="arial" w:hAnsi="arial" w:cs="arial"/>
          <w:color w:val="000000"/>
          <w:sz w:val="20"/>
          <w:lang w:val="en-US" w:eastAsia="en-US" w:bidi="ar-SA"/>
        </w:rPr>
        <w:t>, 4 D.L.R. 485 . At page 439 of that report of that case Davis, J. said: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the respondent to the appellant, its passenger, was to carry her safely as far as reasonable care and forethought could attain that end."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page 441 Hudson, J. in an oft-quoted passage, stated:</w:t>
      </w:r>
    </w:p>
    <w:p>
      <w:pPr>
        <w:numPr>
          <w:numId w:val="1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carrier of passenger is not an insurer, yet if an accident occurs and the passenger is injured, there is a heavy burden on the defendant carrier to establish that he had used all due, proper and reasonable care and skill to avoid or prevent injury to the passenger. The care required is of a very high degree."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and other cases, establish that once an accident occurs and a passenger is injured, a prima facie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raised and the onus shifts to the public carrier to establish that the passenger's injuries were occasioned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company's part. The question then is: What suffices to discharge this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Concerning the last question posed, McLachlin J.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has been considered in at least two British Columbian cases and I refer to Lawrie v. B.C. Hydro and Power Authority (unreported, May 31st, 1876, B.C.S.C. Vancouver Registry No. 32708/74) and Fischer v. B.C. Hydro and Power Authority (unreported, February 19th, 1980, B.C.S.C. B781446). In the latter case, at page 8, Taylor, J., set out what the defendant must show to discharge the onus upon it in the following terms: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there is in this case an onus on the defendants to show that the plaintiff came by her injury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 or as a result of some cause for which they are not responsible. That is to say they must show that the vehicle was being driven carefully at the time of her fall, or that her fall resulted from some cause other than the manner in which the bus was being driven."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Also instructive on the issue of the standard of care expected of the Transit Defendants in this case is the decision of Dardi J. in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Prempeh</w:t>
      </w:r>
      <w:r>
        <w:rPr>
          <w:rFonts w:ascii="arial" w:eastAsia="arial" w:hAnsi="arial" w:cs="arial"/>
          <w:color w:val="000000"/>
          <w:sz w:val="20"/>
          <w:lang w:val="en-US" w:eastAsia="en-US" w:bidi="ar-SA"/>
        </w:rPr>
        <w:t>] at para. 15, in which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standard of care owed to a plaintiff passenger by a defendant bus driver is the conduct or behaviour that would be expected of a reasonably prudent bus driver in the circumstances. This is an objective test that takes into consideration both the experience of the average bus driver and anything the defendant driver knew or should have known: </w:t>
      </w:r>
      <w:r>
        <w:rPr>
          <w:rFonts w:ascii="arial" w:eastAsia="arial" w:hAnsi="arial" w:cs="arial"/>
          <w:i/>
          <w:color w:val="000000"/>
          <w:sz w:val="20"/>
          <w:lang w:val="en-US" w:eastAsia="en-US" w:bidi="ar-SA"/>
        </w:rPr>
        <w:t>Wang v. Horrod</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(1998), 48 B.C.L.R. (3d) 199</w:t>
        </w:r>
      </w:hyperlink>
      <w:r>
        <w:rPr>
          <w:rFonts w:ascii="arial" w:eastAsia="arial" w:hAnsi="arial" w:cs="arial"/>
          <w:color w:val="000000"/>
          <w:sz w:val="20"/>
          <w:lang w:val="en-US" w:eastAsia="en-US" w:bidi="ar-SA"/>
        </w:rPr>
        <w:t xml:space="preserve"> at para. 39 (C.A.); </w:t>
      </w:r>
      <w:r>
        <w:rPr>
          <w:rFonts w:ascii="arial" w:eastAsia="arial" w:hAnsi="arial" w:cs="arial"/>
          <w:i/>
          <w:color w:val="000000"/>
          <w:sz w:val="20"/>
          <w:lang w:val="en-US" w:eastAsia="en-US" w:bidi="ar-SA"/>
        </w:rPr>
        <w:t>Patoma v. Clarke</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2009 BCSC 1069</w:t>
        </w:r>
      </w:hyperlink>
      <w:r>
        <w:rPr>
          <w:rFonts w:ascii="arial" w:eastAsia="arial" w:hAnsi="arial" w:cs="arial"/>
          <w:color w:val="000000"/>
          <w:sz w:val="20"/>
          <w:lang w:val="en-US" w:eastAsia="en-US" w:bidi="ar-SA"/>
        </w:rPr>
        <w:t xml:space="preserve">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no question that Mrs. Tchir was injured as a consequence of the unexpected rapid deceleration of the bus from a speed of between 25 and 30 kilometers to a full stop sufficient to cause her to be thrown from her seat onto the floor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Transit Defendants must accordingly meet the burden of proving that Mr. Tougas' conduct in rapidly decelerating by braking hard as he did to avoid colliding with the unidentified vehicle that stopped unexpectedly near Keith Road South met the standard of care expected of a reasonably prudent bus driver in all of the circumstances known to him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Counsel for the Transit Defendants submitted that there is no direct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Tougas and that the inference that he was travelling too fast or following too closely behind the unidentified vehicle when it came to the abrupt stop is only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making that submission Mr. Wong relied on </w:t>
      </w:r>
      <w:r>
        <w:rPr>
          <w:rFonts w:ascii="arial" w:eastAsia="arial" w:hAnsi="arial" w:cs="arial"/>
          <w:i/>
          <w:color w:val="000000"/>
          <w:sz w:val="20"/>
          <w:lang w:val="en-US" w:eastAsia="en-US" w:bidi="ar-SA"/>
        </w:rPr>
        <w:t>Lalani v. Wilson</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[1988] B.C.J. No. 2408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Lalani</w:t>
      </w:r>
      <w:r>
        <w:rPr>
          <w:rFonts w:ascii="arial" w:eastAsia="arial" w:hAnsi="arial" w:cs="arial"/>
          <w:color w:val="000000"/>
          <w:sz w:val="20"/>
          <w:lang w:val="en-US" w:eastAsia="en-US" w:bidi="ar-SA"/>
        </w:rPr>
        <w:t>], in which at page 3 Lysyk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of liability resolves itself to this. There is no direct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Mrs. Wilson. The plaintiff suggests that an inference ought to be drawn that Mrs. Wilson applied the brakes unnecessarily or applied them too vigorously or was obliged to apply them in the manner she did because she must have been travelling faster than traffic conditions permitted. In my view, the evidence falls considerably short of providing the basis for any such inference. To draw such a conclusion would, in fact, involve mere speculation. It hardly needs pointing out that it is necessary from time to time for the operator of a bus to apply the brakes in a somewhat more abrupt fashion than usual as a result of an emergency or a near-emergency or some sort of hazard suddenly presenting itself. One could equally well speculate that failure to apply the brakes on the occasion in question would have been negligent by reason of breach of a duty owed to another user of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Certainly, there is a heavy responsibility on the operator of the bus to exercise due care, But the defendants are not insurers and whatever the onus upon the defendant, the situation is not one of res ipsa loquitur. I have not lost sight of the frequently quoted passages from the decision in Day v. Toronto Transportation Committee </w:t>
      </w:r>
      <w:hyperlink r:id="rId280" w:history="1">
        <w:r>
          <w:rPr>
            <w:rFonts w:ascii="arial" w:eastAsia="arial" w:hAnsi="arial" w:cs="arial"/>
            <w:i/>
            <w:color w:val="0077CC"/>
            <w:sz w:val="20"/>
            <w:u w:val="single"/>
            <w:shd w:val="clear" w:color="auto" w:fill="FFFFFF"/>
            <w:lang w:val="en-US" w:eastAsia="en-US" w:bidi="ar-SA"/>
          </w:rPr>
          <w:t>[1940] S.C.R. 433</w:t>
        </w:r>
      </w:hyperlink>
      <w:r>
        <w:rPr>
          <w:rFonts w:ascii="arial" w:eastAsia="arial" w:hAnsi="arial" w:cs="arial"/>
          <w:color w:val="000000"/>
          <w:sz w:val="20"/>
          <w:lang w:val="en-US" w:eastAsia="en-US" w:bidi="ar-SA"/>
        </w:rPr>
        <w:t xml:space="preserve">, and other decisions in this court and elsewhere referring to the judgments in Day, upon which Mr. McTavish here relies in support of his submission to the effect that where the defendant is a common carrier the plaintiff enjoys the benefit of a reverse onus. But so me meaning must be attributed to the recognition in those judgments that the carrier is not an insurer, Further, in circumstances such as those here present, where the possibility of injury was not self-evident and no attention was drawn to such possibility at the time, the difficulties involved in imposing a legal obligation upon the carrier to disprove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obvious. While expressed in positive terms of proving due care, in effect the carrier is being called upon after the event to prove a negative, that is, that the driver was not driving at an excessive rate of speed or had not failed to keep a proper look out or was not otherwise careless.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authorities do establish that there is a high duty of care upon a defendant carrier. Having said that, the question which remains to be answered is whether the evidence has established that the duty was breached. I conclude that that question must be answered in the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Transit Defendants further relied on </w:t>
      </w:r>
      <w:r>
        <w:rPr>
          <w:rFonts w:ascii="arial" w:eastAsia="arial" w:hAnsi="arial" w:cs="arial"/>
          <w:i/>
          <w:color w:val="000000"/>
          <w:sz w:val="20"/>
          <w:lang w:val="en-US" w:eastAsia="en-US" w:bidi="ar-SA"/>
        </w:rPr>
        <w:t>Erickson v. Sibble</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2012 BCSC 1880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for the proposition that it is not, of itself, a breach of the standard of care for a bus driver to stop abruptly.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xml:space="preserve"> at para. 57, Ballance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Although each case turns on its own peculiar facts, the authorities inform the general principles at play. Taken together, the decisions indicate that it is not, of itself, a breach of the standard of care for a bus driver to stop abruptly, even where there is an indication that special precautions may be warranted with respect to an elderly, frail or physically compromised passenger. The issue of liability will depend not only on the manner of the stop, but the reason for its suddenness and the assessment of whether, in all the circumstances, the impugned driving conduct was substandard when measured against the standard expected of a reasonably prudent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Transit Defendants also relied on the unreported January 28, 1999 decision of the Provincial Court of British Columbia (Vancouver Registry 95-10573) </w:t>
      </w:r>
      <w:r>
        <w:rPr>
          <w:rFonts w:ascii="arial" w:eastAsia="arial" w:hAnsi="arial" w:cs="arial"/>
          <w:i/>
          <w:color w:val="000000"/>
          <w:sz w:val="20"/>
          <w:lang w:val="en-US" w:eastAsia="en-US" w:bidi="ar-SA"/>
        </w:rPr>
        <w:t>Stoddart v. Sinclair and BC Transit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Stoddart</w:t>
      </w:r>
      <w:r>
        <w:rPr>
          <w:rFonts w:ascii="arial" w:eastAsia="arial" w:hAnsi="arial" w:cs="arial"/>
          <w:color w:val="000000"/>
          <w:sz w:val="20"/>
          <w:lang w:val="en-US" w:eastAsia="en-US" w:bidi="ar-SA"/>
        </w:rPr>
        <w:t>], in which Mondin PCJ held that the driver of a bus that hit the claimant's vehicle after it changed lanes into the lane of travel of the bus and came to an abrupt halt was not the fault of the bus driver. The author of the collision was the claimant driver who had created the hazard which the bus driver had no opportunity to avoid.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do not doubt the correctness of the principles expressed in </w:t>
      </w:r>
      <w:r>
        <w:rPr>
          <w:rFonts w:ascii="arial" w:eastAsia="arial" w:hAnsi="arial" w:cs="arial"/>
          <w:i/>
          <w:color w:val="000000"/>
          <w:sz w:val="20"/>
          <w:lang w:val="en-US" w:eastAsia="en-US" w:bidi="ar-SA"/>
        </w:rPr>
        <w:t>Lalani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xml:space="preserve"> in cases involving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transit operators in cases where passengers are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do, however, note that in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at para. 67, Ballance J. held that the driver of the bus was 75% liable for the damages suffered by the plaintiff due to the driver's "sudden and vigorous braking" which "caused the bus to come to an abnormally abrupt and jarring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also do not doubt that the result in </w:t>
      </w:r>
      <w:r>
        <w:rPr>
          <w:rFonts w:ascii="arial" w:eastAsia="arial" w:hAnsi="arial" w:cs="arial"/>
          <w:i/>
          <w:color w:val="000000"/>
          <w:sz w:val="20"/>
          <w:lang w:val="en-US" w:eastAsia="en-US" w:bidi="ar-SA"/>
        </w:rPr>
        <w:t>Stoddart</w:t>
      </w:r>
      <w:r>
        <w:rPr>
          <w:rFonts w:ascii="arial" w:eastAsia="arial" w:hAnsi="arial" w:cs="arial"/>
          <w:color w:val="000000"/>
          <w:sz w:val="20"/>
          <w:lang w:val="en-US" w:eastAsia="en-US" w:bidi="ar-SA"/>
        </w:rPr>
        <w:t xml:space="preserve"> was a correct one as between the two drivers, but it is of no assistance to the determination of any potential liability of the bus driver in that case to any passenger who may have been injured because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considering the totality of the evidence and the submissions of both counsel, I have concluded the Transit Defendants have not proven that Mr. Tougas' conduct met the requisite standard of care required of him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say that because:</w:t>
      </w:r>
      <w:r>
        <w:rPr>
          <w:rFonts w:ascii="arial" w:eastAsia="arial" w:hAnsi="arial" w:cs="arial"/>
          <w:sz w:val="20"/>
          <w:lang w:val="en-US" w:eastAsia="en-US" w:bidi="ar-SA"/>
        </w:rPr>
        <w:cr/>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well established that drivers of all vehicles must allow a sufficient distance between their vehicle and those in front to stop safely in the event of sudden or unanticipated stops in their lane of travel. See: </w:t>
      </w:r>
      <w:r>
        <w:rPr>
          <w:rFonts w:ascii="arial" w:eastAsia="arial" w:hAnsi="arial" w:cs="arial"/>
          <w:i/>
          <w:color w:val="000000"/>
          <w:sz w:val="20"/>
          <w:lang w:val="en-US" w:eastAsia="en-US" w:bidi="ar-SA"/>
        </w:rPr>
        <w:t>Rai v. Fowler</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2007 BCSC 1678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Pryndik v. Manju</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2001 BCSC 502</w:t>
        </w:r>
      </w:hyperlink>
      <w:r>
        <w:rPr>
          <w:rFonts w:ascii="arial" w:eastAsia="arial" w:hAnsi="arial" w:cs="arial"/>
          <w:color w:val="000000"/>
          <w:sz w:val="20"/>
          <w:lang w:val="en-US" w:eastAsia="en-US" w:bidi="ar-SA"/>
        </w:rPr>
        <w:t xml:space="preserve"> at para. 21; and </w:t>
      </w:r>
      <w:r>
        <w:rPr>
          <w:rFonts w:ascii="arial" w:eastAsia="arial" w:hAnsi="arial" w:cs="arial"/>
          <w:i/>
          <w:color w:val="000000"/>
          <w:sz w:val="20"/>
          <w:lang w:val="en-US" w:eastAsia="en-US" w:bidi="ar-SA"/>
        </w:rPr>
        <w:t>Stanowski v. Samant,</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[1993] B.C.J. No. 1455</w:t>
        </w:r>
      </w:hyperlink>
      <w:r>
        <w:rPr>
          <w:rFonts w:ascii="arial" w:eastAsia="arial" w:hAnsi="arial" w:cs="arial"/>
          <w:color w:val="000000"/>
          <w:sz w:val="20"/>
          <w:lang w:val="en-US" w:eastAsia="en-US" w:bidi="ar-SA"/>
        </w:rPr>
        <w:t xml:space="preserve"> (S.C.) at para. 29.</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higher standard of care is required of drivers of transit vehicles carrying passengers. See: </w:t>
      </w:r>
      <w:r>
        <w:rPr>
          <w:rFonts w:ascii="arial" w:eastAsia="arial" w:hAnsi="arial" w:cs="arial"/>
          <w:i/>
          <w:color w:val="000000"/>
          <w:sz w:val="20"/>
          <w:lang w:val="en-US" w:eastAsia="en-US" w:bidi="ar-SA"/>
        </w:rPr>
        <w:t>Planidin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Prempeh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Erickson</w:t>
      </w:r>
      <w:r>
        <w:rPr>
          <w:rFonts w:ascii="arial" w:eastAsia="arial" w:hAnsi="arial" w:cs="arial"/>
          <w:color w:val="000000"/>
          <w:sz w:val="20"/>
          <w:lang w:val="en-US" w:eastAsia="en-US" w:bidi="ar-SA"/>
        </w:rPr>
        <w:t xml:space="preserve"> as previously discussed.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Kurt Ising, a Professional Engineer with expertise in accident reconstruction, who was called to testify by the Transit Defendants, opined that the most important issue in determining whether Mr. Tougas' conduct met the standard required of him in relation to the duty owed to his passengers is whether, in the circumstances existing when the near collision occurred, Mr. Tougas had created sufficient headway (or gap) between the bus and the vehicle which had abruptly changed into the curb lane of traffic about 105 meters before the near collision. I agree with that sensible observation which I find is in keeping with the authorities to which I have referred.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Ising also testified in cross-examination that he was hard-pressed, when determining whether a driver is maintaining sufficient headway, to think of another vehicle on the road in normal city traffic that carries as many concerns for safety as that of a transit bus.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Tougas himself testified that safety is the number one priority of a bus driver and that passenger comfort is a secondary concern. He also testified under cross-examination that part of his job is to expect the unexpected and also acknowledged that his job is to leave enough room (gap) so that if a car in front of him does something unexpected there is enough room to stop.</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assessing Mr. Tougas' conduct and the degree of care required of him in that situation I note that at the time of the near collision he was driving a bus with standees, seated passengers including some (like Mrs. Tchir) seated sideways without support, and at least one passenger with a stroller.</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also following a vehicle driven by an erratic driver who had caused a near collision by changing lanes precipitously in front of the bus at Lonsdale and Keith Road North in what Mr. Tougas considered to be a "ridiculous" move.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Tougas reacted to the situation by braking gently and decelerating to create more headway but did not anticipate that the unidentified driver would create another dangerous situation by stopping at an intersection where he could not make a right-hand turn rather than continuing through the intersection.</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actual headway created by Mr. Tougas after the dangerous lane change by the unidentified driver at Keith Street North before the near collision at Keith Street South was only about one and one-half bus lengths and the fact of the hard stop that was necessary to prevent the collision satisfies me that one and one-half bus lengths was, in all of the circumstances, insufficient headway.</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insufficient headway was created by Mr. Tougas would not alone ground a finding of liability if he had not had the opportunity to create more than he did. The evidence does, however, establish that he could have made a gentle stop at the crosswalk on Lonsdale at Keith Road South had he begun decelerating about 50 meters from that crosswalk.</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the plaintiff's expert witness, Mr. Donald Rempel, also a Professional Engineer, confirms that the distance between where the unidentified vehicle came into Mr. Tougas' lane of travel and the location of the near collision was sufficient to allow Mr. Tougas to stop without incident if he had commenced deceleration earlier.</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Mr. Tougas did not anticipate that the unidentified driver would stop abruptly where he did, he also testified that he was aware that cars were stopped at the stop sign on Keith Road South at Lonsdale, and acknowledged that in his experience drivers will at times risk "scooting" across Lonsdale at the intersection from west to east when they consider it safe to do so. If so, that can necessitate sudden stops by vehicles travelling on Lonsdale which had occurred at least once in the past while he was driving a bus on that same route.</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Mr. Tougas did not call out any warning to his passengers about the need to brake quickly. While he testified that it was his normal practice to do so, his report to his employer about the incident did not indicate that he had warned his passengers, and I accept Mrs. Tchir's testimony that she did not hear a warning.</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I am satisfied that the near collision was primarily caused by the conduct of the unidentified driver on whose behalf ICBC has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am also satisfied that in all of the circumstances, the most important of those being the previous erratic driving of that driver which Mr. Tougas had already experienced, Mr. Tougas did not sufficiently anticipate further problems by creating sufficient headway to protect his passengers from injury when he had the opportunity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result, I find that the Transit Defendants have not met the burden of establishing that Mr. Tougas' conduct was not negligent or that it did not contribute to Mrs. Tchir's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I said when counsel for ICBC (with the support of counsel for the Transit Defendants) sought leave to withdraw from participation in the trial after admitting liability, the fact that the Transit Defendants and ICBC were then proceeding with the same counsel representing the interest of both, I am not prepared to apportion liability between ICBC and the Transit Defendants. If they do eventually seek such apportionment it will have to be done in proceedings as between themselves that do not involve Mrs. Tchir.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Since there is no suggestion or evidence that Mrs. Tchir was contributorily negligent in relation to the injuries suffered by her in the near collision, ICBC and the Transit Defendants are jointly and severally liable to compensate her for the damages she has suffered as a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unidentified driver and that of the Transit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THE AFTERMATH OF THE NEAR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Mrs. Tchir's family doctor, Dr. Kathryn Atkinson, delivered an opinion dated November 21, 2012, based upon her observation and treatment of Mrs. Tchir from April 16, 2009, until the date of that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Atkinson's clinical records were also in evidence both for the period covered by her report and thereafter until February 14, 2014, 10 days before this trial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satisfied that I can safely rely on Dr. Atkinson's expert report in recording the progress of the injuries suffered by Mrs. Tchir on April 6, 2009, and the medical interventions required to treat those injuries. The report is comprehensive and accurately reflects Mrs. Tchir's own credible testimony at trial about her condition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Concerning Mrs. Tchir's fall and its immediate aftermath in the 10 days between the fall and her first visit with her, Dr. Atkinson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Helen Tchir was involved in a motor vehicle accident on April 6, 2009. The first time I assessed her after the accident was on April 16, 2009. She described that there had been a motor vehicle accident while she was a passenger on a bus on April 6, 2009. She stated that she was knocked off her seat and landed on the floor. She felt disoriented.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thinks she had a brief loss of consciousness and noted that her thinking had not been right since. She noted injuries to her right cheek, chest, neck, arm and back. She was assessed in Emergency at Lions Gate Hospital. She stated that she had a CT scan of her cheek and that no fracture was seen. She had a cervical collar put on. She felt "not with it". She had bruising of her right breast. She went to a walk in clinic the day after the accident on April 7, 2009 where she was examined but not given any painkillers. She went again to a walk in clinic on April 8, 2009 and was given Tylenol #3 but she found that it bothered her stomach. She was not sleeping well except in a recliner. If she lay on her back she had trouble breathing. On April 15th 2009 she had so much pain that she went back to Emergency at Lions Gate Hospital. There she reported that she had a chest X-ray and electrocardiogram which were normal. She was given morphine and slept that night. She noted that she had not been working since the motor vehicle accident. She and her husband were co-managers of an apartment building. On examination on April 16, 2009 she had bruising and tenderness of the right cheek at the infraorbital rim (bony rim below the eye - part of the eye socket). There was no facial asymmetry. Extraocular movements were normal. Neurological examination of the nerves of the head (cranial nerves) were normal. There was tenderness of the anterior (front) of the chest on the right but no bruising. There was no bruising of the right breast. On examination of the right shoulder there was tenderness of the right clavicle (collar bone), the right acromion (tip of the scapula at the front of the shoulder). There was tenderness of the right trapezius muscle. There was no tenderness of the spinous processes of the cervical spine (i.e. no tenderness of the back bones of the neck). There was tenderness of the right paraspinous areas of the neck. Spinous processes of the thoracic and lumbar spine (back) were not tender. There was tenderness of the right upper thoracic paraspinous musculature. There was tenderness of the right scapula (shoulder blade). Range of motion of the neck was reduced in all directions. Range of motion of the right shoulder showed reduced abduction to ninety degrees (normal is one hundred and eighty degrees) and very limited internal and external rotation. Diagnoses were made of Soft Tissue Injuries of the right cheek, chest, right shoulder, neck and upper back as well as post concussion symptoms. A request was made for a CT scan of the head. She was advised to attend physiotherapy and massage therapy. She was given a prescription for Pariet 20 mg daily as needed for stomach symptoms. She was to take Morphine as prescribed by the Emergency physician. She was not able to work. She was to make a follow up appointment for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Atkinson saw Mrs. Tchir as a consequence of her injuries suffered in the fall almost once every month thereafter and often many more times than once per month until November 21, 2012 (when she wrote her formal report) and also until the start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Mrs. Tchir also attended upon various other medical professionals from the date of her fall until the trial for assessment and treatment. That treatment included surgeries on her right shoulder and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most significant injuries alleged by Mrs. Tchir as having been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w:t>
      </w:r>
      <w:r>
        <w:rPr>
          <w:rFonts w:ascii="arial" w:eastAsia="arial" w:hAnsi="arial" w:cs="arial"/>
          <w:sz w:val="20"/>
          <w:lang w:val="en-US" w:eastAsia="en-US" w:bidi="ar-SA"/>
        </w:rPr>
        <w:cr/>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injuries to her right cheek, and to her chest, neck and back, as well as to her right shoulder and knee;</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conditions including anxiety, sleeplessness and depression also resulting in upper abdominal reflux due to medication taken for chronic pain.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most debilitating physical injuries Mrs. Tchir claims to have suffered when she fell were:</w:t>
      </w:r>
      <w:r>
        <w:rPr>
          <w:rFonts w:ascii="arial" w:eastAsia="arial" w:hAnsi="arial" w:cs="arial"/>
          <w:sz w:val="20"/>
          <w:lang w:val="en-US" w:eastAsia="en-US" w:bidi="ar-SA"/>
        </w:rPr>
        <w:cr/>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her right shoulder consisting of not only soft tissue injuries but a rotator cuff tear of the supraspinatus tendon which required surgery;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her right knee consisting of not only soft tissue injuries but also a torn meniscus of the right knee which required surgery and led to development of iliotibial band syndrome; and</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Myokymia and facial pain around her right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do not suggest that the physical injuries complained of by Mrs. Tchir related to her right shoulder and around her right eye were not caused by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They do, however, assert that she has not established that the difficulties she has endured with her right knee were causally connected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evidence establishes that the injuries suffered by Mrs. Tchir to her right shoulder were the most serious of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After her attendance on Dr. Atkinson on April 16, 2009, Mrs. Tchir received physiotherapy for all of her injuries including those to her shoulder so that by May 11, 2009, she was attending physiotherapy twice per week. She was also not 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May 11, 2009, in addition to the general soft tissues injury to her right shoulder diagnosed by her on April 16, 2009, Dr. Atkinson determined that Mrs. Tchir had suffered a possible tendon injury to the rotator cuff. Mrs. Tchir was advised to continue physiotherapy treatments which she did by continuing to attend twice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Pain in her shoulder continued, notwithstanding those physiotherapy sessions, and at the recommendation of her physiotherapist she saw a chiropractor in the summer. She discontinued that treatment, however, because of increased pain. Physiotherapy was then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By September of 2009 there had been little, if any, improvement in Mrs. Tchir's right shoulder discomfort. She had, however, returned to work and was coping with doing some of the cleaning work she previously did at The Grande by working far longer hours to do the same work and with the assistance of her husband in doing work she could not tolerate because of her shoulder pain. Acupuncture treatments provided some relief but it was only temporary.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Due to lack of progress with the injury, Dr. Atkinson eventually sent Mrs. Tchir for ultrasound investigation of her right shoulder in November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Concerning that investigation and the treatment that followed, Dr. Atkinson wrote in her report of November 21, 2012,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Tchir was seen subsequently on December 18, 2009. The results of her right shoulder ultrasound done on November 13, 2009 were now available. There was a fairly large full thickness tear in the supraspinatus tendon involving most of the tendon. The other tendons were intact. There was a little fluid in the shoulder joint. Her shoulder was very sore. A referral was made to an orthopedic surgeon. She was advised not to do any lifting but to continue with range of motion exercises. She was advised to not participate in a rehabilitation program until she was assessed by the orthopedic surgeon.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December 29, 2009 she was reassessed. She had more pain in the right shoulder. She had hardly worked since the last appointment as all of her work involves the right arm. Since the motor vehicle accident she had been doing light duties such as dusting, wiping and these tasks were more painful now. I gave her a prescription for Celebrex 200 mg daily (non-steroidal anti-inflammatory medication, similar to Ibuprofen). She was unable to work and was given a note. She was awaiting assessment by the Orthopedic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Following Dr. Atkinson's advice, Mrs. Tchir stopped doing the limited work she had been trying to do and did not then work for the next seven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Atkinson's report of her attendance upon Mrs. Tchir on February 16, 2010,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February 16, 2010 she reported that she had not been working for the past 7 weeks. She had constant pain in her right shoulder that radiated to her upper arm. She was wearing the shoulder sling for support and had pain in spite of this. She had pain especially in the posterior aspect of the shoulder (back of the shoulder). She was unable to work because of the shoulder pain. She found that the Lyrica was too sedating and did not really help with the pain. On examination there was weakness of the right supraspinatus and a positive impingement test of the right shoulder. Most of her right upper arm muscle testing was limited by pain. We were still trying to get her in to see an orthopedic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That report is consistent with Mrs. Tchir's own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February 16, 2010, on the advice of Dr. Atkinson, Mrs. Tchir again stopped working at The Grande. The limited work she had previously been doing was then done by her husband to the extent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Atkinson, as well as Dr. Peter Zarkadas to whom Mrs. Tchir was referred for her shoulder injuries, attempted to relieve her symptoms with pain medication which increased her irritability and also by way of cortisone injections which did not help the pain. Lack of response to those interventions as well as MRI examination eventually led Dr. Zarkadas' decision that surgery was necessary to attempt to repair the damage to her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July 15, 2010, Mrs. Tchir underwent surgery to repair a tear to the right supraspinatus tendon.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Post-surgery recovery included the use of a sling and pain medication as well as physiotherapy and a directed exercise regime at home, however, in addition to the pain she continued to endure Mrs. Tchir did not sleep well. Also, for the first seven weeks while she was using the sling her husband had to do all of the chores around the home as well as whatever work at The Grande he could find time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By September 15, 2010, when she saw Dr. Atkinson for the second time post-surgery, Mrs. Tchir was taking less pain medication and was no longer using the sling. She did, however, continue with physiotherapy for her shoulder into March of 2011, but still had not returned to work and also still required a significant amount of pain medication for her shoulder injuries and for sleep as well as for pain in her right knee which had become progressively worse after December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April 11, 2011, when physiotherapy on her shoulder was discontinued, Mrs. Tchir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Her ability to work was still compromised by her weakened shoulder but over time difficulties with her right knee also became a serious impediment to full time employment and, as I will next discuss, also eventually led to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Concerning her right shoulder injuries, the cause of those injuries and the likely effect on her future health and work, Dr. Zarkadas wrote in his medical-legal opinion dated July 20,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her right shoulder injury, as she fell to the floor of the bus she complained of immediate right shoulder pain. This fact is well supported the medical documentation in Appendix A as well as my own assessment. The diagnosis is clear. The diagnosis of impingement and a full thickness tear of the supraspinatus are supported by the results of the MRI and subsequent shoulder surgical repair. More likely than not, the rotator cuff tear is directly attributable to the fall on the bus. It is very unlikely that she had a pre-existing full thickness tear of her supraspinatus tendon. Although she has benefitted from the surgical repair and follow-up, she continues to have symptoms of pain and weakness. This has prevented her from returning to her occupation as a resident manager of an apartment building, where the majority of the tasks involve some form of cleaning. I would suggest that her prognosis is guarded, with respect to her right shoulder, that even despite three years since this surgery and ongoing physiotherapy, she remains quite symptomatic. I would suggest that if she feels that she is benefitting from physiotherapy that she should continue. The likelihood that further surgery in her case will not be of benefit to her.</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defendants take issue with whether the injuries to Mrs. Tchir's right knee, which she attributes to her fall on the bus on April 6, 2009, were caused by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position advanced by the defendants is that the right knee difficulties she has suffered from and which did not become a focus of medical attention until almost 18 months later after the fall arose spontaneously and were not connected to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Although the defendants do not challenge Mrs. Tchir's credibility generally, counsel for the Transit Defendants does submit that the reliability of her evidence with respect to the onset of her right knee complaints must be critically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Wong submits that most important to that examination is the lack of continuity of Mrs. Tchir's knee complaints from the time of the near collision until after the surgery on her shoulder had been performed in July of 2010 and after she had returned to work in April of 2011 when she was on her way to whatever recovery would be available from that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am troubled by the lack of consistency of Mrs. Tchir's knee complaints over the period between April 6, 2009 until December 9, 2010, when they started to become a focus of her medical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 do not, however, conclude that that lack of consistency must lead to a finding that the injuries to Mrs. Tchir's right knee were not caused or materially contributed to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that her testimony at trial concerning her knee injuries and the effect of them on her over time should not be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say that because:</w:t>
      </w:r>
      <w:r>
        <w:rPr>
          <w:rFonts w:ascii="arial" w:eastAsia="arial" w:hAnsi="arial" w:cs="arial"/>
          <w:sz w:val="20"/>
          <w:lang w:val="en-US" w:eastAsia="en-US" w:bidi="ar-SA"/>
        </w:rPr>
        <w:cr/>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Mrs. Tchir first attended upon Dr. Atkinson on April 16, 2009, she complained of injuries to the right side of her body generally and was sent to physiotherapy.</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her first intake appointment with her physiotherapist, Ms. Shauna Franke, Mrs. Tchir reported constant leg and knee pain. Ms. Franke testified that Mrs. Tchir reported pain in the front of both of her knees and pain on the back of her leg all the way down to the back of her knee.</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Mrs. Tchir's evidence and that of Mr. Tchir, that I accept, was that after the collision Mrs. Tchir's ability to work was compromised not only by her shoulder injuries but her inability to walk down stairs from the 17th floor of The Grande to inspect the stairways and her inability to kneel to do work requiring that positioning of her body. Examples given were the cleaning of bathrooms and gymnasium equipment. Mrs. Tchir also reported that she had to take frequent breaks to ice areas that were causing her pain, including her right knee.</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14, 2010, as well as on May 21, 2010, Mrs. Tchir reported an increase in posterior knee discomfort to her physiotherapist. Also, on June 10, 2010, a treatment provider at the Kinetic Rehabilitation Center noted that her "right knee does not extend".</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Mrs. Tchir reported her knee pain to Dr. Atkinson on December 9, 2010, Dr. Atkinson's diagnosis was that it had "flared up" due to a decrease in the amount of Ibuprofen she was then taking after pain associated with her shoulder injuries had subsided somewhat.</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of any insult to Mrs. Tchir's right knee at any time prior to her reporting of a flare-up in her knee pain to Dr. Atkinson.</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November of 2012, Dr. Atkinson was of the opinion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With regard to her knee injuries, she has been diagnosed with iliotibial Band Syndrome (connective tissue from the iliac crest (pelvis) to the outside of the knee, flexion contracture of the knee and tears of the cartilage (medial and lateral menisci). Ms. Tchir did not report her knee symptoms to me for some time after the accident. She had a number of other injuries that she was dealing with right after the accident and, in addition, had a head injury with resulting lack of clarity in her thinking. She had a lot of pain and reduced mobility and I think that at least some of her right knee injuries resulted from the motor vehicle accident. It is difficult to say whether the meniscal tears were a result of the accident. Her prognosis for full recovery of her right knee function is somewhat unknown at present as she is still recovering from surgery. The surgery, however, will not have had any effect on the iliotibial band pain or the flexion contractures. She may have persisting soft tissue pain in her right knee even when she has recovered from the arthroscopic meniscal repairs.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Zarkadas observed in his report of July 13, 2013: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her right knee she did have pre-existing mild tri-compartmental arthritis. This was noted on her X-ray report dated December 30, 2010. She states that she had no symptoms of this arthritis prior to the accident. She had no functional limitation prior to this fall, no restricted range of motion that she reported or recalled. </w:t>
      </w:r>
      <w:r>
        <w:rPr>
          <w:rFonts w:ascii="arial" w:eastAsia="arial" w:hAnsi="arial" w:cs="arial"/>
          <w:color w:val="000000"/>
          <w:sz w:val="20"/>
          <w:u w:val="single"/>
          <w:lang w:val="en-US" w:eastAsia="en-US" w:bidi="ar-SA"/>
        </w:rPr>
        <w:t>There is no doubt that she sustained some trauma to her knee during the fall, as stated by Ms. Tchir, also shown by the bruising and swelling noted of the anterior aspect of her knee from a picture taken after the bus accident.</w:t>
      </w:r>
      <w:r>
        <w:rPr>
          <w:rFonts w:ascii="arial" w:eastAsia="arial" w:hAnsi="arial" w:cs="arial"/>
          <w:color w:val="000000"/>
          <w:sz w:val="20"/>
          <w:lang w:val="en-US" w:eastAsia="en-US" w:bidi="ar-SA"/>
        </w:rPr>
        <w:t xml:space="preserve"> [Emphasis added.]</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Zarkadas then reached the conclusion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With respect to her right knee the story is a little less clear, in terms of causation. Ms. Tchir does attribute the onset of all her current knee pain and stiffness to the bus accident. The reason the issue of causation is relevant, is that she did have asymptomatic knee arthritis at the time of the bus injury, and took some time to formally report this complaint of right knee pain and stiffness to her GP, Dr. Atkinson. Among the documents provided was a picture of a bruise to her right thigh above the knee. Her knee injury was also described in her statement of the injury on April 9, 2009. Dr. Atkinson, in her report dated November 21, 2012, commented that the main reason for the delay in reporting her right knee pain is that she had multiple injuries that were of more immediate concern. She also likely sustained a head injury namely a concussion during the fall. It was not until December 9, 2010, well over a year from the accident did Ms. Tchir start complaining of worsening right knee pain sufficient to warrant reporting to Dr. Atkinson. The X-ray and MRI of her right knee following the accident, as well as the findings at the time of arthroscopy, clearly demonstrate mild to moderate arthritis in the joint that likely predated 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my opinion, as her treating surgeon, that the onset of the pain of her right knee did occur at the time of the bus accident on April 6, 2009. She essentially had pre-existing asymptomatic arthritis that became symptomatic as a direct result of the accident. In the absence of this accident, would the right knee of become symptomatic on it's own given the pre-existing arthritis? The answer to this question is likely yes. Did the accident accelerate the deterioration of her knee arthritis and development of a knee contracture? The answer to this question again is likely yes.</w:t>
      </w:r>
      <w:r>
        <w:rPr>
          <w:rFonts w:ascii="arial" w:eastAsia="arial" w:hAnsi="arial" w:cs="arial"/>
          <w:color w:val="000000"/>
          <w:sz w:val="20"/>
          <w:lang w:val="en-US" w:eastAsia="en-US" w:bidi="ar-SA"/>
        </w:rPr>
        <w:t xml:space="preserve"> Are the tears of her menisci attributable to the accident itself rather than the arthritis alone? I would state that the meniscal tearing is most likely degenerative in nature, </w:t>
      </w:r>
      <w:r>
        <w:rPr>
          <w:rFonts w:ascii="arial" w:eastAsia="arial" w:hAnsi="arial" w:cs="arial"/>
          <w:color w:val="000000"/>
          <w:sz w:val="20"/>
          <w:u w:val="single"/>
          <w:lang w:val="en-US" w:eastAsia="en-US" w:bidi="ar-SA"/>
        </w:rPr>
        <w:t>but that any twisting of the right knee during the fall could have easily worsened or propagated these tears that I observed at the time of surgery.</w:t>
      </w:r>
      <w:r>
        <w:rPr>
          <w:rFonts w:ascii="arial" w:eastAsia="arial" w:hAnsi="arial" w:cs="arial"/>
          <w:color w:val="000000"/>
          <w:sz w:val="20"/>
          <w:lang w:val="en-US" w:eastAsia="en-US" w:bidi="ar-SA"/>
        </w:rPr>
        <w:t xml:space="preserve"> The delay in seeking treatment for the knee is reasonably understood by the explanation provided by Dr. Atkinson. </w:t>
      </w:r>
      <w:r>
        <w:rPr>
          <w:rFonts w:ascii="arial" w:eastAsia="arial" w:hAnsi="arial" w:cs="arial"/>
          <w:color w:val="000000"/>
          <w:sz w:val="20"/>
          <w:u w:val="single"/>
          <w:lang w:val="en-US" w:eastAsia="en-US" w:bidi="ar-SA"/>
        </w:rPr>
        <w:t>I think Ms. Tchir had more pressing medical concerns with respect to her shoulder and the delay in documentation was not because she was not symptomatic. I suspect her right knee became symptomatic since the time of her accident and it likely worsened over time.</w:t>
      </w:r>
      <w:r>
        <w:rPr>
          <w:rFonts w:ascii="arial" w:eastAsia="arial" w:hAnsi="arial" w:cs="arial"/>
          <w:color w:val="000000"/>
          <w:sz w:val="20"/>
          <w:lang w:val="en-US" w:eastAsia="en-US" w:bidi="ar-SA"/>
        </w:rPr>
        <w:t xml:space="preserve"> Overall I would characterize her prognosis as guarded. I would encourage her to lose some weight and continue a gentle exercise program that involves walking and aqua-therapy. In her lifetime, I would suspect [that] she will eventually need a knee replacement.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Dr. Atkinson's explanation for the likely reasons for Mrs. Tchir's delays in reporting of her knee injuries until December of 2010. It is plainly obvious that her shoulder issues were the primary source of her pain and disabilities at work but that does not mean that she was not also suffering from some knee pain. Dr. Atkinson testified that sometimes when patients have a lot of pain they do not report all of their injuries to her. I also cannot overlook the likely effect of the reduction of Mrs. Tchir's knee pain because of the heavy dosage of pain medication she was on for her shoulder injuries up until the time of her shoulder surgery after which pain medication was reduced. Hence, the phraseology of a "flare up" used by Dr. Atkinson in her contemporaneous notes of her examination of Mrs. Tchir which I conclude records an ongoing rather than a new or spontaneous medical condition.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Dr. Zarkadas' opinion and conclude that Mrs. Tchir's fall on the bus likely accelerated the deterioration of existing knee arthritis and the development of the knee contracture. I also accept his opinion that the fall could easily have "worsened" or propagated the meniscal tears he observed at the time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accordingly find that Mrs. Tchir's right knee injuries requiring eventual surgery which, together with her right shoulder injuries, required her to stop work at The Grande altogether in 2012 were caused or materially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Myokymia and facial pain around her right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April 16, 2009, Dr. Atkinson diagnosed Mrs. Tchir as suffering from "bruising and tenderness of her right cheek at the infraorbital rim (bony rim below the eye-part of the eye socket)" as a consequence of having fallen to the floor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February 2, 2011, she was assessed by a Dr. Chew as suffering from myokymia, a benign condition of involuntary twitching optionally treatable with Botox injections. On the advice of her usual ophthalmologist she did not take those treatments and by September of 2011 her right cheek was symptom free.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Psychological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medical evidence establishes that it is possible that Mrs. Tchir suffered a brief loss of consciousness when she struck her head when she fell to the floor of the bus. She was disoriented and her thinking was unclear for about a week. There is, however, little evidence of her having suffered long term effects of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totality of the evidence does, however, convince me that the after effects of the fall upon Mrs. Tchir's life were devastating and that the toll that her physical injuries (primarily her shoulder and eventually her knee, and the pain associated to them) took on her resulted in the anxiety, sleeplessness, depression and other mood issues with which she has had to cope since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pain emanating from her physical injuries also resulted in the necessity to take many different kinds of pain, mood and sleep medications all of which had a profound impact on her ability to function not only at work but in her daily life outside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addition, the many medications she was required to take resulted in an increase in upper abdominal reflux symptoms which itself exacerbated her depression.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impact of the injuries suffered by Mrs. Tchir in her fall culminated in the loss of her ability to work after May 8, 2012. Although she had tried to return to work after her shoulder surgery in April of 2011, she was never able to return to her previous level of work and her husband did more and more of the work for her as he had before her shoulder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her medical-legal report of November 21, 2012, Dr. Atkinson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Tchir had an increase in upper abdominal symptom of reflux as a result of the amount of Ibuprofen (Advil) that she was taking in order to try and control her pain. She also has had a lot of difficulty sleeping because of the pain and has had to sleep in a recliner because it is has been too uncomfortable to lie down flat in bed. She has also had a recurrence of depression as a result of her long term pain and disability. She has also had anxiety regarding travelling on buses since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Tchir has had very significant disability as a result of the motor vehicle accident. Ever since the accident she has been unable to fully carry out her duties as resident manager of an apartment building. She had a period of total disability after her shoulder surgery. She returned to work in April 2011. As she increased her duties over the next year she developed more right shoulder pain and had more side effects from the increased amount of medication that she was taking. Thus, her disability progressed to the extent that she became unable to work as a resident manager and she remains totally disabled from this job. In addition, she has been and remains unable to carry out many of her household chores and relies on her husband to do so. As a result of Ms. Tchir being unable to continue to work, her husband lost his job as a resident manager because they were hired as a couple. Furthermore, once they no [longer] held the positions of resident managers they had to move. Ms. Tchir is 64 years old with significant restrictions in her physical abilities. It will be very difficult for her to get another job. In my opinion it is likely that Ms. Tchir is permanently disabled.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Tchir has also had disability with respect to her leisure time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Tchir continues to require physiotherapy for her right shoulder and knee. Kinesiologist supervision of a rehabilitation exercise program is also recommended. She would also benefit from having cleaning help at home on a regular basis. She may require a hospital type bed so that she can elevate the head and foot of the bed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her testimony at trial, Dr. Atkinson testified that all of those concerns continue to exist and her opinion remains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totality of the evidence at trial supports those opinions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As noted above, Mrs. Tchir seeks compensation for the injuries she has suffered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the following heads of damages:</w:t>
      </w:r>
      <w:r>
        <w:rPr>
          <w:rFonts w:ascii="arial" w:eastAsia="arial" w:hAnsi="arial" w:cs="arial"/>
          <w:sz w:val="20"/>
          <w:lang w:val="en-US" w:eastAsia="en-US" w:bidi="ar-SA"/>
        </w:rPr>
        <w:cr/>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losses for pain and suffering;</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earnings;</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losses for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purpose of non-pecuniary damages in personal injury cases is to compensate the injured party for their pain and suffering, loss of enjoyment of life and loss of enjoyment of amenities caused by the fault of a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at para. 46, Kirkpatrick J.A. set out a useful, non-exhaustive list of factors that offer guidance as to what may influence an award of non-pecuniary damages. The list included the:</w:t>
      </w:r>
      <w:r>
        <w:rPr>
          <w:rFonts w:ascii="arial" w:eastAsia="arial" w:hAnsi="arial" w:cs="arial"/>
          <w:sz w:val="20"/>
          <w:lang w:val="en-US" w:eastAsia="en-US" w:bidi="ar-SA"/>
        </w:rPr>
        <w:cr/>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Kirkpatrick J.A.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289"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With those considerations in mind I will now assess the compensation to which I consider Mrs. Tchir is entitled for her pain, suffering, and loss of enjoyment of life for the injuries she suffered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injuries suffered by Mrs. Tchir in the near collision and her being thrown to the floor of the bus range from relatively minor to devastating.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bruising of her chest and legs largely resolved within weeks but the soft tissue injuries to her neck and back continued for at least two years when, in September 2011, Dr. Weiss, whom Mrs. Tchir had seen, reported to Dr. Atkinson that as of that date she still suffered from diffuse musculoskeletal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By far the most all-consuming injury from which Mrs. Tchir has suffered was, however, the injury to her right shoulder, the progress of which I have detailed above. It resulted in a decreased ability to work from April 6, 2009, until February 11, 2010, after which she had to stop work completely for more than a year until April 1, 2011. Her pain and loss of work led to emotional distress and reliance on medications that negatively impacted her life emotionally and physically.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flaring of her knee pain shortly after her shoulder surgery and return to work then continued to exacerbate her pain and suffering, the need for medication and the continued negative effect of medication, reflux difficulties, lack of sleep,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After May 8, 2012, Mrs. Tchir was no longer able to work, resulting in the loss of not only her job but also her husband's income, as well as the loss of the apartment they had, as managers, been entitled to occupy at The Grande.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Mrs. Tchir underwent knee surgery on August 8, 2012, but recovery from that has been long and arduous and her prognosis is still only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suffering Mrs. Tchir has endured because of the fall has now lasted almost five years and she will likely continue to suffer from it into the future with only limited reduction. That suffering has had a disastrous impact on her personal life as she has moved from being a dynamic, highly social individual who enjoyed outings with her daughter and husband to existence in a life in which she is in constant pursuit of pain relief and medical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She is now more than 65 and does not face the prospect of the healthy energetic and relatively prosperous life she could have lived into and past retirement had it not been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Lee on behalf of Mrs. Tchir asserted that an appropriate award of non-pecuniary damages in this case would be from $100,000 to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support of that submission he referred me to: </w:t>
      </w:r>
      <w:r>
        <w:rPr>
          <w:rFonts w:ascii="arial" w:eastAsia="arial" w:hAnsi="arial" w:cs="arial"/>
          <w:i/>
          <w:color w:val="000000"/>
          <w:sz w:val="20"/>
          <w:lang w:val="en-US" w:eastAsia="en-US" w:bidi="ar-SA"/>
        </w:rPr>
        <w:t>Hanson v. Yun</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2013 BCSC 2313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Hanson</w:t>
      </w:r>
      <w:r>
        <w:rPr>
          <w:rFonts w:ascii="arial" w:eastAsia="arial" w:hAnsi="arial" w:cs="arial"/>
          <w:color w:val="000000"/>
          <w:sz w:val="20"/>
          <w:lang w:val="en-US" w:eastAsia="en-US" w:bidi="ar-SA"/>
        </w:rPr>
        <w:t xml:space="preserve">], ($120,000); and </w:t>
      </w:r>
      <w:r>
        <w:rPr>
          <w:rFonts w:ascii="arial" w:eastAsia="arial" w:hAnsi="arial" w:cs="arial"/>
          <w:i/>
          <w:color w:val="000000"/>
          <w:sz w:val="20"/>
          <w:lang w:val="en-US" w:eastAsia="en-US" w:bidi="ar-SA"/>
        </w:rPr>
        <w:t>Latuszek v. Bel-Air Taxi (1992) Limited</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2009 BCSC 798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Latuszek</w:t>
      </w:r>
      <w:r>
        <w:rPr>
          <w:rFonts w:ascii="arial" w:eastAsia="arial" w:hAnsi="arial" w:cs="arial"/>
          <w:color w:val="000000"/>
          <w:sz w:val="20"/>
          <w:lang w:val="en-US" w:eastAsia="en-US" w:bidi="ar-SA"/>
        </w:rPr>
        <w:t>], ($100,000). He also submitted that any adjustment to the award because of any pre-existing arthritis in her right knee should be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Wong on behalf of the defendants suggested that an award in the range of $35,000 to $80,000 would adequately compensate Mrs. Tchir for her injuries for which the defendants should be held responsible and that she should receive no compensation for the pain and suffering related to her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making that submission he referred me to: </w:t>
      </w:r>
      <w:r>
        <w:rPr>
          <w:rFonts w:ascii="arial" w:eastAsia="arial" w:hAnsi="arial" w:cs="arial"/>
          <w:i/>
          <w:color w:val="000000"/>
          <w:sz w:val="20"/>
          <w:lang w:val="en-US" w:eastAsia="en-US" w:bidi="ar-SA"/>
        </w:rPr>
        <w:t>Battrum v. British Columbia</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2009 BCSC 716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Battrum</w:t>
      </w:r>
      <w:r>
        <w:rPr>
          <w:rFonts w:ascii="arial" w:eastAsia="arial" w:hAnsi="arial" w:cs="arial"/>
          <w:color w:val="000000"/>
          <w:sz w:val="20"/>
          <w:lang w:val="en-US" w:eastAsia="en-US" w:bidi="ar-SA"/>
        </w:rPr>
        <w:t xml:space="preserve">], ($35,000); </w:t>
      </w:r>
      <w:r>
        <w:rPr>
          <w:rFonts w:ascii="arial" w:eastAsia="arial" w:hAnsi="arial" w:cs="arial"/>
          <w:i/>
          <w:color w:val="000000"/>
          <w:sz w:val="20"/>
          <w:lang w:val="en-US" w:eastAsia="en-US" w:bidi="ar-SA"/>
        </w:rPr>
        <w:t>Miller v. Fraumeni</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2005 BCSC 1231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($55,000); </w:t>
      </w:r>
      <w:r>
        <w:rPr>
          <w:rFonts w:ascii="arial" w:eastAsia="arial" w:hAnsi="arial" w:cs="arial"/>
          <w:i/>
          <w:color w:val="000000"/>
          <w:sz w:val="20"/>
          <w:lang w:val="en-US" w:eastAsia="en-US" w:bidi="ar-SA"/>
        </w:rPr>
        <w:t>Antonishak v. Piebenga</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2012 BCSC 745</w:t>
        </w:r>
      </w:hyperlink>
      <w:r>
        <w:rPr>
          <w:rFonts w:ascii="arial" w:eastAsia="arial" w:hAnsi="arial" w:cs="arial"/>
          <w:color w:val="000000"/>
          <w:sz w:val="20"/>
          <w:lang w:val="en-US" w:eastAsia="en-US" w:bidi="ar-SA"/>
        </w:rPr>
        <w:t xml:space="preserve">, ($60,000); </w:t>
      </w:r>
      <w:r>
        <w:rPr>
          <w:rFonts w:ascii="arial" w:eastAsia="arial" w:hAnsi="arial" w:cs="arial"/>
          <w:i/>
          <w:color w:val="000000"/>
          <w:sz w:val="20"/>
          <w:lang w:val="en-US" w:eastAsia="en-US" w:bidi="ar-SA"/>
        </w:rPr>
        <w:t>John v. Landry</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2006 BCSC 1767</w:t>
        </w:r>
      </w:hyperlink>
      <w:r>
        <w:rPr>
          <w:rFonts w:ascii="arial" w:eastAsia="arial" w:hAnsi="arial" w:cs="arial"/>
          <w:color w:val="000000"/>
          <w:sz w:val="20"/>
          <w:lang w:val="en-US" w:eastAsia="en-US" w:bidi="ar-SA"/>
        </w:rPr>
        <w:t xml:space="preserve">, ($70,000); </w:t>
      </w:r>
      <w:r>
        <w:rPr>
          <w:rFonts w:ascii="arial" w:eastAsia="arial" w:hAnsi="arial" w:cs="arial"/>
          <w:i/>
          <w:color w:val="000000"/>
          <w:sz w:val="20"/>
          <w:lang w:val="en-US" w:eastAsia="en-US" w:bidi="ar-SA"/>
        </w:rPr>
        <w:t>Kralik v. Mt. Seymour Resorts Ltd. et al</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2007 BCSC 258</w:t>
        </w:r>
      </w:hyperlink>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2008 BCCA 97</w:t>
        </w:r>
      </w:hyperlink>
      <w:r>
        <w:rPr>
          <w:rFonts w:ascii="arial" w:eastAsia="arial" w:hAnsi="arial" w:cs="arial"/>
          <w:color w:val="000000"/>
          <w:sz w:val="20"/>
          <w:lang w:val="en-US" w:eastAsia="en-US" w:bidi="ar-SA"/>
        </w:rPr>
        <w:t xml:space="preserve">, ($75,000); </w:t>
      </w:r>
      <w:r>
        <w:rPr>
          <w:rFonts w:ascii="arial" w:eastAsia="arial" w:hAnsi="arial" w:cs="arial"/>
          <w:i/>
          <w:color w:val="000000"/>
          <w:sz w:val="20"/>
          <w:lang w:val="en-US" w:eastAsia="en-US" w:bidi="ar-SA"/>
        </w:rPr>
        <w:t>Kolberg v. Gileff</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2007 BCSC 1662</w:t>
        </w:r>
      </w:hyperlink>
      <w:r>
        <w:rPr>
          <w:rFonts w:ascii="arial" w:eastAsia="arial" w:hAnsi="arial" w:cs="arial"/>
          <w:color w:val="000000"/>
          <w:sz w:val="20"/>
          <w:lang w:val="en-US" w:eastAsia="en-US" w:bidi="ar-SA"/>
        </w:rPr>
        <w:t xml:space="preserve">, ($75,000); and </w:t>
      </w:r>
      <w:r>
        <w:rPr>
          <w:rFonts w:ascii="arial" w:eastAsia="arial" w:hAnsi="arial" w:cs="arial"/>
          <w:i/>
          <w:color w:val="000000"/>
          <w:sz w:val="20"/>
          <w:lang w:val="en-US" w:eastAsia="en-US" w:bidi="ar-SA"/>
        </w:rPr>
        <w:t>Burtwell v. McCaffrey</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2013 BCSC 886</w:t>
        </w:r>
      </w:hyperlink>
      <w:r>
        <w:rPr>
          <w:rFonts w:ascii="arial" w:eastAsia="arial" w:hAnsi="arial" w:cs="arial"/>
          <w:color w:val="000000"/>
          <w:sz w:val="20"/>
          <w:lang w:val="en-US" w:eastAsia="en-US" w:bidi="ar-SA"/>
        </w:rPr>
        <w:t>,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Other cases are of some, but limited, assistance in determining an award for non-pecuniary damages. Each person who endures a debilitating injury is unique and the nature of the injuries suffered by plaintiffs and their life circumstances will rarely be identical.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 must observe at the outset that I consider the decisions in </w:t>
      </w:r>
      <w:r>
        <w:rPr>
          <w:rFonts w:ascii="arial" w:eastAsia="arial" w:hAnsi="arial" w:cs="arial"/>
          <w:i/>
          <w:color w:val="000000"/>
          <w:sz w:val="20"/>
          <w:lang w:val="en-US" w:eastAsia="en-US" w:bidi="ar-SA"/>
        </w:rPr>
        <w:t>Battrum</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relied upon by the defendants, to be outside of the range of appropriate and adequate compensation for the totality and severity of the injuries suffered by Mrs. Tchir and the lasting and ongoing effect of them on her past and future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cases cited by both counsel which I do find useful in this case establish to my satisfaction that for a serious shoulder injury requiring surgery of the type endured by Mrs. Tchir with only limited success and a resulting permanent disability together with long lasting pre-trial chronic pain and a very guarded prognosis for any improvement, a non-pecuniary award in the broad range of from $70,000 to $120,000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After considering these authorities in the context of the totality of the evidence in this case, I would have considered an award of $85,000 for Mrs. Tchir's non-pecuniary losses for her shoulder injuries and all other injuries other than her knee injuries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deciding upon that appropriate award of $85,000 for Mrs. Tchir's injuries other than her knee injuries I have considered her age at the time of the collision as requiring downward adjustment from the awards in </w:t>
      </w:r>
      <w:r>
        <w:rPr>
          <w:rFonts w:ascii="arial" w:eastAsia="arial" w:hAnsi="arial" w:cs="arial"/>
          <w:i/>
          <w:color w:val="000000"/>
          <w:sz w:val="20"/>
          <w:lang w:val="en-US" w:eastAsia="en-US" w:bidi="ar-SA"/>
        </w:rPr>
        <w:t>Hanson</w:t>
      </w:r>
      <w:r>
        <w:rPr>
          <w:rFonts w:ascii="arial" w:eastAsia="arial" w:hAnsi="arial" w:cs="arial"/>
          <w:color w:val="000000"/>
          <w:sz w:val="20"/>
          <w:lang w:val="en-US" w:eastAsia="en-US" w:bidi="ar-SA"/>
        </w:rPr>
        <w:t xml:space="preserve"> ($100,000 at age 43) and </w:t>
      </w:r>
      <w:r>
        <w:rPr>
          <w:rFonts w:ascii="arial" w:eastAsia="arial" w:hAnsi="arial" w:cs="arial"/>
          <w:i/>
          <w:color w:val="000000"/>
          <w:sz w:val="20"/>
          <w:lang w:val="en-US" w:eastAsia="en-US" w:bidi="ar-SA"/>
        </w:rPr>
        <w:t>Latuszek</w:t>
      </w:r>
      <w:r>
        <w:rPr>
          <w:rFonts w:ascii="arial" w:eastAsia="arial" w:hAnsi="arial" w:cs="arial"/>
          <w:color w:val="000000"/>
          <w:sz w:val="20"/>
          <w:lang w:val="en-US" w:eastAsia="en-US" w:bidi="ar-SA"/>
        </w:rPr>
        <w:t xml:space="preserve"> ($120,000 at age 46) referred to by counsel for Mrs. Tchir.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am also, however, satisfied that damages for the totality of Mrs. Tchir's injuries must be adjusted upwards to account for the added impact of the injury to her right knee upon her past and future pain and suffering, as well as the chronic pain she has suffered and the effect of medications upon her overall still diminished physical and psychological functional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That upward adjustment must, however, also be considered in light of Dr. Zarkadas' opinion that Mrs. Tchir's fall on the bus likely accelerated the deterioration of existing knee arthritis and that the development of the knee contracture and that the fall could easily have "worsened" or propagated the meniscal tears he observed at the time of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Dr. Zarkadas' opinion makes it necessary to apply the principles enunciated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32, in which Major J. (for the Court )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 In the cases referred to above, the intervening event was unrelated to the tort and therefore affected the plaintiff's "original position". The net loss was therefore not as great as it might have otherwise seemed, so damages were reduced to reflect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likely acceleration of Mrs. Tchir's existing arthritis to the development of the difficulties that eventually required surgery and caused additional pain and suffering and that has continued to contribute to her post fall condition also requires consideration of the so called "crumbling skull" rule addressed by Major J.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in which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 xml:space="preserve">Graham v. Rourke, </w:t>
      </w:r>
      <w:hyperlink r:id="rId300" w:history="1">
        <w:r>
          <w:rPr>
            <w:rFonts w:ascii="arial" w:eastAsia="arial" w:hAnsi="arial" w:cs="arial"/>
            <w:i/>
            <w:color w:val="0077CC"/>
            <w:sz w:val="20"/>
            <w:u w:val="single"/>
            <w:shd w:val="clear" w:color="auto" w:fill="FFFFFF"/>
            <w:lang w:val="en-US" w:eastAsia="en-US" w:bidi="ar-SA"/>
          </w:rPr>
          <w:t>[1990] O.J. No. 2314</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Malecv. J. C. Hutton Proprietary Ltd., 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Mrs. Tchir's case the evidence establishes that although there was a chance that Mrs. Tchir would have eventually suffered the injuries to her right knee that manifested in the aftermath of her fall, it also establishes to my satisfaction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exacerbated the weakened condition of her knee and, as Dr. Zarkadas said, accelerated the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Accordingly, I find while her "original position" of a knee susceptible to eventual deterioration must be considered in assessing damages, it is not a factor which in totality should amount to a large reduction of an otherwise appropriate award for all of her pain and suffering caused or materially contributed to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all of the circumstances I have assessed the injuries to Mrs. Tchir's right knee and their impact upon her overall condition as requiring compensation by an award of $35,000 in addition to that required to compensate her for her other injuries, including most significantly her right shoulder injuries. I have then reduced that "independent" award for pain and suffering related to her right knee injury by $10,000 to account for her "original position" in relation to her knee to her now "injured"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While I recognize that it is unusual to assess different aspects of a plaintiff's injuries in determining an appropriate award for non-pecuniary loss I have done so in this case to address the issues raised by the defendants about a pre-existing condition concerning a discrete injury and its impact upon causation issues as previously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total, after considering her overall "injured" position as compared to her "original" position, I am satisfied that an award of $110,000 will appropriately compensate Mrs. Tchir for all of her non-pecuniary losses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reaching that conclusion, I have not increased the award because different injuries were involved in determining quantum. The award is intended to compensate Mrs. Tchir for the impact of the totality of her injuries upon her loss of enjoyment of life for which the defendants are liable.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Mrs. Tchir advances a claim of $88,499 net of income tax for her past loss of income to the date of trial. That claim includes a claim for loss of income (from August 17, 2013, to the date of trial on March 7, 2014), a period which is beyond a generally accepted retirement age of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Her claim also includes a claim for reduced rent while Mrs. Tchir was on medical leave from January 2011 to March 31, 2011, due to issues concerning tax treatment of a taxable benefit to Mr. Tchir greater than that to which he may have been entitled when Mrs. Tchir was not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part, Mrs. Tchir's claim for past income loss also concerns that period of time prior to the cessation of both her employment and that of her husband at The Grande in May of 2012. That claim is based on the principle, enunciated in </w:t>
      </w:r>
      <w:r>
        <w:rPr>
          <w:rFonts w:ascii="arial" w:eastAsia="arial" w:hAnsi="arial" w:cs="arial"/>
          <w:i/>
          <w:color w:val="000000"/>
          <w:sz w:val="20"/>
          <w:lang w:val="en-US" w:eastAsia="en-US" w:bidi="ar-SA"/>
        </w:rPr>
        <w:t>Hall v. Miller</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(1989), 41 B.C.L.R. (2d) 46</w:t>
        </w:r>
      </w:hyperlink>
      <w:r>
        <w:rPr>
          <w:rFonts w:ascii="arial" w:eastAsia="arial" w:hAnsi="arial" w:cs="arial"/>
          <w:color w:val="000000"/>
          <w:sz w:val="20"/>
          <w:lang w:val="en-US" w:eastAsia="en-US" w:bidi="ar-SA"/>
        </w:rPr>
        <w:t xml:space="preserve"> (C.A.), that notwithstanding her husband did work that she was otherwise employed to do, she is still entitled to damages for her inability to work. The defendants do not dispute the applicability of that principle to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defendants acknowledge that Mrs. Tchir is entitled to damages for her past loss of income in the amount of $32,700 net of taxes for the period from February 16, 2010 until April 1, 2011, when she returned to work after shoulder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defendants also, however, assert that Mrs. Tchir is not entitled to any past loss of income after April 1, 2011, when she returned to work after recuperating from her shoulder surgery. That submission is based upon the proposition that the loss of her employment from and after May 8, 2012, when she again ceased working after having worked since April 11, 2011, arose as a consequence of her problems with her right knee that the defendants submitted were not caused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 cannot accept that submission because as I have previously found that the knee injuries suffered by Mrs. Tchir that required Mrs. Tchir to stop working at The Grande on May of 2012 after diagnoses by Dr. Zarkadas and Dr. Atkinson and required surgery in August of 2012 and from which she will likely never fully recover (and which also added to her incapacity to work because of unresolved shoulder injuries), were caused or materially contributed to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have thus concluded that while some reduction of Mrs. Tchir's past wage losses is necessary to account for the pre-existing weakness in her right knee identified by Dr. Zarkadas, the extent of the required reduction is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reach that conclusion because of Dr. Zarkadas' opinion that the acceleration of the onset of Mrs. Tchir's asymptomatic arthritis caused by the fall likely contributed to its manifestation five to 10 years earlier than might otherwise have been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Since the period of past wage loss claimed by Mrs. Tchir occurred within five years of her fall on the bus, I will only reduce her claim by $5,000 for the negative contingency of an earlier onset of arthritic degeneration that might have impacted her ability to work earlier than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also note that the fact that even if an earlier onset of the debilitating effect of the arthritis might have occurred, Mrs. Tchir was still substantially disabled from employment by her right shoulder injury from which she never fully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must also advert to the proposition advanced by the defendants in disputing Mrs. Tchir's claim for compensation for past income loss after May 8, 2012, that the termination of Mrs. Tchir's employment at The Grande resulted from work performance causes unrelated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find no support for those allegations because:</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totality of evidence establishes that any performance problems that might have been attributed to either Mr. or Mrs. Tchir by the chair of The Grande's strata council did not cause the termination of the employment of both as the managers of The Grande.</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offer of continued employment to Mr. Tchir after May 8, 2012, at a reduced rate because of Mrs. Tchir's medical incapacity to fulfil one-half of the expected functions of a management couple is, in my view, conclusive evidence that the loss of Mrs. Tchir's employment (and the consequential loss of the value of the apartment in which she and Mr. Tchir resided while employed at The Grande) was caused solely by Mrs. Tchir's injury related inability to perform her share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As I will also later discuss when considering Mrs. Tchir's claim for future loss of earning capacity, I am not persuaded by the totality of the evidence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Mrs. Tchir would have stopped working at The Grande on August 17, 2013, when she reached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accordingly do not reduce her past income loss award because of that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am, however, not satisfied that Mrs. Tchir is entitled to damages in the amount of $600 related to the claim for reduced rent while on medical leave. There was a paucity of both evidence and analysis concerning why some diminution of a taxable benefit arising from Mr. and Mrs. Tchir's reduced apartment rent available to them because of their employment should result in an award of damages. I find that Mrs. Tchir has not proven her claim for that alleged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result, based on the evidence of past income adduced by Mrs. Tchir, the documentary proof of the remuneration and benefits available to Mr. and Mrs. Tchir under their employment contract with The Grande and the expert reports of Mr. Gerry Taunton filed by Mrs. Tchir (and updated to the date of trial), I find that Mrs. Tchir is entitled to an award for past income loss of $83,499.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As noted, that award is as calculated by Mr. Taunton, net of income tax as required by </w:t>
      </w:r>
      <w:r>
        <w:rPr>
          <w:rFonts w:ascii="arial" w:eastAsia="arial" w:hAnsi="arial" w:cs="arial"/>
          <w:i/>
          <w:color w:val="000000"/>
          <w:sz w:val="20"/>
          <w:lang w:val="en-US" w:eastAsia="en-US" w:bidi="ar-SA"/>
        </w:rPr>
        <w:t>Laxdal v. Robbins</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2009 BCSC 1074</w:t>
        </w:r>
      </w:hyperlink>
      <w:r>
        <w:rPr>
          <w:rFonts w:ascii="arial" w:eastAsia="arial" w:hAnsi="arial" w:cs="arial"/>
          <w:color w:val="000000"/>
          <w:sz w:val="20"/>
          <w:lang w:val="en-US" w:eastAsia="en-US" w:bidi="ar-SA"/>
        </w:rPr>
        <w:t>, and does not include any interest. It also reflects the $5,000 reduction I have considered necessary to account for negative contingencies arising from pre-existing conditions related to Mrs. Tchir's right knee.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our Court of Appeal settled the question of how claims for impaired earning capacity can be addressed. After a long discussion and review of different approaches that had been applied in past cases, Garson J.A. stated for the court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Counsel for Mrs. Tchir submits that an award of from $156,000 to $295,000 is necessary to compensate Mrs. Tchir for her impaired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His submission is primarily based upon an earnings approach based on loss of income for future employment at The Grande at the low end until at least age 70 or at the high end to age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Counsel for the defendants submits that Mrs. Tchir has not proven that she is entitled to any damages for her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the alternative, the defendants submit that if any future loss of earning capacity award is to be made, it should be reduced by 50% to 70% because of the existence of Mrs. Tchir's pre-existing knee conditions which they submit is the primary cause of any loss of future income Mrs. Tchir might suffer.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defendants further submit that Mrs. Tchir is not totally disabled from work and any award for impaired earning capacity should be reduced to account for her residual capacity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do not accept that there is an evidentiary basis for a reduction of an otherwise appropriate award for loss of earning capacity because Mrs. Tchir may not be totally disabled from doing any kind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lasting debilitation caused to her physical well-being caused by her injuries, the chronic pain and related emotional difficulties from which she still suffers, exacerbated by the side effects of her ongoing difficulties with pain medicine and her present age preclude any reduction for residual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 have also previously rejected the defendants' submission that the right knee injury was not caused or materially contributed to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thus find that the substantial deduction of 50% to 70% sought by the defendants relating to an otherwise appropriate award for future loss of income earning capacity is not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medical evidence that I have discussed in some detail in considering Mrs. Tchir's claims for non-pecuniary loss and past loss of income also convinces me that the right shoulder injuries suffered by her in her fall were the primary cause of her loss of income earning capacity and that her right knee injury only exacerbated or added to a much diminished work capacity caused by her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do not, however, agree that the totality of the evidence supports an award in the range advanced by counsel for Mrs. Tchir.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While I am satisfied that the loss of earnings approach outlined in Mr. Taunton's report is appropriate in this case to the extent that it is based on past earnings and reasonable projections, I am also satisfied that the straight line projection used by him and urged upon me by counsel for Mrs. Tchir does not adequately reflect negative contingencies that must be accounted for in assessing Mrs. Tchir's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Her counsel's submissions on the appropriate quantum of loss also do not address any impact Mrs. Tchir's pre-existing right knee condition may have had on the loss of her future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As a starting point in the analysis of the appropriate award for loss of future income earning capacity, I find that the evidence establishes that it is more than likely that Mrs. Tchir and Mr. Tchir would have continued to work at The Grande as its managers past the age of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economic reality of their life situation prior to Mrs. Tchir suffering her injuries and their enjoyment of their work together with the benefits it gave them all subjectively and objectively establish to my satisfaction that their employment would likely have continued to age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do, however, also consider it unlikely that she would have worked at The Grande to age 75, given the physical demands of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evidence of Mr. Chris McInnes, the Professional Manager of The Grande on behalf of its strata council, establishes that there is no mandatory retirement age for managers employed in situations like those in which Mr. and Mrs. Tchir were employed at The Grande. He testified that he had seen managers like Mrs. Tchir work "into their 70s," but did not suggest how long into their 70s that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have concluded that a finding of likely retirement at age 70 will adequately address both negative and positive contingencies unrelated to Mrs. Tchir's injuries concerning employment past that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Based solely upon that analysis, arithmetic calculation of a future income stream discounted for the present value of money would result in a loss of future income award of $156,000.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 am, however, also satisfied that an otherwise supportable award of $156,000 must be reduced because of Mrs. Tchir's pre-existing right knee condition and evidence that the difficulties she faced with it at an earlier date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likely have manifested within five to 10 years of her fall on the bus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While her knee injury exacerbated the impact of her right shoulder injury on her ability to do her work when it did, I am also satisfied that even if the shoulder injury had not occurred her pre-existing knee condition could have had a substantial impact upon her ability to work well after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In all of the circumstances, in considering negative contingencies and her pre-existing susceptibility to arthritis in her knee, I am satisfied that an award of $120,000 will fairly compensate Mrs. Tchir for her loss of future earning capacity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Recently, in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our Court of Appeal reviewed principles that govern the assessment of cost of future care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paras. 28-30, Bennett J.A.,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(1978), 83 D.L.R. (3d) 452</w:t>
        </w:r>
      </w:hyperlink>
      <w:r>
        <w:rPr>
          <w:rFonts w:ascii="arial" w:eastAsia="arial" w:hAnsi="arial" w:cs="arial"/>
          <w:color w:val="000000"/>
          <w:sz w:val="20"/>
          <w:lang w:val="en-US" w:eastAsia="en-US" w:bidi="ar-SA"/>
        </w:rPr>
        <w:t xml:space="preserve"> at 462, Dickson C.J.C.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theory a claim for the cost of future care is a pecuniary claim for the amount which may reasonably be expected to be expended in putting the injured party in the position he would have been in if he had not sustained the injury. Obviously, a plaintiff who has been gravely and permanently impaired can never be put in the position he would have been in if the tort had not been committed. To this extent,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is not possible. Money is a barren substitute for health and personal happiness, but to the extent, within reason, that money can be used to sustain or improve the mental or physical health of the injured person it may properly form part of a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purpose of the award for costs of future care is to restore, as best as possible with a monetary award, the injured person to the position he would have been in had the accident not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award is "based on what is reasonably necessary on the medical evidence to promote the mental and physical health of the plaintiff: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and adopted in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Bennett J.A. also went on to state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failure of the trial judge to perform an analysis of each item sought by the plaintiff with respect to whether there was "some evidentiary link between the physician's assessment of pain, disability and recommended treatment and the care recommended by a qualified health professional" was a legal error.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this case, Mrs. Tchir seeks the following amounts for the costs of her future care which she says arise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Kinesiology treatments based upon 42 sessions over one year, totalling $3,240;</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treatments over the next 10 years based upon 12 sessions per year at $143 per session, totalling $17,160;</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 based upon 20 one-hour treatments, totalling $2,100;</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Household cleaning services for 10 years based upon one hour per week at $25 per hour, totalling $13,000;</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medication based upon $50 per month for health store expenditures and an additional $14 per month for prescribed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evidence of Dr. Atkinson establishes the necessary link between her assessment of Mrs. Tchir's future needs related to her ongoing physical disabilities, chronic pain and emotional suffering arising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require compensation for Mrs. Tchir's necessary future care costs related to all of the interventions she has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defendants acknowledge that some of the future care costs sought by Mrs. Tchir should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More specifically, the defendants submit that: the cost of kinesiology treatment in the total amount of $3,240; one half of the costs of the physiotherapy treatment sought ($9,880); and, one half of the massage treatment sought ($1,050) should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defendants do not, however, accept that the totality of the physiotherapy and massage therapy treatments sought should be awarded because of their reliance on the submission that Mrs. Tchir's knee injury was not caused by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defendants also submit that the claim for housecleaning service should be denied because notwithstanding Dr. Atkinson's recommendation that it would be of assistance in assisting Mrs. Tchir with her ongoing pain and suffering, there is no evidence that she is in real need of the assistance suggested both because she has not resorted to such assistance in the past and because her husband has done that work which she has not been able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They also say that if any award for housecleaning assistance is to be made it should be reduced by 50% due to the fact that any need is attributable to her right knee injury for which the defendants disclaim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defendants further submit that while some award for ongoing medication may be warranted, the amount sought is not reasonable and should be discounted because of the right knee injury for which they say they are not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After considering the submissions of both counsel in light of the totality of the evidence I have concluded that the following awards for the costs of Mrs. Tchir's required future care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reasonably necessary to promote her physical and mental health:</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Kinesiology treatments based upon 42 sessions over one year, totalling $3,240 as claimed and as acknowledged by the defendants.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Physiotherapy treatments over the next 10 years based upon 12 sessions per year at $143 per session, totalling $17,160 but reduced to $14,000 to account for Mrs. Tchir's pre-existing right knee weakness which according to Dr. Zarkadas was likely to manifest in some right knee related disability within five to 10 years of her fall on the bus and to account also for the incurring of costs over time. I do not accept the 50% reduction asserted by the defendants both because I have found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early onset of her present right knee injuries requiring surgery and because of the effects of her still ongoing shoulder injury and the very guarded prognosis for full recovery from it.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 based upon 20 one-hour treatments, totalling $2,100 but reduced to $1,700 to account for Mrs. Tchir's pre-existing right knee weakness to the same extent and for the same reasons I reduced the award for physiotherapy and to account also for the fact that the costs will be incurred over time.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Household cleaning services upon one hour per week at $25 per hour will be allowed at $5,000 (for five years) rather than $13,000 (for 10 years) as claimed. I reach that conclusion because:</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Tchir has not previously employed any cleaning service although I also recognize that, at least in part, that failure to do so was contributed to by the financial difficulty in which she was placed because of her loss of employment in 2012 when housekeeping assistance was first recommended;</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Tchir's husband has provided unpaid assistance in the doing of heavier household tasks that she could not do because of her injuries and I am satisfied that he will do so in future;</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satisfied also that the assistance given by Mr. Tchir to Mrs. Tchir is within the bounds of what is to be expected of family members such that the evidence would not support an "in-trust" award for the unpaid provision of such services;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Tchir testified that she is now beginning to do more of the household tasks than she was previously able to do which in my view, especially in light of her now somewhat improving post surgery knee condition, makes a five year period of assistance reasonable and necessary in the circumstances rather than the 10 year period of compensation sought;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Compensation for a five year period would result in an award of $6,500;</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 have previously found, with respect to her claims for massage and physiotherapy, some reduction must be made for her pre-existing right knee injuries; and</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$5,000 award also accounts for the fact that the costs will be incurred over a five year period.</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allow ongoing medication costs based upon an expenditure of $28 per month ($300 per year) for a further 15 years, for a total of $5,000. In reaching that conclusion I have not allowed Mrs. Tchir's claim for health store expenditures in the amount of $50 per month as it lacks sufficient medical support. I have increased the amount claimed for prescribed medication from $14 per month to $28 per month because of the ongoing adjustment of her medication and her intolerance to many medications as well as the need for ongoing over the counter (Advil) medication to control her pain and suffering as has been necessary in the past. An award of $5,000 for ongoing medication is roughly three times the amount spent by Mrs. Tchir for medications in the almost five years between the time of her fall on the bus and the date of trial so that it reflects the likely costs to be incurred in future over a 15 year period. I make no deduction for the fact that the costs will be incurred over time or because of her pre-existing condition because of my uncertainty as to the adequacy of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total award for Mrs. Tchir's costs of future care will accordingly be $28,940, comprised of awards for:</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Kinesiology: $3,240;</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$14,000;</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 $1,700;</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Housecleaning assistance: $5,000; and</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medication: $5,000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xml:space="preserve"> at para. 55, Saunders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Generally speaking, claims for special damages are subject only to the standard of reasonableness. However, as with claims for the cost of future care (see </w:t>
      </w:r>
      <w:r>
        <w:rPr>
          <w:rFonts w:ascii="arial" w:eastAsia="arial" w:hAnsi="arial" w:cs="arial"/>
          <w:i/>
          <w:color w:val="000000"/>
          <w:sz w:val="20"/>
          <w:lang w:val="en-US" w:eastAsia="en-US" w:bidi="ar-SA"/>
        </w:rPr>
        <w:t>Juraski v. Beek</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2011 BCSC 982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when a claimed expense has been incurred in relation to treatment aimed at promotion of a plaintiff's physical or mental well-being, evidence of the medical justification for the expense is a factor in determining reasonableness. I accept the argument expressed through Dr. Frobb, that a patient may be in the best position to assess her or his subjective need for palliative therapy. I also accept the plaintiff's counsel's argument that in the circumstances of any particular case, it may be possible for a plaintiff to establish that reasonable care equates with a very high standard of care. In the words of Prof. K. Cooper-Stephenson in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(2d ed., 1996) at p. 166: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prior to the Supreme Court's endorsement of the restitution principle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Arnold v. Teno</w:t>
      </w:r>
      <w:r>
        <w:rPr>
          <w:rFonts w:ascii="arial" w:eastAsia="arial" w:hAnsi="arial" w:cs="arial"/>
          <w:color w:val="000000"/>
          <w:sz w:val="20"/>
          <w:lang w:val="en-US" w:eastAsia="en-US" w:bidi="ar-SA"/>
        </w:rPr>
        <w:t>], in the area of special damages the courts had been prepared to allow optimum care, and damages were awarded for expenses of a character that stretched far beyond the resources of even an affluent Canadian.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being said, and while Dr. Frobb's paradigm of the patient becoming their own physician may have at least a superficial appeal, plaintiffs are not given </w:t>
      </w:r>
      <w:r>
        <w:rPr>
          <w:rFonts w:ascii="arial" w:eastAsia="arial" w:hAnsi="arial" w:cs="arial"/>
          <w:i/>
          <w:color w:val="000000"/>
          <w:sz w:val="20"/>
          <w:lang w:val="en-US" w:eastAsia="en-US" w:bidi="ar-SA"/>
        </w:rPr>
        <w:t>carte blanche</w:t>
      </w:r>
      <w:r>
        <w:rPr>
          <w:rFonts w:ascii="arial" w:eastAsia="arial" w:hAnsi="arial" w:cs="arial"/>
          <w:color w:val="000000"/>
          <w:sz w:val="20"/>
          <w:lang w:val="en-US" w:eastAsia="en-US" w:bidi="ar-SA"/>
        </w:rPr>
        <w:t xml:space="preserve"> to undertake any and all therapies which they believe will make them feel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Mrs. Tchir seeks reimbursement of out-of-pocket expenses she says were incurred by her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750"/>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Expense</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Amount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Medications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$1,699.10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Acupuncture</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498.75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MRI examination</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1,049.00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2,315.00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Transportation to/from appointments: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1,029.00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$513.50 bus; $20.50 parking; $495 mileage</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Gym Membership</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162.75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Misc. Expenses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111.31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Moving Expenses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3,653.00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$10,517.91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These amounts were modified in final argument from previous amounts claimed to reflect Mrs. Tchir's counsel's acknowledgment of claims which were not supported by the evidence or were otherwise not properly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defendants do not dispute Mrs. Tchir's claims for: medication; acupuncture; MRI examination; transportation relating to bus costs and parking and gym memberships, totalling $3,943.60.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They also acknowledge responsibility for $3,374.79 of the $3,484 claim for moving expenses, arising from the need for Mr. and Mrs. Tchir to relocate after the loss of their apartment at The Grande arising from Mrs. Tchir's inability to do the work required of her because of her injuries. They dispute the balance of that claim as well as the claim for $495 for mileage claimed as part of the transportation claim as not being their responsibility because some of the mileage had to do with trips to visit lawyers and for visits to family members before the move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defendants also assert that they should be required to compensate Mrs. Tchir for only $1,425 of the physiotherapy costs she incurred because $890 of the amounts paid were for right knee related physiotherapy. They make the same submission for a $40 expense for supplies related to her knee surgery that formed part of the $111.31 miscellaneous expense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 do not accept that any deduction should be made from the physiotherapy and knee surgery supplies claims advanced by Mrs. Tchir. I have previously found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her knee injuries and I am not satisfied that the evidence establishes that any deduction should be made for the exacerbation of any pre-existing knee weakness when the costs incurred to attempt to overcome the effects of that exacerbation occurred within a period when onset of a knee injury was not likely to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also do not accept that the amounts for mileage contested by the defendants should be removed from the award for special damages in this case. During argument counsel removed many of the claims made by Mrs. Tchir related to the move as well as mileage costs related to attendances upon lawyers. I find that the revised amounts sought by her for moving expenses and for transportation for medically related matters were all reasonably and appropriately incurred and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accordingly allow Mrs. Tchir's claims for special damages as claimed in final argument in the amount of $10,348.91.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 find that the defendants are jointly and severally liable to Mrs. Tchir for the following damages caused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$110,000</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past loss of income: $83,499</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future loss of income earning capacity: $120,000</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$28,940</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$10,348.91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 award: $352,787.91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Unless there are matters of which I am unaware, Mrs. Tchir shall have her costs against the defendants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11,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Davies dated June 19, 2014 have been corrected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paragraph 119, the citation to Miller v. Fraumeni was corrected from "2005 BCSC 1232" to "2005 BCSC 1231".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8" style="position:absolute;z-index:251773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577519 B.C. Ltd. v. Weyerhaeuser, [2004] B.C.J. No. 1011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Donaldson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C995379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1011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670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132 A.C.W.S. (3d) 880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577519 B.C. Ltd. and 570708 B.C. Ltd., plaintiffs, and Weyerhaeuser Company Limited formerly known as MacMillan Bloedel Limited, Landquest Realty Corporation, Zane Bouvette and Douglas W. McCormick, defendants, and Lee Rushton, Mark Christmas, Westwood Fibre Ltd., S.A. Mowat Limited and Kenneth Raymond Johnson,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9"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3" w:name="Keywords_6"/>
      <w:bookmarkEnd w:id="63"/>
      <w:r>
        <w:rPr>
          <w:rFonts w:ascii="arial" w:eastAsia="arial" w:hAnsi="arial" w:cs="arial"/>
          <w:b/>
          <w:color w:val="000000"/>
          <w:sz w:val="20"/>
          <w:lang w:val="en-US" w:eastAsia="en-US" w:bidi="ar-SA"/>
        </w:rPr>
        <w:t>Civil procedure — Parties — Third party procedure.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4" w:name="Case Summary_5"/>
            <w:bookmarkEnd w:id="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various third parties seeking to have two trials heard at the same time. The third parties had provided timber volume estimates to the plaintiff numbered company with respect to an island the plaintiffs purchased from the defendant Weyerhauser. In 1999, the plaintiffs commenced an action against Weyerhauser alleging that it misrepresented the amount of timber on the island. One year later, the plaintiffs commenced an action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third parties. The action against Weyerhauser was scheduled for trial one month from the date of the hearing. The third parties, who were not sufficiently prepared to be able to participate at that time, requested that that matter be adjourned, and the two actions tried simultaneously. This, however, would require a three-week trial, and would delay the proceedings by at least 18 months.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5" w:name="Holdings of Court_2"/>
            <w:bookmarkEnd w:id="65"/>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third party claim was ordered severed from the trial between the numbered company plaintiff and the defendant Weyerhauser. The third party notice was filed very late. The plaintiffs would incur significant costs and Weyerhauser would suffer significant prejudice if the matter was adjourned to permit the joining of the actions. The potential for inconsistent findings in the two matters was fairly limited, and did not warrant the delay.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6" w:name="Legislation Cited_4"/>
      <w:bookmarkEnd w:id="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0"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323"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 4, 5(6), 5(7), 22(17), 22(18), 22(10).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7" w:name="Counsel_13"/>
      <w:bookmarkEnd w:id="6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W. Mussio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Weyerhaeuser Company Limited, formerly known as MacMillan Bloedel Limited, D.R. Bennett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Landquest Realty Corporation, Zane Bouvette and Douglas W. McCormick, A.A. Rhodes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S.A. Mowat Limited and Kenneth Raymond Johnson, G.R.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Westwood Fibre Ltd. et al, F.R. Scordo (by telephone)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8" w:name="Judgment_13"/>
      <w:bookmarkEnd w:id="68"/>
      <w:r>
        <w:pict>
          <v:line id="_x0000_s1082" style="position:absolute;z-index:2518179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9" w:name="MASTER DONALDSON"/>
            <w:bookmarkEnd w:id="69"/>
            <w:r>
              <w:rPr>
                <w:rFonts w:ascii="arial" w:eastAsia="arial" w:hAnsi="arial" w:cs="arial"/>
                <w:b/>
                <w:color w:val="000000"/>
                <w:sz w:val="30"/>
                <w:lang w:val="en-US" w:eastAsia="en-US" w:bidi="ar-SA"/>
              </w:rPr>
              <w:t>MASTER DONALDSON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their motion the third parties seek that the trial of this action be heard at the same time as the trial of Action No. S005318 and that it be adjourned from the present trial date of the 5th of July 2004 so that it can be set for a three week trial, or in the alternative that the third party proceedings be disposed of by a separate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from the purchase of a property known as Nelson Island in 1998. The purchase price was approximately $1.5 million, the vendors being the defendant Weyerhaeuser Company Limited. It is contended by the plaintiffs that the representations made by Weyerhaeuser and the realtor defendants as to the amount of timber on the property as set out in what is referred to as Logging Chance Analysis was inaccurate and that as a result of these misreprentations they were improperly induced to purchase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Subsequent to the purchase the property was logged and it is contended by the plaintiffs that significantly less timber was harvested by that as represented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third parties contracted with the plaintiffs to establish to the satisfaction of the plaintiffs the volume of timber available on the property and in Action No. S005318 the plaintiffs'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(third parties in this action) in their estimate of the volume of timber on the property and for negligent logging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Weyerhaeuser relies on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to claim damages from the third parties if the plaintiff suffered damages as a result of relying upon the estimates provided by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action was commenced on the 18th of October 1999 and a further amended statement of claim was filed the 11th of April 2002. The trial was set for December 2002 however, the parties in this action opted to apply pursuant to Rule 18A for judgment. That was done and the December 2002 trial date was adjourned. No third party issue had apparently arisen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Subsequent to a change of counsel for Weyerhaeuser in the early spring 2004 the third party notice was filed the 4th of March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Action No. S005318 (hereinafter referred to as Action No. 2). Action No. 2 was filed in late 2000 and the defence was filed in early 2001. This claim has not proceeded at the same pace as has Action No.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defendants in Action No. 1 say that the issues as between the plaintiff and the defendant in Action No. 1 and the plaintiffs and the defendants in Action No. 2 are inextricably linked and that if they (Weyerhaeuser and Landquest) are found to have misrepresented the quantity of timber, they are entitled to contribution from the third parties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parties in estimating the amount of timber for the plaintiffs. They also raise issues of logging practices and costs of the logging practices as carried out by some of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contends that the issues with relation to the defendants relate to negligent or fraudulent misrepresentation in inducing the plaintiff to enter into the contract to purchase the property. The plaintiff contends that at issue is the contract of purchase and sale and the additional issue of whether or not the application of release or waiver in relation to the contract will be a factor. The plaintiff contends that logging practices is a non issue as that arrangements made with those of the third parties who were involved in logging was done on a basis of a per cubic meter basis. It questions if logging practices are in issue why is it that the defendants have only claimed against some of those who were logging contractors in relation to logging which was carried out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would appear that the claim against the third party defendants (the defendants in Action No. 2) is as agent of the plaintiff in failing to fulfill their duties to the plaintiff with the necessary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common ground that the third party defendants are not ready or able to proceed on the 5th of July. Counsel for some of the third party defendants has a previously scheduled trial which would result in him not being available the week commencing the 5th of July. Counsel for the other third parties state that there simply is not sufficient time to be properly prepared for its defence to the third party claim and both counsel for the third parties contend that an additional week will be required for all issues to be heard at the same time. In checking with trial scheduling it is apparent that a third week is not available for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court in Module Resources Inc. v. Sookochoff, </w:t>
      </w:r>
      <w:hyperlink r:id="rId324" w:history="1">
        <w:r>
          <w:rPr>
            <w:rFonts w:ascii="arial" w:eastAsia="arial" w:hAnsi="arial" w:cs="arial"/>
            <w:i/>
            <w:color w:val="0077CC"/>
            <w:sz w:val="20"/>
            <w:u w:val="single"/>
            <w:shd w:val="clear" w:color="auto" w:fill="FFFFFF"/>
            <w:lang w:val="en-US" w:eastAsia="en-US" w:bidi="ar-SA"/>
          </w:rPr>
          <w:t>[1997] B.C.J. No. 1599</w:t>
        </w:r>
      </w:hyperlink>
      <w:r>
        <w:rPr>
          <w:rFonts w:ascii="arial" w:eastAsia="arial" w:hAnsi="arial" w:cs="arial"/>
          <w:color w:val="000000"/>
          <w:sz w:val="20"/>
          <w:lang w:val="en-US" w:eastAsia="en-US" w:bidi="ar-SA"/>
        </w:rPr>
        <w:t xml:space="preserve"> discusses various authorities relating to third party procedure and also makes reference to the then recent changes in Rule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At issue is if the relief claimed by the plaintiff in his action against the defendant is substantially the same as that in the issue as between the defendant and the third parties. As mentioned the plaintiff claims against the defendants for misreprentation and the defendant seeks contribution from the third parties for their breach of duty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Of further concern is the prejudice to the parties as a result of, here, the late filing of the third party notice. It will be necessary that the trial of the matter be delayed at least until late 2005 if not early 2006 so that a three week trial can be obtained. There will be significant costs to the plaintiff as a result of that delay not all of which can be compensable in prejudgment interest or the like. I am satisfied that there will be significant prejudice to the defendant resulting from the delay occasioned by the very late adding of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Of significant concern is the potential for inconsistent findings in relation to the claim and the claim in the third party proceeding. The only concern I have as to the possibility of inconsistent findings relates to the defence raised by the realtors as to the logging practices of some of the third parties. I am satisfied that that is not sufficient to order a delay in the hearing of the plaintiffs' claim as against the defendants for misrepresentation. The claim of the plaintiffs in Action No. 2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by the defendants in that action (third parties in Action No. 1) in their evaluation of the quantum of timber on the island. That issue is the focus for the hearing also of the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If Action No. 1 proceeds and the plaintiff is successful it may not be necessary for it to proceed with Action No. 2. It would nonetheless still be open to the defendant to proceed with their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Severance of a third party proceeding is governed by Rules 5(6), (7) and 22(17), (18) and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255"/>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Rule 5:</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Multiple Claims of Parties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Separation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Where a joinder of several claims or parties in a proceeding may unduly complicate or delay the trial or hearing of the proceeding or is otherwise inconvenient, the court may order separate trials or hearings or make any other order it thinks just.</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counterclaim or a third party proceeding ought to be disposed of by a separate proceeding, the court may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Rule 22:</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Third Party Procedure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22(17) A party affected by a third party procedure may apply to the court for directions.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impose terms on any third party procedure to limit or avoid any prejudice or unnecessary delay that might otherwise be suffered by the plaintiff as a result of that third party procedure.</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issue between the party filing the third party notice and the third party may be tried at the time the court may 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 of the applicable rules are discretionary.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is desirable to have all issues determined together if there are common questions of law or fact of sufficient importance. Buttar-Bains v. Canada (Attorney General) </w:t>
      </w:r>
      <w:hyperlink r:id="rId325" w:history="1">
        <w:r>
          <w:rPr>
            <w:rFonts w:ascii="arial" w:eastAsia="arial" w:hAnsi="arial" w:cs="arial"/>
            <w:i/>
            <w:color w:val="0077CC"/>
            <w:sz w:val="20"/>
            <w:u w:val="single"/>
            <w:shd w:val="clear" w:color="auto" w:fill="FFFFFF"/>
            <w:lang w:val="en-US" w:eastAsia="en-US" w:bidi="ar-SA"/>
          </w:rPr>
          <w:t>[2003] B.C.J. No. 2698</w:t>
        </w:r>
      </w:hyperlink>
      <w:r>
        <w:rPr>
          <w:rFonts w:ascii="arial" w:eastAsia="arial" w:hAnsi="arial" w:cs="arial"/>
          <w:color w:val="000000"/>
          <w:sz w:val="20"/>
          <w:lang w:val="en-US" w:eastAsia="en-US" w:bidi="ar-SA"/>
        </w:rPr>
        <w:t xml:space="preserve"> at paragraph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Court considered the exercise of it discretion to order third party proceedings pursuant to Rule 5 in Schaper v. Sears Canada Inc. (200), </w:t>
      </w:r>
      <w:hyperlink r:id="rId326" w:history="1">
        <w:r>
          <w:rPr>
            <w:rFonts w:ascii="arial" w:eastAsia="arial" w:hAnsi="arial" w:cs="arial"/>
            <w:i/>
            <w:color w:val="0077CC"/>
            <w:sz w:val="20"/>
            <w:u w:val="single"/>
            <w:shd w:val="clear" w:color="auto" w:fill="FFFFFF"/>
            <w:lang w:val="en-US" w:eastAsia="en-US" w:bidi="ar-SA"/>
          </w:rPr>
          <w:t>81 B.C.L.R. (3d) 342</w:t>
        </w:r>
      </w:hyperlink>
      <w:r>
        <w:rPr>
          <w:rFonts w:ascii="arial" w:eastAsia="arial" w:hAnsi="arial" w:cs="arial"/>
          <w:color w:val="000000"/>
          <w:sz w:val="20"/>
          <w:lang w:val="en-US" w:eastAsia="en-US" w:bidi="ar-SA"/>
        </w:rPr>
        <w:t xml:space="preserve"> at 344.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Rule 5(6) states, and these are my word, that in a proceeding involving several claims or parties if the hearing of these claims and the parties together would unduly complicate or delay the trial or it is otherwise inconvenient, the court may order separate trials or hearings. While not intending to create an exclusive test, the case law that I have reviewed suggests that the following factors should be considered: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prejudice as set out in Rule 5(6), to the parties applying to sever matters if the court does not exercise its discretion to sever? Clearly, to satisfy this test, the party making the request must show that hearing the claims together would unduly complicate, delay the hearing, or otherwise be inconvenient. If a party applying does not meet this threshold, the court need not go further in any analysis and the application should be dismissed.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actions of any party in the proceeding been unreasonable and have they contributed to the complication, the delay, or the inconvenience alleged by the party applying? If this found, that would strengthen the argument to sever.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issues between the plaintiff and defendant and the issues between the defendant and third party sufficiently distinct so as to allow them to be tried separately? If so, that strengthens the argument to sever off third party proceeding.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relief claimed by, or the potential obligation of, any party best determined by hearing the evidence of all parties at one hearing? If so, that weakens an application to sever.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prejudice to the party applying, prejudice based on undue complication, delay or inconvenience, outweigh any benefit of matters being heard together, or outweigh any considerations related to the overall objective of the rules to ensure a just, speedy and inexpensive determination of every proceeding on it merits, including the avoidance of a multiplicity of proceedings for the benefits of litigants and having concern to congestion in the courts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Schaper, supra, at 347-348.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satisfied that taking into account the issues in relation to the claim of the plaintiff as against the defendant and the defendants against the third parties and the prejudice to the plaintiff of delay and the possibility of inconsistent judgments together with a concern for the efficient use of the courts time it is appropriate that the claim of the plaintiff proceed as presently set for trial the 5th of July 2004 and that the third party claim be severed.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Needless to say it will be open to the defendants to set a hearing date for the hearing of the third party claim with or without reference to Action No. 2. Given the state of trial scheduling the results of the plaintiffs claim against the defendants will be known well prior to any hearing of the third party claim if indeed one is necessary. Naturally it will be necessary for the plaintiff to be successful as against the defendants before the need for a hearing of third party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Therefore it is ordered that the third party claim be severed and that the claim of the plaintiff proceed against the defendants at the date set for hearing the 5th of July 2004 unless further orders are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DONALDSON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Ali v. Samra, [2020] I.L.R. para. G-2854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Bowden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November 22,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S173700</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[2020] I.L.R. para. G-2854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[2019] B.C.J. No. 2233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2019 BCSC 2005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Shaheer Ali by his Litigation Guardian Muzafar Ali v. Satjinder Samra, Ravinder Samra, Tim Johns and Ashley Perry</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4"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0" w:name="Keywords_7"/>
      <w:bookmarkEnd w:id="70"/>
      <w:r>
        <w:rPr>
          <w:rFonts w:ascii="arial" w:eastAsia="arial" w:hAnsi="arial" w:cs="arial"/>
          <w:b/>
          <w:color w:val="000000"/>
          <w:sz w:val="20"/>
          <w:lang w:val="en-US" w:eastAsia="en-US" w:bidi="ar-SA"/>
        </w:rPr>
        <w:t xml:space="preserve">Tort — Occupier's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Dog attack — Public alley — Premises — Minor plaintiff was attacked by pit bull while walking down alley at back of his house — Dog had come out of nearby property owned by defendants — Defendants had rented out property and tenant sublet rooms to recovering drug addicts — Tenancy agreement stipulated no dogs were permitted on premises — Defendants submitted they were unaware that there was dog on property — Plaintiff brought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under Occupiers Liability Act, seeking damages for his injuries — Court did not find that definition of "premises" in Act captured alley behind premises that was not part of property owned by defendants — Defendants were not in physical control of and did not have responsibility over alley beside their property - - Plaintiff's claim under Act failed — Defendants owed duty to tenants and visitors to their property but not to stranger walking by property — Occupier of property adjacent to public sidewalk, or public alleyway, owes no duty of care to its users, absent special circumstances — No special circumstances existed, as defendants were not aware of presence of dog — No duty of care arose — Claim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failed — Action dismissed — Occupiers Liability Act, </w:t>
      </w:r>
      <w:hyperlink r:id="rId335" w:history="1">
        <w:r>
          <w:rPr>
            <w:rFonts w:ascii="arial" w:eastAsia="arial" w:hAnsi="arial" w:cs="arial"/>
            <w:b/>
            <w:i/>
            <w:color w:val="0077CC"/>
            <w:sz w:val="20"/>
            <w:u w:val="single"/>
            <w:shd w:val="clear" w:color="auto" w:fill="FFFFFF"/>
            <w:lang w:val="en-US" w:eastAsia="en-US" w:bidi="ar-SA"/>
          </w:rPr>
          <w:t>RSBC 1996, c. 337, s. 1</w:t>
        </w:r>
      </w:hyperlink>
      <w:r>
        <w:rPr>
          <w:rFonts w:ascii="arial" w:eastAsia="arial" w:hAnsi="arial" w:cs="arial"/>
          <w:b/>
          <w:color w:val="000000"/>
          <w:sz w:val="20"/>
          <w:lang w:val="en-US" w:eastAsia="en-US" w:bidi="ar-SA"/>
        </w:rPr>
        <w:t>, 3(1), (2), 6(1), (2)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1" w:name="Case Summary_6"/>
            <w:bookmarkEnd w:id="71"/>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2015, the plaintiff was attacked by a pit bull that jumped on him and bit him on the back and arm. At the time of the incident, the plaintiff was 14 years old. He had been walking down the alley at the back of his house. The dog had come out of a nearby property and ran at the plaintiff without being provoked. The property was owned by the defendants Samra. At the time, the property was rented out to Ms. Farbeh. With the Samras' permission, Ms. Farbeh sublet rooms to recovering heroin addicts. Under the tenancy agreement with Ms. Farbeh, no pets were allowed on the premises. A tenant testified that the dog belonged to the co-defendants Johns and Perry, who had since been evicted. The Samras submitted that they were unaware that there was a dog on the premises. The plaintiff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"Act"), seeking damages for his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2" w:name="Holdings of Court_3"/>
            <w:bookmarkEnd w:id="72"/>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section 1 of the Act, "premises" are defined as including "land and structures," and an "occupier" is defined as a person in physical possession of premises or having responsibility or control over premises or activities conducted on premises. The Court did not find that the definition of "premises" captured the alley behind the premises that was not part of the property owned by the Samras. The defendants were not in physical control of and did not have responsibility over the alley beside the property. It was not relevant that the plaintiff may have ended up on the Samras' property after the dog attacked him. Having regard to the above, the plaintiff's claim under the Act failed.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Samras may have had a duty of care in respect of the tenants on the property and visitors to the property, the Court did not find that they owed a duty of care to a stranger walking by the property. Pursuant to case law, an occupier of property adjacent to a public sidewalk or a public alleyway owes no duty of care to its users, absent special circumstances. In the instant case, special circumstances may have existed if the Samras had known that there was a dangerous dog on the premises. The Court found, however, that if they did not know of the dog's presence, they did not know that it was dangerous. Accordingly, no duty of care arose and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3" w:name="Counsel_14"/>
      <w:bookmarkEnd w:id="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Singh for the plaintiff; J. Barnum and J. Lee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4" w:name="Judgment_14"/>
      <w:bookmarkEnd w:id="74"/>
      <w:r>
        <w:pict>
          <v:line id="_x0000_s1086" style="position:absolute;z-index:2517760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5" w:name="T.W. BOWDEN J."/>
            <w:bookmarkEnd w:id="75"/>
            <w:r>
              <w:rPr>
                <w:rFonts w:ascii="arial" w:eastAsia="arial" w:hAnsi="arial" w:cs="arial"/>
                <w:b/>
                <w:color w:val="000000"/>
                <w:sz w:val="30"/>
                <w:lang w:val="en-US" w:eastAsia="en-US" w:bidi="ar-SA"/>
              </w:rPr>
              <w:t>T.W. BOWDEN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born on January 17, 2000 and was an infant at the time that this action was commenced on his behalf by his litigation guardian.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seeks damages for injuries sustained when he was bitten by a pit bull while walking from his residence to a nearby park. The plaintiff asserts that he was attacked by the dog after it ran from a property owned by the defendants, Satjinder Samra and Ravinder Samra.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says that the Samra defendants are liable for his injuries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("OLA"), or because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Two defendants, Ashley Perry and Tim Johns, are alleged to have owned the dog. Neither of them has filed a response to the notice of civil claim or participated in these proceedings in any other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May 3, 2015, the plaintiff left his house to meet his friends at a nearby school playground. As he had done on many occasions, he walked down the alley at the back of his house and reached the corner of the alley at 98A Avenue and 132A Street in Surrey, British Columbia, when a brown pit bull came from a nearby property at 13232 - 98A Avenue, (the "Property"), and ran towards him. The plaintiff ran away from the dog but it jumped on him and bit him severely on the back and under an arm. He had done nothing to provoke the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One of the tenants from the Property went to the rescue of the plaintiff and pulled the dog off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father then took him to the hospital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Property is owned jointly by Ravinder Samra and Satjinder Samra. The house on the Property served as a rooming house for recovering heroin addicts.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incident the Property was rented to Mona Farbeh. A tenancy agreement had been signed by Mr. Satjinder Samra and Ms. Farbeh (aka Mona Afshari) on July 29, 2011. With the knowledge and consent of Mr. Samra, Ms. Farbeh sub-let rooms in the house to tenants who were recovering drug addicts. She collected rent from the sub-tenants and paid $1,800 per month to Mr. Samra.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tenancy agreement with Ms. Farbeh specified that no pets were permitted. Mr. Samra said that he explained to her that there was to be no smoking and no pets on the property and told her to explain that to all of her sub-tenants.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Samra said that he would visit the Property once or twice a month for about thirty minutes each time. He would go inside the house to check for any damage and insure that there were no pets.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tenant who helped the plaintiff when he was being attacked by the dog, Jamie Ross Smith, testified. He said that the dog that bit the plaintiff was staying at the Property at the time of the incident. He described the dog as an "unpredictable inbred pit bull". He said that the dog was originally owned by a tenant, Mr. Palmer, but then became owned by other tenants, Tim Johns and Ashley Perry, who are defendants in this action, but have since been evicted. According to his statement to the police, Mr. Smith said that Ashley Perry was looking after the dog at the time of the incident. Apparently, shortly after the incident, Ashley Perry left the Property in a vehicle with the dog. There are a number of inconsistencies both internal and external, in Mr. Smith's evidence and I do not find it to be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Samra testified that he never saw a dog on the property and was not aware that any tenant kept a dog there. Ms. Samra's testimony was to the same effect. While some of his answers were difficult to understand because of the need for an interpreter, Mr. Samra's evidence was generally straightforward and consistent with the surrounding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With regard to the plaintiff's claim under the OLA, "occupier" and "premises" are defined in s. 1 as follows:</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occupier</w:t>
      </w:r>
      <w:r>
        <w:rPr>
          <w:rFonts w:ascii="arial" w:eastAsia="arial" w:hAnsi="arial" w:cs="arial"/>
          <w:color w:val="000000"/>
          <w:sz w:val="20"/>
          <w:lang w:val="en-US" w:eastAsia="en-US" w:bidi="ar-SA"/>
        </w:rPr>
        <w:t>" means a person who</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premises</w:t>
      </w:r>
      <w:r>
        <w:rPr>
          <w:rFonts w:ascii="arial" w:eastAsia="arial" w:hAnsi="arial" w:cs="arial"/>
          <w:color w:val="000000"/>
          <w:sz w:val="20"/>
          <w:lang w:val="en-US" w:eastAsia="en-US" w:bidi="ar-SA"/>
        </w:rPr>
        <w:t>" includes: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land and structures or either of them, excepting portable structures and equipment other than those described in paragraph (c),</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ships and vessels,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trailers and portable structures designed or used for a residence, business or shelter,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railway locomotives, railway cars, vehicles and aircraft while not in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An occupier's duty of care is described in s. 3. Sections 3(1) and 3(2)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the premises are occupied under a tenancy or sub-tenancy, s. 6 (1) and (2)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(1) If premises are occupied or used under a tenancy under which a landlord is responsible for the maintenance or repair of the premises, it is the duty of the landlord to show toward any person who, or whose property, may be on the premises the same care in respect of risks arising from failure on the landlord's part in carrying out the landlord's responsibility, as is required by this Act to be shown by an occupier of premises toward persons entering on or using the premises.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premises are occupied under a subtenancy, subsection (1) applies to a landlord who is responsible for the maintenance or repair of the premises comprised in the subtenancy.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establishes that the plaintiff was bitten by the dog when the plaintiff was walking in an alley near to the property. The plaintiff argues that the defendants as owners, namely the Samra's, owed a duty to him because they were aware that a potentially dangerous dog was present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my view, the definition of premises does not include an alley behind the premises that is not part of the property owed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Gardner v. Unimet Investments Ltd</w:t>
      </w:r>
      <w:r>
        <w:rPr>
          <w:rFonts w:ascii="arial" w:eastAsia="arial" w:hAnsi="arial" w:cs="arial"/>
          <w:color w:val="000000"/>
          <w:sz w:val="20"/>
          <w:lang w:val="en-US" w:eastAsia="en-US" w:bidi="ar-SA"/>
        </w:rPr>
        <w:t>. (</w:t>
      </w:r>
      <w:hyperlink r:id="rId336" w:history="1">
        <w:r>
          <w:rPr>
            <w:rFonts w:ascii="arial" w:eastAsia="arial" w:hAnsi="arial" w:cs="arial"/>
            <w:i/>
            <w:color w:val="0077CC"/>
            <w:sz w:val="20"/>
            <w:u w:val="single"/>
            <w:shd w:val="clear" w:color="auto" w:fill="FFFFFF"/>
            <w:lang w:val="en-US" w:eastAsia="en-US" w:bidi="ar-SA"/>
          </w:rPr>
          <w:t>1995 CanLII 3265</w:t>
        </w:r>
      </w:hyperlink>
      <w:r>
        <w:rPr>
          <w:rFonts w:ascii="arial" w:eastAsia="arial" w:hAnsi="arial" w:cs="arial"/>
          <w:color w:val="000000"/>
          <w:sz w:val="20"/>
          <w:lang w:val="en-US" w:eastAsia="en-US" w:bidi="ar-SA"/>
        </w:rPr>
        <w:t xml:space="preserve"> (BCSC), the court held that the owner of premises was not liable under the OLA when the plaintiff slipped and fell on an adjacent sidewalk and injured himself when he fell through a window of the premises. As in </w:t>
      </w:r>
      <w:r>
        <w:rPr>
          <w:rFonts w:ascii="arial" w:eastAsia="arial" w:hAnsi="arial" w:cs="arial"/>
          <w:i/>
          <w:color w:val="000000"/>
          <w:sz w:val="20"/>
          <w:lang w:val="en-US" w:eastAsia="en-US" w:bidi="ar-SA"/>
        </w:rPr>
        <w:t>Gardner</w:t>
      </w:r>
      <w:r>
        <w:rPr>
          <w:rFonts w:ascii="arial" w:eastAsia="arial" w:hAnsi="arial" w:cs="arial"/>
          <w:color w:val="000000"/>
          <w:sz w:val="20"/>
          <w:lang w:val="en-US" w:eastAsia="en-US" w:bidi="ar-SA"/>
        </w:rPr>
        <w:t>, in the case at bar the defendants were not in physical control of or have responsibility for the alley beside the Property even if the plaintiff may have ended up on their property after the dog attacked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my view the plaintiff's claim under the OLA must fail because he was attacked on property that was not part of the premises nor in respect of which the Samras were occupiers.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Gallant v. Slootweg</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2014 BCSC 1579</w:t>
        </w:r>
      </w:hyperlink>
      <w:r>
        <w:rPr>
          <w:rFonts w:ascii="arial" w:eastAsia="arial" w:hAnsi="arial" w:cs="arial"/>
          <w:color w:val="000000"/>
          <w:sz w:val="20"/>
          <w:lang w:val="en-US" w:eastAsia="en-US" w:bidi="ar-SA"/>
        </w:rPr>
        <w:t xml:space="preserve">, property owners were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of their failure to ensure that an electronic fence was operating properly so as to restrain a dog owned by them. The dog ran from their property and knocked the plaintiff off of his bicycle. They were also held liable on the basis of </w:t>
      </w:r>
      <w:r>
        <w:rPr>
          <w:rFonts w:ascii="arial" w:eastAsia="arial" w:hAnsi="arial" w:cs="arial"/>
          <w:i/>
          <w:color w:val="000000"/>
          <w:sz w:val="20"/>
          <w:lang w:val="en-US" w:eastAsia="en-US" w:bidi="ar-SA"/>
        </w:rPr>
        <w:t>scienter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With regard to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while the Samra defendants may have had a duty of care in respect of the tenants of the Property and to visitors on the Property, in my view they do not owe a duty of care to a stranger walking by the property. As referred to in </w:t>
      </w:r>
      <w:r>
        <w:rPr>
          <w:rFonts w:ascii="arial" w:eastAsia="arial" w:hAnsi="arial" w:cs="arial"/>
          <w:i/>
          <w:color w:val="000000"/>
          <w:sz w:val="20"/>
          <w:lang w:val="en-US" w:eastAsia="en-US" w:bidi="ar-SA"/>
        </w:rPr>
        <w:t>Gardner</w:t>
      </w:r>
      <w:r>
        <w:rPr>
          <w:rFonts w:ascii="arial" w:eastAsia="arial" w:hAnsi="arial" w:cs="arial"/>
          <w:color w:val="000000"/>
          <w:sz w:val="20"/>
          <w:lang w:val="en-US" w:eastAsia="en-US" w:bidi="ar-SA"/>
        </w:rPr>
        <w:t xml:space="preserve"> at paras. 17 and 18, an occupier of property adjacent to a public sidewalk, or in the case at bar, a public alley, owes no duty of care to users of the alley absent special circumstances. Where a hotel had placed planters on an adjacent sidewalk which obstructed pedestrians a duty of care was found to be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case at bar special circumstances might have existed if the owners had known that a dangerous dog was present in the premises. I have concluded that even if the Samra's knew that there was a dog present in the building on the Property, they did not know it was dangerous. While Mr. Smith testified that the dog had bitten someone else in the past, he said that he did not inform the Samra's of that. In my view no special circumstances were present that would give rise to a duty of care by the owners of the property to a pedestrian on an adjoining 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doctrine of </w:t>
      </w:r>
      <w:r>
        <w:rPr>
          <w:rFonts w:ascii="arial" w:eastAsia="arial" w:hAnsi="arial" w:cs="arial"/>
          <w:i/>
          <w:color w:val="000000"/>
          <w:sz w:val="20"/>
          <w:lang w:val="en-US" w:eastAsia="en-US" w:bidi="ar-SA"/>
        </w:rPr>
        <w:t>scienter</w:t>
      </w:r>
      <w:r>
        <w:rPr>
          <w:rFonts w:ascii="arial" w:eastAsia="arial" w:hAnsi="arial" w:cs="arial"/>
          <w:color w:val="000000"/>
          <w:sz w:val="20"/>
          <w:lang w:val="en-US" w:eastAsia="en-US" w:bidi="ar-SA"/>
        </w:rPr>
        <w:t xml:space="preserve"> may have applied to the defendants Johns and Perry, however the evidence falls short of establishing that they owned the dog. The doctrine does not apply to the Samra's as they neither owned the dog nor, even assuming that they knew the dog was present, did they knew it was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claim is dismissed with costs to the defendant Samra's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T.W. BOWDEN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Bartel v. Reid, [2004] B.C.J. No. 1244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Goepel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10 - 13 and June 3,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21,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M015167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1244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831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131 A.C.W.S. (3d) 872</w:t>
      </w:r>
    </w:p>
    <w:p>
      <w:pPr>
        <w:spacing w:before="120" w:line="260" w:lineRule="atLeast"/>
        <w:rPr>
          <w:lang w:val="en-US" w:eastAsia="en-US" w:bidi="ar-SA"/>
        </w:rPr>
      </w:pPr>
      <w:r>
        <w:rPr>
          <w:rFonts w:ascii="arial" w:eastAsia="arial" w:hAnsi="arial" w:cs="arial"/>
          <w:color w:val="000000"/>
          <w:sz w:val="20"/>
          <w:lang w:val="en-US" w:eastAsia="en-US" w:bidi="ar-SA"/>
        </w:rPr>
        <w:t>Between Melody Lynn Bartel, plaintiff, and Michael Emmet Reid,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88" style="position:absolute;z-index:25167462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76" w:name="Keywords_8"/>
      <w:bookmarkEnd w:id="76"/>
      <w:r>
        <w:rPr>
          <w:rFonts w:ascii="arial" w:eastAsia="arial" w:hAnsi="arial" w:cs="arial"/>
          <w:b/>
          <w:color w:val="000000"/>
          <w:sz w:val="20"/>
          <w:lang w:val="en-US" w:eastAsia="en-US" w:bidi="ar-SA"/>
        </w:rPr>
        <w:t xml:space="preserve">Damages — General damages — For personal injuries — Non-pecuniary damages, including pain and suffering — Assessment — Measure of damages — Deductions — Limits on compensatory damages — Duty to mitigate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Plaintiff's knowledge of danger — Motor vehicles.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77" w:name="Case Summary_7"/>
            <w:bookmarkEnd w:id="7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Bartel, against the defendant, Reid, for damages. Bartel was a passenger in a stolen car driven by Reid. The car crashed during a police chase after being struck by a police car. Bartel was aware that the car was stolen and that Reid was unlawfully at large. Reid did not defend the suit. The Insurance Corporation of British Columbia conducted the defence. Bartel suffered a back injury in the crash that required surgery and a long period of recovery. She discontinued physiotherapy against the advice of her doctor. She had reached a settlement with the police for damages. During the criminal trial of Reid, Bartel gave testimony about the police chase. 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she claimed to have no recollection of those events. </w:t>
            </w:r>
            <w:r>
              <w:rPr>
                <w:lang w:val="en-US" w:eastAsia="en-US" w:bidi="ar-SA"/>
              </w:rPr>
              <w:cr/>
            </w:r>
          </w:p>
          <w:p>
            <w:pPr>
              <w:spacing w:before="120" w:line="260" w:lineRule="atLeast"/>
              <w:ind w:left="240"/>
              <w:jc w:val="both"/>
              <w:rPr>
                <w:lang w:val="en-US" w:eastAsia="en-US" w:bidi="ar-SA"/>
              </w:rPr>
            </w:pPr>
            <w:bookmarkStart w:id="78" w:name="Holdings of Court_4"/>
            <w:bookmarkEnd w:id="78"/>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Bartel contributed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placing herself in a position of danger by accompanying Reid, whom she knew to be a fugitive and who was driving a vehicle that did not belong to him. By placing herself in such a position, she was partly responsible for her losses. Bartel was 25 per cent at fault. The police officer who struck the stolen car was following too closely and was held 15 per cent at fault. The main cause of the motor vehicle accident was Reid's reckless attempt to avoid apprehension. He was held 60 per cent at fault. Bartel suffered a fairly serious injury that will continue to impact her life. However, she failed to mitigate by her discontinuation of physiotherapy. She was entitled to 60 per cent of damages of $40,000. </w:t>
            </w:r>
            <w:r>
              <w:rPr>
                <w:lang w:val="en-US" w:eastAsia="en-US" w:bidi="ar-SA"/>
              </w:rPr>
              <w:cr/>
            </w:r>
          </w:p>
          <w:p>
            <w:pPr>
              <w:rPr>
                <w:lang w:val="en-US" w:eastAsia="en-US" w:bidi="ar-SA"/>
              </w:rPr>
            </w:pPr>
          </w:p>
        </w:tc>
      </w:tr>
    </w:tbl>
    <w:p>
      <w:pPr>
        <w:jc w:val="both"/>
        <w:rPr>
          <w:lang w:val="en-US" w:eastAsia="en-US" w:bidi="ar-SA"/>
        </w:rPr>
      </w:pPr>
      <w:bookmarkStart w:id="79" w:name="Legislation Cited_5"/>
      <w:bookmarkEnd w:id="7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89" style="position:absolute;z-index:2517258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Insurance (Motor Vehicle) Act, s. 20(7).</w:t>
      </w:r>
      <w:r>
        <w:rPr>
          <w:lang w:val="en-US" w:eastAsia="en-US" w:bidi="ar-SA"/>
        </w:rPr>
        <w:cr/>
      </w:r>
    </w:p>
    <w:p>
      <w:pPr>
        <w:keepNext/>
        <w:spacing w:before="240" w:line="340" w:lineRule="atLeast"/>
        <w:rPr>
          <w:lang w:val="en-US" w:eastAsia="en-US" w:bidi="ar-SA"/>
        </w:rPr>
      </w:pPr>
      <w:bookmarkStart w:id="80" w:name="Counsel_15"/>
      <w:bookmarkEnd w:id="80"/>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0" style="position:absolute;z-index:25177702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K.R. Steinberg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K.G. Grady</w:t>
      </w:r>
      <w:r>
        <w:rPr>
          <w:lang w:val="en-US" w:eastAsia="en-US" w:bidi="ar-SA"/>
        </w:rPr>
        <w:cr/>
      </w:r>
    </w:p>
    <w:p>
      <w:pPr>
        <w:spacing w:after="240"/>
        <w:rPr>
          <w:lang w:val="en-US" w:eastAsia="en-US" w:bidi="ar-SA"/>
        </w:rPr>
      </w:pPr>
      <w:bookmarkStart w:id="81" w:name="Judgment_15"/>
      <w:bookmarkEnd w:id="81"/>
      <w:r>
        <w:pict>
          <v:line id="_x0000_s1091" style="position:absolute;z-index:25182003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2" w:name="GOEPEL J."/>
            <w:bookmarkEnd w:id="82"/>
            <w:r>
              <w:rPr>
                <w:rFonts w:ascii="arial" w:eastAsia="arial" w:hAnsi="arial" w:cs="arial"/>
                <w:b/>
                <w:color w:val="000000"/>
                <w:sz w:val="30"/>
                <w:lang w:val="en-US" w:eastAsia="en-US" w:bidi="ar-SA"/>
              </w:rPr>
              <w:t>GOEPEL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Melody Bartel claims damages for injuries she suffered in an automobile accident on November 21, 1999. Ms. Bartel was a passenger in a vehicle driven by the defendant, Michael Reid. During the course of a police chase, the Reid vehicle was struck by a vehicle driven by Constable Donald Jenkins of the R.C.M.P..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Prior to trial, Ms. Bartel negotiated a settlement with Constable Jenkins, the Attorney General of Canada, and Her Majesty the Queen in Right of the Province of British Columbia. As a condition of that settlement, Ms. Bartel expressly waived any right to recover from Mr. Reid any portion of the loss the court may attribute to those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Reid did not enter an appearance or file a statement of defence. The Insurance Corporation of British Columbia ("I.C.B.C.") defended the action in the name of and on behalf of Mr. Reid pursuant to s. 20(7)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"Act"). Liability and quantum are in issue.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accident, Ms. Bartel was 19 years old and a high school graduate. She had started dating Mr. Reid in early 1998. Ms. Bartel became pregnant with his child, but suffered a miscarriage in August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During their relationship, Ms. Bartel knew Mr. Reid stole cars. At some time prior to November 1999, Mr. Reid had been convicted of car theft and incarcerated. Until October 31, 1999, he had been serving his sentence at the Sumas Centre halfway house in Abbotsford and Ms. Bartel moved to Abbotsford to be closer to him. On October 31, 1999, Mr. Reid became a fugitive when he left the Sumas Centre and failed to return.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Throughout November 1999 Ms. Bartel continued to see Mr. Reid, who was living in Surrey at the home of an individual identified only as "Curtis". Ms. Bartel knew Curtis from high school. He would pick Ms. Bartel up in Abbotsford and drive her to Surrey to allow her to spend time with Mr. Reid.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Bartel knew that Mr. Reid was unlawfully at large. She says she attempted, unsuccessfully, to convince him to turn himself in and complete his sentence.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Bartel testified that she and Mr. Reid stayed at Curtis' home together on November 19 and 20, 1999. She says that some time on November 20, 1999, she heard Mr. Reid and Curtis discussing an insurance scam. Mr. Reid intended to pick up and wreck a vehicle so that Curtis' friend could claim the insurance money.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Bartel further testified that on November 20, 1999, Curtis drove Mr. Reid and Ms. Bartel to the British Columbia Institute of Technology ("B.C.I.T.") campus in Burnaby, British Columbia. At the campus, Mr. Reid got into a Honda Prelude, B.C. Licence KST 937, and drove it back to Curtis' home, where he met up with Curtis and Ms. Bartel. After staying at Curtis' home for an hour or so, Mr. Reid and Ms. Bartel drove the Prelude to Willowbrook Mall in Langley,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Bartel recalls returning to the Prelude in the parking lot of the mall, which she suggests occurred around 6:30 p.m.. She remembers reclining the seat and falling asleep. She says her next recollection is being at the intersection of 184th Street and 80th Avenue in Surrey immediately prior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Rajesh Sharma owned the Prelude. In November 1999, he was a student at B.C.I.T. He says that on the morning of November 18, 1999 he parked the Prelude in the B.C.I.T. parking lot to attend classes. At approximately 12:45 p.m. he observed his vehicle drive past him. He immediately telephoned the police and reported the Prelude stolen.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morning of November 20, 1999, Mr. Lawrence Hall, a 25-year veteran of the Delta Police Department, was walking his dog in the multi-residential complex in Richmond where he resided. He observed two vehicles in the visitors' parking lot, one a Honda Prelude, B.C. Licence KST 937, the other a Thunderbird. Mr. Hall observed the Prelude squeal out of the parking lot.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the female driver of the Thunderbird attempted to leave the parking lot, the car stalled. It appeared to have been started with a screwdriver. The woman exited the vehicle and Mr. Hall apprehended her at the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Prelude soon returned to the parking lot. The driver of the Prelude got out of his vehicle and yelled at Mr. Hall to "let the girl go, or I will shoot you." The driver then opened the trunk of the Prelude and approached Mr. Hall carrying a large piece of wood. Mr. Hall complied with his demand. The woman got into the Prelude and the two of them drove off. Mr. Hall went back to the Thunderbird and observed that its ignition was smashed.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Hall described the woman as being approximately 16-18 years of age. In court, he identified Ms. Bartel as looking familiar to him, but he testified that he could not be 100% certain that Ms. Bartel was the woman he encountered that morning. After the incident, he was shown photographs and he identified Mr. Reid as the driver of the Prelude.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Bartel denied both being in Richmond on the morning of November 20, 1999 and being involved in the incident Mr. Hall described. Although she acknowledged that she was with Mr. Reid on November 19 and 20, 1999, Ms. Bartel claimed to have no specific recollection as to what occurred on the morning of November 20, 1999.</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approximately 12:30 a.m. on November 21, 1999, Constable Fox of the R.C.M.P. observed a Honda Prelude, B.C. Licence KST 937, in the parking lot of the Willowbrook 6 Theatre Complex in Langley. It was the only vehicle in the parking lot. Although the vehicle's engine was on, its lights were off and its windows fogged up. Upon querying the license plate, Constable Fox discovered that the Prelude had been reported stolen on November 18,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Constable Fox approached the vehicle. He did not expect it to be occupied. When he reached the car, he observed a man in the driver's seat, later identified as Mr. Reid, and a woman in the passenger seat, later identified as Ms. Bartel. They both appeared to be sleeping. He returned to his vehicle and radioed for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Constable Cloutier arrived shortly thereafter. He parked his vehicle nose-to-nose with the Prelude. Constable Fox's car was approximately 15 feet behind the Prelude.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Constable Fox and Constable Cloutier approached the Prelude on foot. Constable Fox knocked on the driver's side window and identified himself as a police officer. He told the driver he was under arrest. The driver appeared to be waking up and asked what was going on. Constable Fox again identified himself as a member of the R.C.M.P..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reverse lights of the Prelude came on and the car suddenly reversed, striking Constable Fox's vehicle. With its tires screeching, the Prelude then drove forward towards Constable Fox. Constable Fox managed to elude the oncoming vehicle. He fired at the vehicle but missed. The vehicle sped out of the parking lot. Its lights were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the Prelude reversed, Constable Cloutier attempted to grab the female passenger, but she leaned back and resisted his attempts. Constable Cloutier then struck the vehicle with his baton, shattering the windshield.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two constables initially lost contact with the Prelude after it left the parking lot. Constable Cloutier subsequently spotted the vehicle and gave chase. Ultimately, the Prelude turned north onto 184th Street. Constable Cloutier sped up to 120 km/h to keep the Prelude in sight. He then reduced his speed to 90 km/h and was travelling approximately 500 metres behind the Prelude when the Prelude passed 72nd Avenue. Constable Cloutier believes the posted speed was 60 km/h.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Constable Jenkins' vehicle was travelling on 72nd Avenue. When the Prelude passed 72nd Avenue still continuing north on 184th Street, Constable Jenkins pulled in behind the Prelude and in front of Constable Cloutier's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Constable Jenkins pursued the Prelude with his siren and emergency lights activated. He estimates that the Prelude was travelling at 100 km/h. The roads were wet and the Prelude still did not have its lights on. Constable Jenkins noted that the Prelude driver's head was outside the driver's side window.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the two vehicles approached the intersection of 184th Street and 80th Avenue, Constable Jenkins was approximately 20 metres behind the Prelude. He was not aware that 184th Street was not a through street. He observed the Prelude begin to slow as it approached 80th Avenue. He believed that the Prelude was going too fast to make the corner at 80th Avenue. He did not observe the vehicle come to a full stop, nor did he see the brake lights or either turn signal come on. Constable Jenkins started to brake, but his vehicle struck the Prelude, sending both vehicles off the road into a ditch. Constable Jenkins has no recollection of his vehicle actually striking the Prelude but physical evidence establishes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Constable Jenkins observed Mr. Reid trying to flee the scene. He pursued Mr. Reid and placed him under arrest.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Constable Cloutier arrived at the scene, he observed Mr. Reid running from the Prelude and being chased by Constable Jenkins. Constable Cloutier stayed with Ms. Bartel, who told him that her legs were injured. He did not recall whether Ms. Bartel was wearing a seatbelt.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Bartel testified that she has no recollection of the events in the Willowbrook Mall parking lot or the police chase. The first thing she does recall is the Prelude reaching the corner of 184th Street and 80th Avenue. She testified that Mr. Reid came to a complete stop at that intersection, put on his turn signal and started to turn. She recalls the impact of the R.C.M.P. vehicle striking the Prelude, being restrained by her seatbelt, and striking her head on the windshield as the Prelude was propelled into the ditch.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February 9, 2000, Ms. Bartel testified at Mr. Reid's criminal trial. At that time, she gave detailed evidence of being woken up in the parking lot, the car windshield being smashed and the commencement of the pursuit. I do not believe Ms. Bartel's evidence at this trial that she has no recollection of the car chase.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Nor do I believe Ms. Bartel's evidence that Mr. Reid took the Prelude from the B.C.I.T. parking lot on the afternoon of November 20, 1999. I accept Mr. Sharma's evidence that his vehicle was stolen on November 18, 1999 and that he was not a participant in a scheme to defraud his insurance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accept Mr. Hall's evidence concerning the events in Richmond on the morning of November 20, 1999. Mr. Hall testified that Ms. Bartel looked like the female participant. There is no doubt that the Prelude involved in the Richmond incident was the one that Mr. Reid stole from the B.C.I.T. parking lot on November 18, 1999 and drove in the early morning of November 21, 1999. Mr. Hall identified Mr. Reid as being the driver of the Prelude from photographs. Ms. Bartel admits to spending the night of November 19, 1999 with Mr. Reid, but she cannot account for her or Mr. Reid's whereabouts on the morning of November 20, 1999. I find, on the balance of probabilities, that she was the woman involved in the Richmond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main cause of the motor vehicle accident was Mr. Reid's reckless attempt to avoid apprehension. I accept the evidence of Constables Cloutier and Jenkins that the Reid vehicle was travelling at a high rate of speed without lights and with a smashed front windshield. If its lights had been on, it is likely that Constable Jenkins would have realized that 184th Street ended at 80th Avenue and he would have slowed his vehicle and avoided hitting the Prelude. I do not accept Ms. Bartel's evidence that Mr. Reid brought his vehicle to a complete stop and put on his turn signal.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satisfied, however, that Constable Jenkins was travelling too quickly and following too close in an unfamiliar area. Although it is likely that Mr. Reid would not have successfully negotiated the corner in any event, any chance he had to do so ended when Constable Jenkins' vehicle struck the Prelude. I find Constable Jenkins to be 15% at fault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Once Mr. Reid fled from the police at Willowbrook Mall, there was little Ms. Bartel could have done to prevent the accident. However, she placed herself in a position of danger by accompanying Mr. Reid, whom she knew to be a fugitive and who was driving a vehicle that did not belong to him. By placing herself in such a position, she is partly responsible for her losses. I find Ms. Bartel 25% at fault.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make no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related to the seatbelt defence. Ms. Bartel testified she was wearing a seatbelt. Although I have found her evidence to be generally unreliable, I note that in the criminal proceeding, where whether she was wearing a seatbelt was not in issue, she also testified that she was wearing her seatbelt. Further, there is no evidence that her injuries were caused by failing to wear a seatbelt.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summary, therefore, I find liability for Ms. Bartel's damages to be 60% attributable to Mr. Reid, 25% attributable to Ms. Bartel, and 15% attributable to Constable Jenkins.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ASSESSMENT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a result of the accident, Ms. Bartel suffered a compression fracture of the L4 vertebrae. She was transported to Vancouver General Hospital, where she underwent open reduction internal fixation of her unstable L4 burst fracture. The operation required the fusion of two vertebrae and the insertion of two metal rods and screws in her back. The rods and screws were surgically removed in January 2001. She has a significant scar on her spine because of the surgeries.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Following the accident, Ms. Bartel remained in hospital for approximately 12 days. When she was released, her legs were still numb and her lower back was sore. She needed assistance getting up and, for a short time, she used a cane.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Bartel did some physiotherapy, which improved her condition. Although her doctors recommended additional physiotherapy, Ms. Bartel felt she could not afford it and did not continue with that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the rods and screws were removed, Ms. Bartel's mobility increased and her back pain eventually diminished. By March 2001, Ms. Bartel was able to participate in most of her pre-accident activities. In September 2001, Ms. Bartel gave birth to a daughter.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Bartel testified that she occasionally experiences pain in her back if she walks or sits for too long. However, she says that she can walk for up to one and a half hours without difficulty. She does not use any walking aids, but she says her injuries prevent her from lifting her daughter. She says she does not wear certain bathing suits or other clothing because of her scar.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Bartel was on social assistance prior to the accident, and was again subsequent to the accident until April 2004, when she commenced a training program at Sprott-Shaw Community College to be an office medical assistant. It is not clear why she did not seek employment or training before this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filed a medical report prepared by Dr. Barron, who also testified. Dr. Barron is one of several doctors at the Central City Medical Clinic where Ms. Bartel has been treated over the last several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Barron suggests that Ms. Bartel will have low back pain for the rest of her life. He also suggests that her job prospects are limited because she will only be able to do sedentary or light work. He further opines that she will be unable to participate in various recreational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Unfortunately, Dr. Barron's first involvement with Ms. Bartel's back injury did not occur until March 2004. It is clear from his cross-examination that his report is replete with errors and does not accurately summarize Ms. Bartel's various treatments and symptoms. Furthermore, Dr. Barron's opinion as to Ms. Bartel's present condition and functioning is not consistent with her evidence. As previously noted, Ms. Bartel testified that she has generally recovered from most of the problems arising out of the accident. I did not find Dr. Barron's opinion or evidence particularly helpful.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Bartel does not seek any award for past or future wage loss. With regard to non-pecuniary damages, her counsel suggests an award in the range of $80,000 to $100,000. He did not refer to any case law to support those figures.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defendant acknowledges that the plaintiff suffered a significant injury requiring hospitalization and surgery. He submits however, that she has made a substantial recovery and is thus not entitled to so high an award. He submits that a proper award for non-pecuniary damages is between $24,000 and $60,000. He cites Sine v. Roome, </w:t>
      </w:r>
      <w:hyperlink r:id="rId345" w:history="1">
        <w:r>
          <w:rPr>
            <w:rFonts w:ascii="arial" w:eastAsia="arial" w:hAnsi="arial" w:cs="arial"/>
            <w:i/>
            <w:color w:val="0077CC"/>
            <w:sz w:val="20"/>
            <w:u w:val="single"/>
            <w:shd w:val="clear" w:color="auto" w:fill="FFFFFF"/>
            <w:lang w:val="en-US" w:eastAsia="en-US" w:bidi="ar-SA"/>
          </w:rPr>
          <w:t>[2000] B.C.J. No. 171</w:t>
        </w:r>
      </w:hyperlink>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2000 BCSC 178</w:t>
        </w:r>
      </w:hyperlink>
      <w:r>
        <w:rPr>
          <w:rFonts w:ascii="arial" w:eastAsia="arial" w:hAnsi="arial" w:cs="arial"/>
          <w:color w:val="000000"/>
          <w:sz w:val="20"/>
          <w:lang w:val="en-US" w:eastAsia="en-US" w:bidi="ar-SA"/>
        </w:rPr>
        <w:t xml:space="preserve">; Rakhra v. Brandt, </w:t>
      </w:r>
      <w:hyperlink r:id="rId346" w:history="1">
        <w:r>
          <w:rPr>
            <w:rFonts w:ascii="arial" w:eastAsia="arial" w:hAnsi="arial" w:cs="arial"/>
            <w:i/>
            <w:color w:val="0077CC"/>
            <w:sz w:val="20"/>
            <w:u w:val="single"/>
            <w:shd w:val="clear" w:color="auto" w:fill="FFFFFF"/>
            <w:lang w:val="en-US" w:eastAsia="en-US" w:bidi="ar-SA"/>
          </w:rPr>
          <w:t>[2000] B.C.J. No. 445</w:t>
        </w:r>
      </w:hyperlink>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2000 BCSC 394</w:t>
        </w:r>
      </w:hyperlink>
      <w:r>
        <w:rPr>
          <w:rFonts w:ascii="arial" w:eastAsia="arial" w:hAnsi="arial" w:cs="arial"/>
          <w:color w:val="000000"/>
          <w:sz w:val="20"/>
          <w:lang w:val="en-US" w:eastAsia="en-US" w:bidi="ar-SA"/>
        </w:rPr>
        <w:t xml:space="preserve">; Stephenson v. Tabobo, </w:t>
      </w:r>
      <w:hyperlink r:id="rId347" w:history="1">
        <w:r>
          <w:rPr>
            <w:rFonts w:ascii="arial" w:eastAsia="arial" w:hAnsi="arial" w:cs="arial"/>
            <w:i/>
            <w:color w:val="0077CC"/>
            <w:sz w:val="20"/>
            <w:u w:val="single"/>
            <w:shd w:val="clear" w:color="auto" w:fill="FFFFFF"/>
            <w:lang w:val="en-US" w:eastAsia="en-US" w:bidi="ar-SA"/>
          </w:rPr>
          <w:t>[1999] B.C.J. No. 106</w:t>
        </w:r>
      </w:hyperlink>
      <w:r>
        <w:rPr>
          <w:rFonts w:ascii="arial" w:eastAsia="arial" w:hAnsi="arial" w:cs="arial"/>
          <w:color w:val="000000"/>
          <w:sz w:val="20"/>
          <w:lang w:val="en-US" w:eastAsia="en-US" w:bidi="ar-SA"/>
        </w:rPr>
        <w:t xml:space="preserve"> (S.C.); and Erickson-Louie v. Berland, </w:t>
      </w:r>
      <w:hyperlink r:id="rId348" w:history="1">
        <w:r>
          <w:rPr>
            <w:rFonts w:ascii="arial" w:eastAsia="arial" w:hAnsi="arial" w:cs="arial"/>
            <w:i/>
            <w:color w:val="0077CC"/>
            <w:sz w:val="20"/>
            <w:u w:val="single"/>
            <w:shd w:val="clear" w:color="auto" w:fill="FFFFFF"/>
            <w:lang w:val="en-US" w:eastAsia="en-US" w:bidi="ar-SA"/>
          </w:rPr>
          <w:t>[1998] B.C.J. No. 1104</w:t>
        </w:r>
      </w:hyperlink>
      <w:r>
        <w:rPr>
          <w:rFonts w:ascii="arial" w:eastAsia="arial" w:hAnsi="arial" w:cs="arial"/>
          <w:color w:val="000000"/>
          <w:sz w:val="20"/>
          <w:lang w:val="en-US" w:eastAsia="en-US" w:bidi="ar-SA"/>
        </w:rPr>
        <w:t xml:space="preserve"> (S.C.), aff'd </w:t>
      </w:r>
      <w:hyperlink r:id="rId349" w:history="1">
        <w:r>
          <w:rPr>
            <w:rFonts w:ascii="arial" w:eastAsia="arial" w:hAnsi="arial" w:cs="arial"/>
            <w:i/>
            <w:color w:val="0077CC"/>
            <w:sz w:val="20"/>
            <w:u w:val="single"/>
            <w:shd w:val="clear" w:color="auto" w:fill="FFFFFF"/>
            <w:lang w:val="en-US" w:eastAsia="en-US" w:bidi="ar-SA"/>
          </w:rPr>
          <w:t>(1999) 132 B.C.A.C. 161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Counsel for Mr. Reid also submits that Ms. Bartel has failed to mitigate her loss by not following recommended treatment. He says that for that reason, non-pecuniary damages should be reduced by 25 to 30%, citing Briglio v. Faulkner, </w:t>
      </w:r>
      <w:hyperlink r:id="rId350" w:history="1">
        <w:r>
          <w:rPr>
            <w:rFonts w:ascii="arial" w:eastAsia="arial" w:hAnsi="arial" w:cs="arial"/>
            <w:i/>
            <w:color w:val="0077CC"/>
            <w:sz w:val="20"/>
            <w:u w:val="single"/>
            <w:shd w:val="clear" w:color="auto" w:fill="FFFFFF"/>
            <w:lang w:val="en-US" w:eastAsia="en-US" w:bidi="ar-SA"/>
          </w:rPr>
          <w:t>[1996] B.C.J. No. 1819</w:t>
        </w:r>
      </w:hyperlink>
      <w:r>
        <w:rPr>
          <w:rFonts w:ascii="arial" w:eastAsia="arial" w:hAnsi="arial" w:cs="arial"/>
          <w:color w:val="000000"/>
          <w:sz w:val="20"/>
          <w:lang w:val="en-US" w:eastAsia="en-US" w:bidi="ar-SA"/>
        </w:rPr>
        <w:t xml:space="preserve"> (S.C.), varied on other grounds </w:t>
      </w:r>
      <w:hyperlink r:id="rId351" w:history="1">
        <w:r>
          <w:rPr>
            <w:rFonts w:ascii="arial" w:eastAsia="arial" w:hAnsi="arial" w:cs="arial"/>
            <w:i/>
            <w:color w:val="0077CC"/>
            <w:sz w:val="20"/>
            <w:u w:val="single"/>
            <w:shd w:val="clear" w:color="auto" w:fill="FFFFFF"/>
            <w:lang w:val="en-US" w:eastAsia="en-US" w:bidi="ar-SA"/>
          </w:rPr>
          <w:t>(1999), 69 B.C.L.R. (3d) 122</w:t>
        </w:r>
      </w:hyperlink>
      <w:r>
        <w:rPr>
          <w:rFonts w:ascii="arial" w:eastAsia="arial" w:hAnsi="arial" w:cs="arial"/>
          <w:color w:val="000000"/>
          <w:sz w:val="20"/>
          <w:lang w:val="en-US" w:eastAsia="en-US" w:bidi="ar-SA"/>
        </w:rPr>
        <w:t xml:space="preserve"> and McCuaig (Guardian ad litem of) v. Dinh, </w:t>
      </w:r>
      <w:hyperlink r:id="rId352" w:history="1">
        <w:r>
          <w:rPr>
            <w:rFonts w:ascii="arial" w:eastAsia="arial" w:hAnsi="arial" w:cs="arial"/>
            <w:i/>
            <w:color w:val="0077CC"/>
            <w:sz w:val="20"/>
            <w:u w:val="single"/>
            <w:shd w:val="clear" w:color="auto" w:fill="FFFFFF"/>
            <w:lang w:val="en-US" w:eastAsia="en-US" w:bidi="ar-SA"/>
          </w:rPr>
          <w:t>[1999] B.C.J. No. 323</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am satisfied that the plaintiff has suffered a fairly serious injury that will continue to impact her life. However, she has failed to mitigate her loss by not continuing with the physiotherapy treatments her physicians recommended. Taking all these matters into account, I assess non-pecuniary damages at $40,000.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also claims for past and future costs of care. However, she has failed to provide the evidentiary foundation for such an award.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result, the plaintiff is entitled to recover 60% of $40,000 against Mr. Reid.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Costs normally follow the event. However, as I previously noted, I did not believe much of Ms. Bartel's evidence concerning the circumstances leading up to the accident. In the result, there will be no order for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GOEPEL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Bryce v. Rala Investments Ltd., [2020] B.C.J. No. 113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G.C.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13-15,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24,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S184679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113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Peter Bryce, Plaintiff, and Rala Investments Ltd. and Allan Sadler,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3"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3" w:name="Keywords_9"/>
      <w:bookmarkEnd w:id="83"/>
      <w:r>
        <w:rPr>
          <w:rFonts w:ascii="arial" w:eastAsia="arial" w:hAnsi="arial" w:cs="arial"/>
          <w:b/>
          <w:color w:val="000000"/>
          <w:sz w:val="20"/>
          <w:lang w:val="en-US" w:eastAsia="en-US" w:bidi="ar-SA"/>
        </w:rPr>
        <w:t xml:space="preserve">Professional responsibility — Regulated occupations — Dealings with customers or clients — Duty of care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Occupations — Mortgage brokers and administrators — Action by Bryce for damages against the defendant mortgage brokers for professional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The action related to a property appraisal the defendants provided to Bryce, and upon which he relied, for the purpose of facilitating mortgage financing to a third party — The actual value of the property was substantially less than had been stated in the appraisal — The property was subsequently foreclosed and Bryce said he lost $202,000 — Bryce ignored cautions from the defendant Sadler and was blinded by the success of previous investments — The required standard of care was met by the defendants.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4" w:name="Case Summary_8"/>
            <w:bookmarkEnd w:id="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Bryce for damages against the defendant mortgage brokers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action related to a property appraisal the defendants provided to Bryce, and upon which he relied, for the purpose of facilitating mortgage financing to a third party. The actual value of the property was substantially less than had been stated in the appraisal. The property was subsequently foreclosed and Bryce said he lost approximately $202,000. The defendants conceded that they owed a duty of care to Bryce. However, they took the position that, at all material times, Bryce was an experienced lender who relied on his own experience and expertise to provide the financing. The defendants further submitted that they advised Bryce to commission his own property appraisals and, therefore, did not violate the standard of care required of them.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5" w:name="Holdings of Court_5"/>
            <w:bookmarkEnd w:id="8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Bryce did not conduct his own due diligence with respect to the transactions he entered into. At the relevant time, he was no neophyte regarding property investments and dealing with property appraisals. Bryce ignored cautions from the defendant Sadler and was blinded by the success of previous investments, as well as by the prospect of an 18 per cent return in 14 months, paid in advance. The required standard of care was met by the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6" w:name="Counsel_16"/>
      <w:bookmarkEnd w:id="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4"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T.J. Hewitt, B. Goertz,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Dhinsa, J. McGreevy.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7" w:name="Judgment_16"/>
      <w:bookmarkEnd w:id="87"/>
      <w:r>
        <w:pict>
          <v:line id="_x0000_s1095" style="position:absolute;z-index:2517780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8" w:name="G.C. WEATHERILL J."/>
            <w:bookmarkEnd w:id="88"/>
            <w:r>
              <w:rPr>
                <w:rFonts w:ascii="arial" w:eastAsia="arial" w:hAnsi="arial" w:cs="arial"/>
                <w:b/>
                <w:color w:val="000000"/>
                <w:sz w:val="30"/>
                <w:lang w:val="en-US" w:eastAsia="en-US" w:bidi="ar-SA"/>
              </w:rPr>
              <w:t>G.C.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claims damages against the defendant mortgage brokers, Allan Sadler ("Sadler") and Rala Investments Ltd. ("Rala") (collectively, the "defendants"),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connection with a property appraisal the defendants provided to him, and upon which he relied, for the purpose of facilitating mortgage financing to a third party. The actual value of the property was substantially less than had been stated in the appraisal. The property was subsequently foreclosed and the plaintiff says he lost approximately $202,000.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say that, at all material times, the plaintiff was an experienced lender who relied on his own experience and expertise to provide the financing. They further submit that the defendants advised the plaintiff to commission his own property appraisals and, therefore, did not violate the standard of care required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57 years old. In the 1970s, he had been a longshoreman. From approximately 1979 to 2008, he owned and operated a motorcycle repair shop in Burnaby, BC. In 2008, he retired. Throughout the years, he had purchased various properties for investment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one of these occasions, the plaintiff arranged private mortgage financing using the services of a mortgage broker. Although he had been provided with an appraisal of the property from the previous owners, he was asked by the mortgage broker to obtain an updated appraisal, which he did. The plaintiff agreed on cross-examination that he wanted to ensure an accurate valuation of the property before he purchased it. He perceived, on that occasion, that the private mortgage lender involved in his property investment had fared well financially in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his retirement, the plaintiff decided to explore investing some of his financial resources in private mortgage financing but did not feel he was equipped with sufficient skill or expertise to do so without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all material times, Sadler was a mortgage broker employed by Rala and was its principal. He has been a mortgage broker for the past 42 years and has owned Rala for the past 23 of those years. According to Sadler, a mortgage broker finds borrowers in need of mortgage loans and presents mortgage opportunities to lenders. Sometimes Sadler acted for the borrower, sometimes for the lender. Most of his deals involved higher risk second and third mortgage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Sadler testified that, typically, he receives an enquiry regarding a potential lending transaction either directly from a client or potential client, or by referral from another mortgage broker. His standard practice is to analyze the information provided to him, contact the lender he thinks should be approached with the opportunity and discuss it with him or her. If the lender is interested, Sadler sends along the information. Sometimes the information package includes an appraisal, sometimes it does not. Sadler testified that it was his standard practice to advise and recommend to all lenders that he acts for to obtain their own appraisal of the property that is to be used as security for the loan. Sadler testified that he is aware of the practice within the mortgage brokerage industry of obtaining a "Letter of Transmittal" (sometimes called a "Reliance Letter") ("LOT") from the author of an appraisal, authorizing its use by a party other than the party for whom the appraisal had been prepared. Sadler had often obtained such LOTs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approximately 2009, the plaintiff became aware of Sadler and Rala through an ad in the Yellow Pages telephone directory. The plaintiff telephoned Sadler, they met, and discussed the types of investments the plaintiff was interested in. The plaintiff testified that he advised Sadler he was a novice and was only interested in investments with a loan-to-value ratio of a maximum of between 60 to 65%. In other words, there would have to be equity in the property of at least between 35 to 40%. Sadler told the plaintiff that he would contact him if he became aware of a transaction he thought met the plaintiff's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Within a few months, Sadler facilitated the plaintiff's first investment as a mortgage lender. Four or five other transactions ensued between then and 2010. All were initiated by Sadler. All involved the plaintiff providing mortgage-secured loans for a term of one year. All involved Sadler providing to the plaintiff particulars of the investment opportunity, including an appraisal of the property for the plaintiff to consider. Sadler testified that, as was his standard practice, he recommended to the plaintiff "when we started doing business" that he should always obtain his own appraisal of properties. He conceded on cross-examination that he never put this recommendation in writing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the plaintiff initially denied that Sadler had ever advised him to obtain his own appraisal, he relented somewhat from that position during his cross-examination, conceding that he is unsure whether or not Sadler had done so. However, later during his cross-examination, the plaintiff stated that, if Sadler had given him any such advice, he believes he would have recalled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did not obtain his own appraisals for any of the properties involved in transactions facilitated by the defendants. He testified that he did not think to do so because, in each case, Sadler had provided him with an appraisal on which he relied when deciding to proceed with each investment. In those cases, the loan-to-value ratio was within the plaintiff's acceptable range. In direct examination, the plaintiff testified that he did not consider any of the investments to involve significant risk. However, during cross-examination, he acknowledged that there was always some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All of the investments made by the plaintiff were successful, with the full investment repaid to him together with interest. The maximum investment made by the plaintiff during this period was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May 2010, Sadler advised the plaintiff of a new mortgage investment opportunity. The deal involved a loan of $500,000 secured by a second mortgage behind a first mortgage of $600,000. At the time, the owners of the property in question were considering listing it for sale. It was a 25-acre tree farm near Chilliwack, BC. It included a large newly constructed house, a 5-car garage and two other houses, one of which had a pool (the "Property"). The Property was owned by Cornelia Autenrieth ("Cornelia") and at least one of the other houses was leased to tenants. An appraisal of the Property dated December 18, 2008 addressed to a Joe Autenrieth ("2008 Appraisal") was provided to Sadler by a Mr. Peter Davies, the Autenrieth's mortgage broker. Sadler, in turn, provided it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2008 Appraisal indicated that the Property had a value as of December 11, 2008 of $2.1 million. The appraisal noted that, as of the time the appraisal was conducted in 2008, construction of the main house on the Property was only 65% completed. The 2008 Appraisal contained the following "fine print" language (the "Disclaimer Clauses"):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ORDINARY ASSUMPTIONS &amp; LIMITING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certification that appears in this appraisal report is subject to the following conditions: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report is prepared at the request of the client and for the specific use referred to herein. It is not reasonable for any other party to rely on this appraisal without first obtaining written authorization from the client, the author and any supervisory appraiser, subject to the qualification in paragraph 11 below. Liability is expressly denied to any person other than the client and those who obtain written consent and, accordingly, no responsibility is accepted for any damage suffered by any such person as a result of decisions made or actions based on this report. Diligence by all intended users is assumed.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contents of this report are confidential and will not be disclosed by the author to any party except as provided for by the provisions of the Canadian Uniform Standards of Professional Appraisal Practice ("The Standards") and/or when properly entered into evidence of a duly qualified judicial or quasi-judicial body...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consent from the author and supervisory appraiser, if applicable, must be obtained before any part of the appraisal report can be used for any purpose by anyone except the client and other intended users identified in the report...Written consent and approval must also be obtained before the appraisal (or any part of it) can be altered or conveyed to other parties, including mortgagees (other than the client)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Sadler was aware that all appraisals typically contain such Disclaimer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testified that he did not read the 2008 Appraisal in detail. Rather, he merely scanned it, focussing only on the appraised value. He did not read the Disclaimer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visited the Property and liked what he saw. He and his sister, Joanne Bryce, made the loan of $500,000 to Cornelia secured by a second mortgage with an interest rate of 14% per annum, compounded monthly ("Second Mortgage Investment"). The term of the mortgage expired one year later on July 4, 2011. The total interest payable under the loan was paid to the plaintiff and his sister in advance in one lump sum upon the mortgage being funded. Sadler was paid a mortgage broker fee of $8,500.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May 2011, Sadler learned from Mr. Davies that the Autenrieths were in need of additional financing. An appraisal dated May 10, 2011 was provided to Sadler by Mr. Davies. It valued the Property at $2,550,000 ("2011 Appraisal"). Although the Autenrieths were initially looking for third mortgage financing, ultimately, a new first mortgage in the amount of $1 million was registered. The plaintiff and his sister agreed to renew the Second Mortgage for another one-year term in consideration for the interest rate increasing from 14% to 16% with the interest, $64,968.49, once again being payable in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April 2012, Sadler was advised by Mr. Davies that the Autenrieths were in need of further financing of $250,000 to be secured by a third mortgage against the Property. Sadler relayed this information to the plaintiff because of his previous involvement in financing them. The proposed terms of financing included an interest rate of 18% per annum compounded monthly, prepayment of the interest, a 14-month term such that the mortgage term would expire at the same time as the Second Mortgage, which was to be renewed for a further 12-month term with a prepayment of the interest payable thereunder as well ("Third Mortgage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Sadler testified that, before he sent any documentation regarding the Third Mortgage Investment to the plaintiff, he expressed his view to the plaintiff that "these people are coming back to the well too often", that it appeared they had no ability to make the payments due under the mortgages on their own, and that the investment was "getting risky". Sadler testified that the only way out for the Autenrieths was to sell the Property, which, at that time, had been listed for sale. Sadler told the plaintiff that, essentially, he had two options: (a) foreclosing on the existing Second Mortgage or (b) extending the Second Mortgage, proceeding with the Third Mortgage Investment and again having the interest paid in advance. The plaintiff denied that Sadler told him the borrowers were in financial trouble and that the investment was getting risky.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Sadler testified that the plaintiff expressed interest in the Third Mortgage Investment despite being told that the Autenrieths were borrowing money to make the mortgage payments and before any of the documentation had been sent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April 5, 2012, Sadler provided the plaintiff with a more recent appraisal of the Property ("2012 Appraisal") dated February 2, 2012 prepared by Canadian Home Appraisals ("Appraisers") for an individual named J. McLean at an entity called "Verico Select Mortgages". As was the case with the 2011 Appraisal, the 2012 Appraisal indicated that the market value of the Property (in this case as at February 2, 2012) was also $2,550,000. The 2012 Appraisal also contained the Disclaimer Clauses. Sadler had obtained the 2012 Appraisal two days earlier on April 3, 2012 from Mr. Davies.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Neither Sadler nor Rala obtained authorization from the Appraisers for the use of or reliance upon the 2012 Appraisal, as was stipulated by clause 13 of the Disclaimer Clauses. Neither Sadler nor Rala recommended to the plaintiff that he obtain a LOT from the Appraisers authorizing his use of and reliance upon the 2012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Sadler testified that he advised the plaintiff to read the 2012 Appraisal carefully and that, if he was not satisfied with it, he could obtain his own appraisal. The plaintiff denied that Sadler recommended he obtain his own appraisal. He also denied that Sadler made him aware he was not authorized to use the 2012 Appraisal in the absence of the written consent of its author.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testified that he "breezed through" the 2012 Appraisal, essentially looking only at and relying upon the appraised value. He did not review the Disclaimer Clauses. Sadler testified that the plaintiff advised him that he thought the 2012 Appraisal was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or about April 12, 2012, Sadler prepared and signed a "Form 9 - Lender Disclosure Statement" ("Form 9"). The British Columbia Financial Institutions Commission ("FICOM") mandates that such Form 9s be provided to all individual lenders but not institutional lenders. Sadler provided this document along with the borrowers' Mortgage Application to the plaintiff who acknowledged receipt of it on April 15, 2012. The plaintiff testified that he also simply "breezed through" these documents and had not given them much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Form 9 contained Sadler's calculation of a loan-to-value ratio (after the Third Mortgage Investment) of 68%, based upon the value of the Property contained in the 2012 Appraisal. The Form 9 cautioned the plaintiff to "very carefully assess the risk of the transaction" and to obtain independent legal advice regarding his decision to invest. The plaintiff did neither. It also cautioned the plaintiff to ensure that he had "sufficient documentation to support the property valuation quoted in this Investor/Lender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or about May 11, 2012, the plaintiff received notice from the borrower's insurer that their home insurance policy was being terminated for non-payment of premiums. The plaintiff testified that he was not concerned by this because the interest payments he would be entitled to would be prepaid. The plaintiff was satisfied that the $800,000 in equity identified in the 2012 Appraisal was more than adequate to ensure he would be able to recover his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testified that, on May 18, 2012, in reliance on the Appraisal as well as his own judgment based upon the success of the Second Mortgage Investment so far, the plaintiff funded the Third Mortgage Investment. He and his sister agreed to extend the term of the Second Mortgage as well. Although he advanced $250,000, from those monies, he and his sister were paid $73,477.40 for the extended Second Mortgage interest prepayment. In addition, the plaintiff was paid $47,929.84 for the Third Mortgage interest prepayment. After further deductions for mortgage brokerage and legal fees, the borrower received $110,612.76 in consideration of the grant of a $250,000 third mortgage together with the one-year extension of the Second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testified that he would not have advanced the funds in respect of the Third Mortgage Investment but for his reliance on the appraised value set out in the 2012 Appraisal. He also testified that, had Sadler or Rala informed him that he was not authorized to use the 2012 Appraisal, he would have obtained his own appraisal of the Property which he says would have disclosed that its true value was well below the 2012 Appraisal and he would not have funded the Third Mortgage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Neither the Second Mortgage nor the Third Mortgage was repaid when due in July 2013. Separate foreclosure proceedings were commenced by both the first mortgagee and the plaintiff, together with his sister, in respect of the Second Mortgage. An Order Nisi was granted in each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March 7, 2014, the plaintiff and his sister were granted joint conduct of sale of the Property with the Autenrieths. The plaintiff and his sister obtained judgment against the Autenrieths for $528,445.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October 20, 2014, an Order for Sale was pronounced for the sum of $1,420,550. Both the Second Mortgage and the Third Mortgage were expunged from title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did not commence foreclosure proceedings in respect of the Third Mortgage because it was apparent to him that such proceedings would be futile.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and his sister pursued the Autenrieths on their judgment mostly to no avail. Joe Autenrieth filed and assignment in bankruptcy on February 14, 2018. The ultimate shortfall on the Second Mortgage was approximately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has not recovered any monies on the Third Mortgage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REPORTS TENDERED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filed the expert report of Michael Reilly, an appraiser with Macintosh Appraisals Ltd., without objection. Mr. Reilly opined that the market value of the Property as at February 2, 2012 was only $1,500,000.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filed, again without objection, the expert report of Jass Saran, an appraiser with Saran Appraisals &amp; Consulting Ltd. Mr. Saran opined that the 2012 Appraisal contained multiple and significant errors, was not compliant with appraisal standards, and demonstrated that its author had exercised poor judgment in the appraisal valuation process. Mr. Saran also opined that the author of the 2012 Appraisal was not qualified to prepare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did not take issue with either the Reilly Report or the Saran Report or the opinions expressed 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addition, the plaintiff attempted to introduce and rely upon an expert report prepared by a mortgage broker named John Ribalkin. Mr. Ribalkin has been a mortgage broker since 1977 and had been involved in more than 10,000 brokered mortgages during his career. The defendants objected to the admissibility of his report on the basis that it was an improper attempt by Mr. Ribalkin to usurp the function of the court. In a separate Ruling indexed at </w:t>
      </w:r>
      <w:hyperlink r:id="rId360" w:history="1">
        <w:r>
          <w:rPr>
            <w:rFonts w:ascii="arial" w:eastAsia="arial" w:hAnsi="arial" w:cs="arial"/>
            <w:i/>
            <w:color w:val="0077CC"/>
            <w:sz w:val="20"/>
            <w:u w:val="single"/>
            <w:shd w:val="clear" w:color="auto" w:fill="FFFFFF"/>
            <w:lang w:val="en-US" w:eastAsia="en-US" w:bidi="ar-SA"/>
          </w:rPr>
          <w:t>2020 BCSC 51</w:t>
        </w:r>
      </w:hyperlink>
      <w:r>
        <w:rPr>
          <w:rFonts w:ascii="arial" w:eastAsia="arial" w:hAnsi="arial" w:cs="arial"/>
          <w:color w:val="000000"/>
          <w:sz w:val="20"/>
          <w:lang w:val="en-US" w:eastAsia="en-US" w:bidi="ar-SA"/>
        </w:rPr>
        <w:t>, I found that Mr. Ribalkin's report was flawed in several respects and held most of it to be inadmissible. However, I ruled a portion of it admissible to the extent that it provided an opinion as to the standard of care expected of a mortgage broker by the industry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particular, I allowed the following reformulated opinion from Mr. Ribalkin: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before making use of an appraisal prepared for a third party, it was standard practice in the mortgage brokerage industry for a mortgage broker to first: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 an "LOT";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the lender to obtain an "LOT"; or</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the lender to obtain his own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cross-examination, Mr. Ribalkin conceded that there is no mandate by FICOM (which regulates mortgage brokers) requiring that a LOT be obtained before a third party makes use of an appraisal prepared for someone else. He also conceded that it was always open to a mortgage broker to simply advise a lender to obtain their own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law with respect to credibility and reliability was usefully summarized by this court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2010 BCSC,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36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 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 (R.D.)</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(S.C.C.) at para.128).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gave his evidence in a sincere and forthright manner, however, throughout his testimony his demeanour was that of a somewhat naïve person with respect to business savvy. I found that his recollection of the events of 2011 and 2012 were mostly reconstructed rather than actual and, hence. not always reliable. He did not exude confidence regarding his recall of what he had been told by Sadler regarding the use of appraisals generally and the risk associated with the Third Mortgage Investment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Sadler gave his evidence in a straightforward and honest fashion. His recollection of the events of 2011 and 2012 was much more assertive and confident than the plaintiff's. I find Sadler's evidence to be more reliable than that of the plaintiff and, to the extent their evidence is in conflict, I accept that of Sadler.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was clear in my </w:t>
      </w:r>
      <w:hyperlink r:id="rId360" w:history="1">
        <w:r>
          <w:rPr>
            <w:rFonts w:ascii="arial" w:eastAsia="arial" w:hAnsi="arial" w:cs="arial"/>
            <w:i/>
            <w:color w:val="0077CC"/>
            <w:sz w:val="20"/>
            <w:u w:val="single"/>
            <w:shd w:val="clear" w:color="auto" w:fill="FFFFFF"/>
            <w:lang w:val="en-US" w:eastAsia="en-US" w:bidi="ar-SA"/>
          </w:rPr>
          <w:t>2020 BCSC 51</w:t>
        </w:r>
      </w:hyperlink>
      <w:r>
        <w:rPr>
          <w:rFonts w:ascii="arial" w:eastAsia="arial" w:hAnsi="arial" w:cs="arial"/>
          <w:color w:val="000000"/>
          <w:sz w:val="20"/>
          <w:lang w:val="en-US" w:eastAsia="en-US" w:bidi="ar-SA"/>
        </w:rPr>
        <w:t xml:space="preserve"> Ruling regarding the admissibility of Mr. Ribalkin's expert report, I was very critical of it. I will not repeat those concerns here. In contrast to his report, Mr. Ribalkin presented as a knowledgeable, objective and helpful witness. I accept his opinion evidence to the extent I allowed its admissibility, namely as it relates to the standard of care expected of a mortgage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order to find the defendants' liable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establish that they owed a duty of care to him, that the duty of care was beached, and that the breach caused the plaintiff to suffer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have conceded they owed a duty of care to the plaintiff in this case. I, therefore, must consider whether they breached their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evidence discloses that, over the years, the plaintiff purchased several properties, including three commercial properties in the Lower Mainland, BC. In all cases, including those where he invested in mortgages, he focused only on the market value set out in the appraisal he had been provided. He never focused on and, indeed, admitted that he ignored the "fine print" set out in those appraisals.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no question that, from the outset of his dealings with Sadler, the plaintiff relied on Sadler's experience and expertise as a mortgage broker together with the information Sadler provided to him. He did not conduct his own due diligence with respect to the transactions he entered into, with the exception of having visited the Property prior to investing in the Second Mortgage with his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While the plaintiff may have been a novice at the outset of his dealings with Sadler in terms of private mortgage lending, by 2012, that was no longer the case. He was clearly no neophyte regarding property investments and dealing with property appraisals. I do not accept that, in April 2012, the plaintiff did not understand that the 2012 Appraisal had been commissioned by the borrowers and prepared for their purposes as borrowers.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telling that the plaintiff was content to proceed with the Second Mortgage Investment in 2010 in reliance on the 2008 Appraisal, which was more than one year out-of-date. He took no steps to obtain an updated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that the plaintiff decided to proceed with the Third Mortgage Investment because, as he stated, all of the other transactions Sadler brokered for him had been successful, as had been the Second Mortgage Investment with his sister. I find that, in deciding to proceed with the Third Mortgage Investment, the plaintiff was blinded by the success of those previous investments as well as by the prospect of an 18% return in 14 months, paid in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was abundantly clear and must have been obvious to the plaintiff that, in April 2012, the Autenrieths were in serious financial trouble and unable to pay their debts on their own. They were "borrowing from Peter to pay Paul". The plaintiff was buoyed by the prospect of the interest owing under the Third Mortgage Investment being paid to him in advance. He considered that the only risk to his interests, was the possibility that the Autenrieths' equity in the Property would turn out to be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accept Sadler's evidence that he pointed out to the plaintiff at the outset of their relationship, or close to it, that the plaintiff was free to obtain his own appraisal of the properties he was obtaining mortgage security over. I find that the plaintiff likely ignored that advice because of the cost, and because the transactions he engaged in with Sadler had all gone smoothly.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also accept Sadler's evidence that, in April 2012, when he discussed the Third Mortgage Investment opportunity with the plaintiff, he expressed his view to the plaintiff that the Autenrieths appeared to be unable to meet their financial obligations and that dealing with them was getting risky. I find that the plaintiff ignored these cautions and decided to proceed with the Third Mortgage Investment for two reasons: (1) the 2012 Appraisal indicated there was substantial equity in the Property; and (2) he was satisfied that the Property would sell at a price exceeding the debt owed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Although it is clear that Sadler sent the 2012 Appraisal to the plaintiff without the covering email containing any language to qualify it, or cautioning against reliance on it, I accept that the plaintiff well understood the importance of a careful review of, not only the appraisal, but all other documents provided to him. Moreover, he was cautioned in writing, both by way of the Disclaimer Clauses in the 2012 Appraisal and by way of the cautions set out on the first page of the Form 9. He merely scanned those documents and paid no attention to those cautions. While Sadler may not have advised the plaintiff to obtain his own appraisal specifically in respect of the Third Mortgage Investment, I find that he had previously made the plaintiff aware of the importance of doing so for all mortgage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my view, the required standard of care was met by defendants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Regardless, causation is an essential element of every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traditional test for causation is the "but for" test, which requires a plaintiff to prove on the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damages suffered by the plaintiff would not have occurred: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find, on the balance of probabilities, that the plaintiff would have proceeded with the Third Mortgage Investment regardless of whether or not he was advised by Sadler to obtain a LOT or his own appraisal. Sadler's conduct was not the cause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Subject to any submissions the parties wish to make, the defendants are entitled to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G.C.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6" style="position:absolute;z-index:2518210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Dias v. Hardcastle, [2003] B.C.J. No. 2812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Terrace,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 and 16,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Terrace Registry No. 12615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2812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1834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613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Manuel Dias, plaintiff, and Judith Marchelle Hardcastle,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7"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9" w:name="Keywords_10"/>
      <w:bookmarkEnd w:id="89"/>
      <w:r>
        <w:rPr>
          <w:rFonts w:ascii="arial" w:eastAsia="arial" w:hAnsi="arial" w:cs="arial"/>
          <w:b/>
          <w:color w:val="000000"/>
          <w:sz w:val="20"/>
          <w:lang w:val="en-US" w:eastAsia="en-US" w:bidi="ar-SA"/>
        </w:rPr>
        <w:t xml:space="preserve">Damage awards — Injury and death — Body injuries — Leg injuries — Knee — Ankle — Shoulder (including rotator cuff) — Back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Keeping a proper lookout — Motor vehicle, pedestrians and bicyclists — Duty of pedestrians and bicyclists to take reasonable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0" w:name="Case Summary_9"/>
            <w:bookmarkEnd w:id="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Dias against Hardcastle for damages for injuries suffered in a motor vehicle accident. Dias was walking in a parking lot when he was struck by a truck driven by Hardcastle. Both parties alleged that the other was liable for the accident. Dias was 61 years old. He testified that he was walking slowly across a laneway when he was struck. Hardcastle testified that Dias was walking quickly. Dias claimed to have suffered soft tissue injuries to his ankle, shoulder, back and knee, as well as headaches which caused him pain for more than a year.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1" w:name="Holdings of Court_6"/>
            <w:bookmarkEnd w:id="9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Dias was awarded $30,000 in damages. Hardcastle was 50 per cent liable for the accident. Hardcastle failed to keep a proper lookout and would have seen Dias if she had been looking forward at the time of the accident. Her manner of driving was negligent. However, Dias was also negligent in failing to take reasonable care for his own safety before stepping into the laneway. He was contributorily negligent.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2" w:name="Legislation Cited_6"/>
      <w:bookmarkEnd w:id="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8"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3" w:name="Counsel_17"/>
      <w:bookmarkEnd w:id="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 Warner, Q.C., for the plaintiff. T.J. Wright,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4" w:name="Judgment_17"/>
      <w:bookmarkEnd w:id="94"/>
      <w:r>
        <w:pict>
          <v:line id="_x0000_s1100"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5" w:name="HALFYARD J."/>
            <w:bookmarkEnd w:id="95"/>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was the trial of an action for damages for personal injuries. The plaintiff Manuel Dias alleges that he was injured on November 19, 1999, at Terrace, as a result of the defendant's negligent operation of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common ground that Mr. Dias, now aged 61, was walking in the parking lot of the Safeway store in Terrace, at about or shortly after 6:00 p.m. on Friday, November 19, 1999, when he was struck by the front end of a pickup truck which was owned and being driven by the defendant Judith Hardcastle.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liability and damages are in dispute. Each party alleges that the other was solely at fault for the accident. It is admitted that the plaintiff was knocked down and injured as a result of the accident, but the kind, extent and duration of his injuries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a retired sawmill worker, and lives with his wife in Terrace. The defendant works as a bookkeeper for Ken's Marine in Terrace, and is 49. Both parties are long-time residents of Terrace, and quite familiar with the area in which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find the following facts, without difficulty. The plaintiff dropped off his wife and their three grandchildren at McDonald's restaurant, where they planned to have dinner. He then drove his wife's car a block or two, to the east, to the parking lot of the Safeway store. He turned right off Lakelse Avenue into the parking lot of the Safeway store, by way of the westernmost entrance to the parking lot from Lakelse Avenue. He turned right again, and parked his car in the third or fourth parking space west of that entranceway, close to and facing Lakelse Avenue. When parked, the passenger side of his car was 15 to 25 feet west of the west side of the entranceway.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intended to walk to the Safeway store, buy some groceries, and then return to McDonald's to meet his wife and grandchildren. It was dark, and it was raining, but not heavily. The surface of the roads and the parking lot, were wet. There was no streetlight or parking lot light nearby.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wearing a jacket that was mostly a medium blue colour, but had some mauve or purple on the sleeves, and some black lines on it. His pants were either blue or grey. He was wearing a ball cap that was mostly dark blue, but had a white crest on the front face of it, above the projecting front peak.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got out of his car, locked it, and then walked south towards the back of the driver's side, in the direction of the front of the Safeway store. He stopped at the corner of the back end of the car, and looked for vehicle traffic, before crossing the traffic lane behind his car. The only vehicle he saw moving in the parking lot, was off to his left (which was to the east). That vehicle had its headlights on, and was travelling west, towards him. That vehicle was the pickup truck being driven by the defendant. The vehicle was in good mechanical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unsure of how far away the vehicle was, and he was unable to estimate its speed, or even to say whether it seemed to be travelling fast or slow. But he believed that it did not pose a danger to his crossing the laneway, because he thought that, before it reached his location, it would either turn right and park, or turn right and go out the exit on to Lakelse Avenue (which he had just entered from) or would turn left and go south into the parking lot, towards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stopped only momentarily at the back end of his car. He looked to his left and saw the vehicle, only once, then decided it was safe to cross, and stepped out to walk across the laneway. As he crossed, the plaintiff was hit on his left side by the defendant's truck, and was knocked down. He did not see the truck again as it approached him, nor did he see it just before it hit him. The plaintiff did not know how far across the laneway he walked, before he was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had worked that day until 4:30 p.m., had gone home and then later went downtown to pay a bill. She parked her vehicle near the eastern end of the shopping mall parking lot, which mall includes the Safeway store. She crossed Lakelse Avenue, conducted her business at the Royal Bank, and then walked back to her vehicle. She got into her truck and started it up. She drove her vehicle west, along the laneway in the parking lot which is nearest to, and runs parallel with, Lakelse Avenue. She was driving at a speed of about 15 to 20 kilometres per hour (kph), in the direction of the plaintiff's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had her headlights, windshield wipers and defroster operating. As she drove, the defendant kept the passenger side of her vehicle about 5 to 6 feet away from the back ends of the vehicles to her right, that were parked facing Lakelse Avenue. She saw no other vehicles, nor any pedestrians, moving in the parking lot. She intended to drive to the far western end of the parking lot, and exit onto Ottawa Street, and then drive home. In order to get to where she was going, she would have to drive past the back end of the plaintiff's parked car, which would be at her right hand side. Before reaching that location, she would have to pass by the entranceway by which the plaintiff had entered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slowed her truck a little, as she approached the entranceway, which was ahead of her and to her right. That entrance-exit roadway intrudes into the parking lot from Lakelse Avenue, to a point just a few feet past the back ends of vehicles that can be parked (as the plaintiff's car was) facing Lakelse Avenue, up close to the edge of the sidewalk on Lakelse Avenue. The entrance-exit way is wide enough for two vehicles to pass each other. On each side of it, there is a cultivated and trimmed green hedge which is very dense, and which was probably about 3 to 3- 1/2 feet high on each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saw no vehicles about to enter the parking lot from Lakelse Avenue, and saw nothing straight ahead of her. She then looked to her left to see if there were any cars or people in the laneway which runs south, directly opposite to the entrance-exit way I have just described. She saw no vehicles or people to her left, and as she proceeded at about 15 kph past the entrance-exit way, she turned to again look straight ahead of her vehicle. At that moment, she saw the top part of a man (Mr. Dias) crossing the laneway ahead of her, from her right to her left, and not more than five feet in front of her truck. He was looking straight ahead, and had not quite reached the point where his body would be at the centre of the front of her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Immediately upon seeing Mr. Dias, the defendant slammed on her brakes, but there was insufficient time or distance for her to avoid a collision by stopping or by steering around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front of the truck hit Mr. Dias on his left side, and he was knocked down. The defendant put her truck in 'park', and got out to help him. There was no visible damage to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and the defendant were the only witnesses to the accident. There is only one point of conflict between their two versions of the accident. But there are two points which require some assessment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first point is the speed at which the plaintiff was walking as he crossed the laneway. The plaintiff testified that he was walking at a normal speed, and denied that he was walking quickly. The defendant perceived that the plaintiff was moving fairly quickly. On his examination for discovery, the plaintiff testified that he probably was walking quickly. The plaintiff said that he had forgotten giving that evidence on discovery, but he adhered to his trial testimony. I find that the plaintiff was walking faster than normal, as he crossed the laneway.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other point was the length of time the defendant spent looking to her left, before she looked ahead of her and saw the plaintiff. When asked in cross-examination how long she looked to her left before again looking to the front and seeing the plaintiff, the defendant said that it was maybe 5 seconds. Logic and common sense tells me that the defendant is mistaken in this time estimate, and that her "look to the left" must have lasted less than 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are three issues on liability, as follows:</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defendant's manner of driving negligent, and if so, was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cause of the accident?</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was there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how should fault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the first issue, I find that the plaintiff must have walked about 8 or 9 feet (i.e., almost 3 metres), from the rear corner of his car, out into the laneway, before the defendant first saw him. I find that it would have taken the plaintiff 2 or 3 seconds to cover that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was travelling at about 15 kph. By simple arithmetical calculation, an object moving at a speed of 1 kph will travel .278 metres in one second,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1000 metres (1 kilometre)(i.e., = .278 metres/second). 3600 seconds (1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was driving at 15 kph, and therefore her vehicle was covering 15 x .278 = 4.17 metres per second. She did not see the plaintiff standing at the back end of his car, or stepping into the laneway. If it took the plaintiff 2- 1/2 seconds to walk the 3 metres to the point where the defendant saw him, then the defendant's position at the time the plaintiff stepped into the laneway, can be calculated. In that 2- 1/2 seconds, her vehicle would have travelled 2.5 x 4.17 = 10.4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apparent that, during the time that the plaintiff walked about 3 metres, the defendant's vehicle travelled about 10.4 metres. If the defendant had been looking ahead when the plaintiff stepped into the laneway, she would have seen him as soon as he moved out past the back end of his car. Instead, she had been looking to her left, and by the time she looked forward again, the plaintiff was 5 feet in front of her, and it was impossible to avoid hitting him. I conclude that the defendant must have been looking to her left for 2 or 3 seconds. In my opinion, that was longer than a reasonably skilled and careful driver would have done in similar circumstances, and constituted failure to keep a proper lookout. I also find that, had the defendant been keeping a proper lookout at the roadway straight ahead, she would have seen the plaintiff step into the laneway at a distance which would have enabled her to react and to avoid a collision with him. I conclude that the defendant's manner of driving was negligent, and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next issue is whether the plaintiff was contributorily negligent. By his own admission, the plaintiff ignored the defendant's vehicle, after looking once and seeing that it was travelling towards him, even though he was unable to estimate how far away it was from him, or how fast it was travelling. He assumed the vehicle would stop or turn off to the left or right, before it reached his location. The defendant had not signalled any intention to turn left or right, which made the plaintiff's assumption even more unreasonable. It was dark, it was raining, and the plaintiff was wearing dark clothing. There was a hedge alongside the entrance-exit way to his left. He ought to have known it would be difficult for the driver of the approaching motor vehicle to see him, before he stepped out to cross the laneway.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my opinion, the plaintiff failed to exercise reasonable care for his own safety. I find that, if he had been keeping a proper lookout, the plaintiff would have realized that the defendant's vehicle was so close that it would be dangerous for him to attempt to cross when he did. I find that, if the plaintiff had exercised reasonable care, he too could have avoided the accident. He was contributorily negligent,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have referred me to numerous cases in support of their respective positions as to how fault should be apportioned between the parties. Previously decided cases can only provide general guidelines, in that every case is factually different, and must be decided on the basis of its particular facts. In this case, I find that the plaintiff and the defendant were equally at fault for the accident, and I fix the defendant's liability for the plaintiff's damages at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claims damages for non-pecuniary loss, and special damages. He alleges that he sustained the following injuries as a result of the accident:</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the right ankle;</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the left elbow and shoulder;</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Minor soft tissue injuries to the back and left knee;</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(as a result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alleges that the injuries to his right ankle and his left arm caused him serious pain and disability for about a year, and have continued to trouble him to a lesser degree, up to the present time. He also says that his headaches have continued, although they have become less severe and less frequent.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defence accepts that the plaintiff sustained a significant injury to his right ankle, but alleges that he had achieved substantial recovery in four to eight months after the accident. As to the left arm and shoulder injury, the defence says that the plaintiff was experiencing ongoing problems in these areas before the accident, and that there was only aggravation of these pre-existing conditions as a result of the accident, and only for a few months. The defence submits that, if the plaintiff is still suffering from headaches as a result of the accident, they are not disabling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the defendant got out of her truck and went to assist the plaintiff, he was favouring his left arm and elbow. He did not respond to the defendant's offer to help him. Although he does not recall it (likely due to shock), Mr. Dias got up and walked to his car. He opened the driver's door, and sat on the driver's seat, sideways. Ms. Hardcastle retrieved his hat. Someone called the police and ambulance, and they arrived a few minutes later. Mr. Dias was taken to the hospital by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was examined by a doctor at the hospital, was given pain killing medication, and was x-rayed. Sometime later that evening, he was released from hospital and was taken home by his wife and daughter. He was unable to walk without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was unable to walk on his right ankle, and was unable to use his left arm, for some time after the accident. He had to confine himself to the ground floor of the family home, for about four months, because of his ankle injury. His wife had to help him to and from the bathroom, and he required her assistance to dress, shave and eat his meals. The plaintiff depended almost totally on his wife for more than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visited his family doctor a day or two after the accident. He began physiotherapy for his right ankle and left arm injuries, on November 24, 1999. His wife had to take him for doctor's appointments and physiotherapy treatments. For the first while, she had to help him walk, because his left arm was too sore for him to use crutches. It was six months before the plaintiff was able to resume driving his vehicle. His disability and dependence on his wife, caused the plaintiff to feel seriously depressed for at least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was unable to do any of the gardening and lawn work in the summer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bruising to the plaintiff's back healed up in about a month. His left knee had healed within two months or so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Defence counsel challenged the plaintiff's credibility on two points relating to his injuries. The plaintiff had testified that he could not walk very well until about a year after the accident. In cross-examination, it was established that he had made the following statements to his physiotherapist:</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 2000, the plaintiff said that he could walk 1 mile, with a cane;</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13, 2000, the plaintiff said that he could walk 1- 1/2 miles per day;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22, 2000, the plaintiff said that he had walked 2 miles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explained that he could not recall making such statements to the physiotherapist but if he did make them, then he must have been referring to the total distance of several short walks that he made in one day. After considering the evidence of the plaintiff's wife and daughter given on this subject, I am unable to reject the plaintiff's explanation, and I am not satisfied that the apparent self-contradiction is 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was also challenged on his evidence that he had not had any problems with his left arm, before the accident. The plaintiff acknowledged in cross-examination that he did have some previous problems with his left shoulder, but not with his left arm or hand. The plaintiff stated that the ongoing problems he was having with his left arm after this accident was that it felt like it was "asleep" and the fingers on his left hand were tingling. He denied having any similar problem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was then established in cross-examination that the plaintiff had surgery on his left shoulder in October 1996, and that in September and October of 1997, he was complaining of pain in his left shoulder and left arm, and that the fingers of his left hand were feeling "dead". The evidence also indicated that the plaintiff was complaining of problems with his left arm in January of 1998. The plaintiff testified that he could not remember having those previous problems with his left arm, but suggested that such problems may have been caused by a pinched nerve in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all of the evidence, I am satisfied that the plaintiff had been experiencing significant problems with his left hand and arm before the accident, which were similar to his complaints after the accident. I find that the accident aggravated this pre-existing condition, but that the plaintiff had substantially recovered from the effects of the aggravation, by six months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to his ankle injury, I find that the plaintiff did not make a substantial recovery from that injury until about one year after the accident. He was almost totally disabled for several months and significantly disabled for some months after that. Changes in the weather continue to cause some pain and discomfort in his right ankle, but I find that these episodes are not frequent and do not cause him significant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the plaintiff is still experiencing some headaches, but that they are no longer serious and are becoming less frequent with time. To the extent that these headaches may still be causally connected to the accident, I find that he will recover from them in the near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my opinion, the plaintiff's injuries have caused him considerable pain and suffering and loss of enjoyment of life. Walking was one of his main activities and hobbies, and his ability to walk was significantly impaired for at least a year. It was probably another year after that, before he could walk nearly as well and as much as he did before the accident. The plaintiff could not put Christmas decorations on his house in 1999, and could only help with those decorations in 2000. He was unable to do much gardening or yard work until about the spring of 2001. These were important activities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did have serious low back surgery in 1994, surgery on his right shoulder in 1995, and surgery on the left shoulder in 1996. He has suffered from diabetes and he is now over 60 years of age. All of those things would combine to lessen the plaintiff's strength and endurance for his usual activities, to some degree. But I am satisfied that he has sustained a substantial non-pecuniary loss, as a result of the injuries he received in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Warner submits that the range of damages for this case is $20,000 to $45,000. He says that an award of $40,000 would be appropriate, in view of the length of time that the plaintiff suffered significant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For the defendant, Mr. Wright argues that the range of damages is $17,500 to $25,000. He contends that the award should not be at the high end of the range, on the grounds that the plaintiff achieved significant recovery from his ankle injury within eight months, and had significant and active pre-existing conditions in his left arm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Again, counsel have canvassed a number of cases in support of their respective positions. In my judgment, an award of $30,000 should be made, and I so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to the claim of special damages, it was not large (about $800), but there was disagreement as to how much of this claim was justified. There was some uncertainty in the evidence as to precisely how many of the items claimed should be charged to the defendant. I fix special damages at $400.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will have judgement for $15,200. There will be court order interest on special damages at the registrar's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Costs will follow the event, in accordance with s.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Scale 3 will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Drage v. Page, [2003] B.C.J. No. 64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Truscott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3 - 6 and 13,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January 8, 2003.</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S062091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64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35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16 C.C.L.T. (3d) 216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120 A.C.W.S. (3d) 522</w:t>
      </w:r>
    </w:p>
    <w:p>
      <w:pPr>
        <w:spacing w:before="120" w:line="260" w:lineRule="atLeast"/>
        <w:rPr>
          <w:lang w:val="en-US" w:eastAsia="en-US" w:bidi="ar-SA"/>
        </w:rPr>
      </w:pPr>
      <w:r>
        <w:rPr>
          <w:rFonts w:ascii="arial" w:eastAsia="arial" w:hAnsi="arial" w:cs="arial"/>
          <w:color w:val="000000"/>
          <w:sz w:val="20"/>
          <w:lang w:val="en-US" w:eastAsia="en-US" w:bidi="ar-SA"/>
        </w:rPr>
        <w:t>Between Shelly Drage, plaintiff, and Dr. David A. Page, Dr. Caroline Pon, Dr. David J. Fitzpatrick and the Chilliwack General Hospital Society,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(61 paras.)</w:t>
      </w:r>
    </w:p>
    <w:p>
      <w:pPr>
        <w:spacing w:line="240" w:lineRule="atLeast"/>
        <w:jc w:val="both"/>
        <w:rPr>
          <w:lang w:val="en-US" w:eastAsia="en-US" w:bidi="ar-SA"/>
        </w:rPr>
      </w:pPr>
      <w:r>
        <w:rPr>
          <w:lang w:val="en-US" w:eastAsia="en-US" w:bidi="ar-SA"/>
        </w:rPr>
        <w:br/>
      </w:r>
      <w:r>
        <w:rPr>
          <w:rFonts w:ascii="arial" w:eastAsia="arial" w:hAnsi="arial" w:cs="arial"/>
          <w:color w:val="000000"/>
          <w:sz w:val="18"/>
          <w:lang w:val="en-US" w:eastAsia="en-US" w:bidi="ar-SA"/>
        </w:rPr>
        <w:t xml:space="preserve">[Editor's note: Supplementary reasons for judgment were released January 6, 2004. See </w:t>
      </w:r>
      <w:hyperlink r:id="rId380" w:history="1">
        <w:r>
          <w:rPr>
            <w:rFonts w:ascii="arial" w:eastAsia="arial" w:hAnsi="arial" w:cs="arial"/>
            <w:i/>
            <w:color w:val="0077CC"/>
            <w:sz w:val="18"/>
            <w:u w:val="single"/>
            <w:shd w:val="clear" w:color="auto" w:fill="FFFFFF"/>
            <w:lang w:val="en-US" w:eastAsia="en-US" w:bidi="ar-SA"/>
          </w:rPr>
          <w:t>[2004] B.C.J. No. 17</w:t>
        </w:r>
      </w:hyperlink>
      <w:r>
        <w:rPr>
          <w:rFonts w:ascii="arial" w:eastAsia="arial" w:hAnsi="arial" w:cs="arial"/>
          <w:color w:val="000000"/>
          <w:sz w:val="18"/>
          <w:lang w:val="en-US" w:eastAsia="en-US" w:bidi="ar-SA"/>
        </w:rPr>
        <w:t>.]</w:t>
      </w:r>
      <w:r>
        <w:rPr>
          <w:lang w:val="en-US" w:eastAsia="en-US" w:bidi="ar-SA"/>
        </w:rPr>
        <w:cr/>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2" style="position:absolute;z-index:25167769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6" w:name="Keywords_11"/>
      <w:bookmarkEnd w:id="96"/>
      <w:r>
        <w:rPr>
          <w:rFonts w:ascii="arial" w:eastAsia="arial" w:hAnsi="arial" w:cs="arial"/>
          <w:b/>
          <w:color w:val="000000"/>
          <w:sz w:val="20"/>
          <w:lang w:val="en-US" w:eastAsia="en-US" w:bidi="ar-SA"/>
        </w:rPr>
        <w:t xml:space="preserve">Hospitals — Liability of hospitals — To patients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tests — Damage awards — Injury and death — General damage awards — Pain and suffering, loss of amenities and other nonpecuniary damages.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97" w:name="Case Summary_10"/>
            <w:bookmarkEnd w:id="9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Drage against several doctor and a hospital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Drage had an ultrasound test which was interpreted by the defendant radiologist Pon and the report forwarded to Drage's family physician, the defendant Page. Page received the report and informed Drage that the report indicated that she had pancreatic cancer. It was soon discovered that the report was not in fact Drage's, but was that of another person. The reports had been transcribed and the wrong report had been sent to Page. The transciptionist testified that she heard two reports in succession, dictated by Pon, one for an abdominal ultrasound and one for a renal ultrasound. The stenographer testified that normally where there was a question as to identity, she would consult with the radiologist to straighten the problem out. However, here she assumed that the reports were together for the same patient. Pon denied liability, citing the hospital policy that transcribed reports were not reviewed by radiologists prior to being sent to doctors. Drage sued Page, Pon and the hospital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claiming that the report had caused her extreme trauma and grief. Drage claimed damages in the range of $30,000 to $120,000. </w:t>
            </w:r>
            <w:r>
              <w:rPr>
                <w:lang w:val="en-US" w:eastAsia="en-US" w:bidi="ar-SA"/>
              </w:rPr>
              <w:cr/>
            </w:r>
          </w:p>
          <w:p>
            <w:pPr>
              <w:spacing w:before="120" w:line="260" w:lineRule="atLeast"/>
              <w:ind w:left="240"/>
              <w:jc w:val="both"/>
              <w:rPr>
                <w:lang w:val="en-US" w:eastAsia="en-US" w:bidi="ar-SA"/>
              </w:rPr>
            </w:pPr>
            <w:bookmarkStart w:id="98" w:name="Holdings of Court_7"/>
            <w:bookmarkEnd w:id="98"/>
            <w:r>
              <w:rPr>
                <w:rFonts w:ascii="arial" w:eastAsia="arial" w:hAnsi="arial" w:cs="arial"/>
                <w:color w:val="000000"/>
                <w:sz w:val="20"/>
                <w:lang w:val="en-US" w:eastAsia="en-US" w:bidi="ar-SA"/>
              </w:rPr>
              <w:t>HELD: Action allowed against the hospital.</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stenographer should have consulted with Pon where there was an irregularity in the printouts and a question as to the reports. This was the hospital policy, and there was a system in place to investigate irregularities in reports, which the stenographer had not followed. Therefore the hospital was negligent. However, Pon and Page were not negligent. They had met the requisite standard of care. General damages were awarded against the hospital in the amount of $10,000. </w:t>
            </w:r>
            <w:r>
              <w:rPr>
                <w:lang w:val="en-US" w:eastAsia="en-US" w:bidi="ar-SA"/>
              </w:rPr>
              <w:cr/>
            </w:r>
          </w:p>
          <w:p>
            <w:pPr>
              <w:rPr>
                <w:lang w:val="en-US" w:eastAsia="en-US" w:bidi="ar-SA"/>
              </w:rPr>
            </w:pPr>
          </w:p>
        </w:tc>
      </w:tr>
    </w:tbl>
    <w:p>
      <w:pPr>
        <w:jc w:val="both"/>
        <w:rPr>
          <w:lang w:val="en-US" w:eastAsia="en-US" w:bidi="ar-SA"/>
        </w:rPr>
      </w:pPr>
      <w:bookmarkStart w:id="99" w:name="Counsel_18"/>
      <w:bookmarkEnd w:id="9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3" style="position:absolute;z-index:2517288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D.F. McCrimmon, for the plaintiff. D.W. Pilley and M.G. Thomas, for the defendant, Dr. Caroline Pon. R.J. Harper, for the defendant, the Chilliwack General Hospital Society.</w:t>
      </w:r>
      <w:r>
        <w:rPr>
          <w:lang w:val="en-US" w:eastAsia="en-US" w:bidi="ar-SA"/>
        </w:rPr>
        <w:cr/>
      </w:r>
    </w:p>
    <w:p>
      <w:pPr>
        <w:spacing w:after="240"/>
        <w:rPr>
          <w:lang w:val="en-US" w:eastAsia="en-US" w:bidi="ar-SA"/>
        </w:rPr>
      </w:pPr>
      <w:bookmarkStart w:id="100" w:name="Judgment_18"/>
      <w:bookmarkEnd w:id="100"/>
      <w:r>
        <w:pict>
          <v:line id="_x0000_s1104" style="position:absolute;z-index:25178009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01" w:name="TRUSCOTT J."/>
            <w:bookmarkEnd w:id="101"/>
            <w:r>
              <w:rPr>
                <w:rFonts w:ascii="arial" w:eastAsia="arial" w:hAnsi="arial" w:cs="arial"/>
                <w:b/>
                <w:color w:val="000000"/>
                <w:sz w:val="30"/>
                <w:lang w:val="en-US" w:eastAsia="en-US" w:bidi="ar-SA"/>
              </w:rPr>
              <w:t>TRUSCOTT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against the defendants for general damages for pain and suffering and loss of enjoyment of life, as well as for special damages of past wage loss and expenses. This claim is a result of advice she received from her family doctor, Dr. Page, in September, 1999, of the existence of pancreatic cancer or possible existence of pancreatic cancer, based on an abdominal ultrasound radiology report received by him that was stated to be for the plaintiff, but was in fact for another patient.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Although the error was discovered and the plaintiff advised within one day that the radiology report was not for her, she claims that the original misinformation to her had a devastating effect on her life for which she says the defendants are responsible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have denied liability.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Dr. Page received the misidentified radiology report from the Chilliwack General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Dr. Pon, a radiologist, had dictated the body of the report and she explained how she dictates radiology reports at the Chilliwack General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She explained that she receives an original requisition form for an x-ray or ultrasound, together with the corresponding film, and upon reviewing the film dictates her identification and the patient's name from the requisition and the nature of the examination, along with her interpretation of the film. She dictates a batch of reports which are transmitted directly to the transcription department of the Chilliwack General Hospital through a centralized dictation system. The requisition forms are delivered to the transcription department separately for the batch of reports, by hand, and the transcription department is responsible for marrying a requisition form to a dictation and then transcribing the report for that requisition.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If there are any questions or concerns from the transcription department about the dictation, including any question about the patient's name, she expects that the transcription department will send the transcribed report back to her for clarification.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system established by the Chilliwack Hospital is, that barring any question or concerns being expressed by the transcription department, the transcribed report is sent directly out to the doctor(s) requesting the report, without the report first being reviewed by the radiologist.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was Dr. Pon's evidence that the radiologist will get all the transcribed reports within a day or so but will have no way of knowing whether there is any question or concern from the transcription department about the reports unless it is drawn to her/his attention.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Because the transcribed reports go directly to the doctor(s) without the radiologist reviewing, in situations where there are no questions raised by the transcription department, and because the transcribed report carries the radiologist's name, in type, the radiologists, Dr. Pon included, insist that the report carry the warning, "DICTATED BUT NOT READ", under their typed name as well as the warning "REPORT NOT REVIEWED BY AUTHOR PRIOR TO DISTRIBUTION. CORRECTED REPORT WILL BE RE-DISTRIBUTED IF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Filed as an exhibit was an "electronic signature" policy of the hospital. Dr. Pon explained that this is not a policy approved by the radiologists and there is in fact no actual electronic signature system in place at Chilliwack General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Pon also explained that there can be a number of ways for an erroneous report to be produced, but if there is no requisition found for a report the situation must be clarified by the transcription department before the report can be sent out to any doctor.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misidentified radiologist's report attributed to the plaintiff was transcribed by a medical stenographer in the transcription department of the Chilliwack General Hospital, who gave evidence through her examination for discovery of October 23 and November 22, 2002, marked as an Exhibit.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her examination of October 23, 2002, the stenographer said that she always looks for a requisition first before transcribing a report and after printing out all the reports in a batch, matches them up with their requisitions. She was pretty sure a requisition for another patient, L, was the last requisition for the batch of reports she was transcribing. The plaintiff's requisition was immediately in front of it for a renal ultrasound with the word "abdomen" stroked out on the requisition, and she typed up the plaintiff's renal ultrasound report, and then heard dictation for an abdominal ultrasound report that she might have assumed was also for the plaintiff because she possibly did not hear any other patient's name for that ultrasound.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gave evidence that this last requisition for L was for an abdominal ultrasound but for which there was no dictation, and she returned the requisition to radiology with a note on it, "no dictation".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answer to a question as to whether it occurred to her that the abdominal ultrasound she had just typed for the plaintiff was supposed to be for this patient L, she allowed that it could very well have been but usually she goes back and listens to see if there is a name given and if she thought there was a mistake she would send both reports and requisitions back to radiology and ask the radiologist to figure it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was asked why she did not send both reports and requisitions back in this case and her answer was that she did not know and perhaps it was not the hospital policy at that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her subsequent examination of November 22, 2002, she clarified from another document that she likely typed the abdominal ultrasound report intended for L before the renal ultrasound report for the plaintiff, but in answer to the question as to how the plaintiff's name ended up on the abdominal report intended for L she said that all she could remember was that there was a requisition for L and she put a sticky note on it indicating "no dictation", and sent it back to radiology.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fact is that not only did the stenographer end up with one extra requisition for the patient L for an abdominal ultrasound, with no dictation applicable to it that she could identify, she also attributed two ultrasound reports to the plaintiff, one for a renal ultrasound as requisitioned for the plaintiff and the other for an abdominal ultrasound for which there was no requisition for the plaintiff. This abdominal ultrasound intended for the patient L contained the reference to a suspicion of a small mass in the head of pancreas that caused Dr. Page to inform the plaintiff of the possibility of cancer.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gave evidence that Dr. Page told her that it was cancer and not just that it could be cancer. Dr. Page gave evidence that he only told her of the possibility of cancer and according to the evidence of Dr. Anderson and Dr. Vallance in their reports, the plaintiff told them that she was only advised of the possibility of cancer.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conclude that Dr. Page only told the plaintiff it could be cancer as a possibility although, as explained later in these reasons, I do not believe that the difference is of any significance to the effect on this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Both of these situations together of no apparent dictation for the requisition for an abdominal ultrasound for the patient L and in the same batch two dictations for the plaintiff, one of them being for an abdominal ultrasound for which there was no requisition for her, should have resulted in the stenographer sorting out the confusion with Dr. Pon before any dissemination of the abdominal ultrasound report attributed to the plaintiff, to Dr. Page. Instead the hospital sent out the abdominal ultrasound report for the plaintiff to Dr. Page without questioning Dr. Pon first, leading to the plaintiff's shock and trauma of being told of possible cancer.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the hospital argues that mistakes can happen in any system and just because mistakes happen does not mean the hospital has been negligent by sending the abdominal ultrasound report to Dr. Page before checking with Dr. Pon.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While the principle is true that an error in judgment is not necessarily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is in my opinion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send out the abdominal ultrasound report for the plaintiff to Dr. Page when there was no requisition for that report for the plaintiff, and when there was an extra requisition for an abdominal ultrasound report in the same batch for the patient L that should have been investigated before the dissemination of the abdominal ultrasound report to Dr. Page.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hold the hospital negligent for sending out the abdominal ultrasound report to Dr. Page under the name of the plaintiff in these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Counsel for the hospital submits that if the hospital has any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Dr. Pon was also contributarily negligent by either not dictating the name of the patient L for the abdominal ultrasound report or not clearly doing so, so that the transcription department would know that the abdominal ultrasound report was referable to that patient and not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can only be an inference at best because there is no direct evidence as to whether Dr. Pon failed to give the patient name of L to the abdominal report or state it clearly.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What is in evidence, however, is that a system was in place at the hospital to check with the radiologist in case of any question or problem before a report is sent to a doctor and that procedure was not followed here where there should have been a question or problem raised with the existence of two reports for the plaintiff, one of which was not requisitioned, and no report to match to a requisition for the patient 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do not consider this to be a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Pon contributing to the plaintiff's loss, even if I were to draw the inference that she failed to state the name of the patient L clearly or at all, which inference I am not prepared to draw in any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Counsel for the plaintiff argues that the mere fact Dr. Pon's name appears on the abdominal ultrasound radiology report is enough to bring home liability to her. However, I do not agree with this proposition as the report itself clearly indicates to the recipient that Dr. Pon has not read the report nor reviewed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Page himself, the recipient, never gave any evidence of any reliance on Dr. Pon personally, for this report.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gave evidence of her reaction to the misinformation about her condition. She described her feelings of confusion, upset, fear, tears, sleeplessness and nightmares she experienced from receiving this information as well as feelings of depression and anxiety. She also described how she was required to take some liquid in preparation for a CT-scan which made her nauseated and which she claimed caused a rash and a foul odour. I do not accept that this liquid caused the plaintiff's rash or that there was any foul odour associated with it but I do believe this evidence demonstrates the mental effect of the information on the plaintiff. She had to go through the preparation for another CT-scan, and when the mistake was discovered in preparation, another ultrasound examination. She explained that her whole world was turned upside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Stephen Anderson, a practicing psychiatrist, prepared a report for the plaintiff on June 12, 2002, in which he described the history he took from the plaintiff and his review of medical records. His opinion set out that the plaintiff was emotionally traumatised by the misinformation in September, 1999, and likely developed post-traumatic stress disorder (PTSD) of mild to moderate severity as a result. His report stated that the plaintiff likely also had a worsening of her pre-existing depressive symptoms and probably developed a major depressive disorder by December, 1999, but that with appropriate counselling her emotional state improved within one year to the point where she likely returned to her pre-morbid level of emotional functioning.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However, he was also of the opinion that she would continue to be at increased risk of developing PTSD in future if exposed to further trauma.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had a long history of emotional difficulties as recited by Dr. Anderson in his report and as the plaintiff readily agreed with in her evidence. Dr. Anderson's opinion was that this history of anxiety and depressive symptoms made her more emotionally vulnerable to the news that she did or might have pancreatic cancer, leading to PTSD.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Anderson referred in his report and in his evidence at trial to a diagnosis of PTSD by Dr. Jones, a mental health consultant, in January, 2000, and his agreement with that diagnosis. This report of Dr. Jones dated January 18, 2000, indicated that Dr. Jones formulated only a provisional diagnosis of PTSD.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follow-up report of Dr. Jones dated January 4, 2002, did not include any opinion of PTSD. It simply stated that he thought the plaintiff might be suffering from post traumatic stress and offered the opinion that her anxiety was made worse by the alleged misdiagnosis.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Anderson said in his evidence at trial that the plaintiff did not have PTSD when he saw her and that Dr. Jones' opinion was a significant factor in his own opinion, such that if Dr. Jones had ruled out PTSD then he also would have ruled it out and agreed with the opinion of Dr. Vallance, the psychiatrist who prepared a report for the defendant Dr. Pon. Dr. Vallance offered the opinion that the plaintiff did not suffer from PTSD. However, since Dr. Jones did not rule out PTSD, Dr. Anderson considered that this supported his own opinion of PTSD.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his evidence at trial Dr. Anderson also suggested in some ways the plaintiff may be more stable now than she was in September, 1999, because of the therapy she received after that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qualified his written opinion somewhat that the plaintiff developed a major depressive disorder as a result of the September, 1999, incident by suggesting that she may have only suffered a worsening of her depressive symptoms. He agreed if she had suffered a major depressive disorder he would have expected that she could not have functioned at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also agreed that the plaintiff was at chronic risk of developing a significant depression and PTSD even if this incident had not occurred, but the incident put her further at risk.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His overall view was that he and Dr. Vallance were essentially saying the same thing that the September, 1999, incident caused an exacerbation of the plaintiff's pre-existing conditions but there were no long term emotional difficulties from the incident. The difference was that he thought she had a diagnosis of PTSD while Dr. Vallance was of the view that those symptoms were clearly of pre-existing panic disorder with agoraphobia and depression.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Vallance's report was dated July 22, 2002, and he gave evidence at trial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was of the opinion that the plaintiff had not developed PTSD after the September, 1999, incident but had suffered an exacerbation of her pre-existing anxiety and depression because of the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described the incident as being, "clearly decidedly traumatic" for the plaintiff and "the impact was particularly significant in her case given her pre-existing problems and the particular circumstances of her life, such as in having a dependent 26-year-old son with serious psychological and physical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also was of the opinion that even if the plaintiff had only been told it was a possibility of cancer instead of that it was in fact cancer, that would equally have been clearly traumatic for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his opinion the plaintiff had to deal with the shock of the experience itself and concerns about the future of her son if she did have the cancer, and she became even more protective of him with the recurrence of panic attacks and features of depression as she had had at other times of stress.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However, he was of the opinion that she did not develop any new condition such as PTSD but only that she suffered an exacerbation of her anxiety and depression.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his view as well she is likely better now or at least as good as she was prior to the September, 1999, incident because of the therapy she has received.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view the therapy likely exposed many of her pre-existing problems which had been suppressed by denial, causing its own stresses and exacerbation of pre-existing symptoms, but leading to a greater awareness of her pre-existing problem and ultimate improvement.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prefer the opinion of Dr. Vallance that the plaintiff did not sustain any new condition of PTSD, over the opinion of Dr. Anderson. I think Dr. Anderson relied too heavily on what he thought was a diagnosis of PTSD by Dr. Jones for this own opinion of PTSD, when there was no such final opinion by Dr. Jones.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However, I have also concluded that for the most part it is not of any material significance as to whether the plaintiff did or did not sustain any new condition of PTSD because both psychiatrists were of the opinion that the plaintiff has suffered but has returned to her pre-morbid emotional state at least, if not improved from that. Both psychiatrists set out in some detail the complaints made by the plaintiff and have accepted those complaints as genuine.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Anderson was of the opinion that the plaintiff is at increased risk of developing PTSD if exposed to further significant trauma but he also allowed that she was at risk of developing PTSD prior to the September, 1999, incident. Since I have concluded that the plaintiff did not sustain any new condition of PTSD, I cannot accept that the incident has made her any more vulnerable to developing that condition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Anderson was of the view that the effects lasted approximately one year after September, 1999, while Dr. Vallance never put a time limit on the exacerbation that he accepted occurred as a result of the September, 1999,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Vallance was of the opinion that the plaintiff improved substantially with treatment which on the evidence ended in about March, 2001, and by the time of his examination in June, 2002, was likely better or at least as good as she was prior to the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Anderson's opinion of a one year period of emotional problems from the September, 1999, incident would end about September, 2000, or approximately one-half way through the plaintiff's therapy. In my opinion this is an appropriate point in time to use to determine the conclusion of the exacerbation of the plaintiff's pre-morbid problems as a result of the September, 1999, incident, for the purpose of determining the value of her claim. Both counsel for the plaintiff and counsel for the Hospital submitted that a one year period of time was an appropriate time period to accept.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for the plaintiff submitted that the appropriate range of damages would be between $30,000 and $120,000 and he relied on a number of cases within that range. On my review of these cases however, they all deal with far more serious injuries than the plaintiff has suffered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Counsel for the Hospital cited two cases of nervous shock, each lasting approximately six months, for which awards of $4,000 to $6,000 were made, and submitted that these awards were more appropriate for the plaintiff, describing the plaintiff's injury as a mild aggravation of her pre-existing anxiety disorder and depression.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prefer the description of Dr. Vallance from his report of how the incident caused an exacerbation of the plaintiff's pre-existing anxiety and depression and how it affected her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Over a period of one year I assess the plaintiff's general damages at $10,000.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will have judgment against the Chilliwack General Hospital Society for general damages in the amount of $10,000, for agreed wage loss of $750, and for special damages for counselling in the amount of $400, as suggested by counsel for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claim against Dr. Pon will be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TRUSCOTT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231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7" w:history="1">
        <w:r>
          <w:rPr>
            <w:rFonts w:ascii="arial" w:eastAsia="arial" w:hAnsi="arial" w:cs="arial"/>
            <w:b/>
            <w:bCs/>
            <w:i/>
            <w:color w:val="0077CC"/>
            <w:kern w:val="32"/>
            <w:sz w:val="28"/>
            <w:szCs w:val="32"/>
            <w:u w:val="single"/>
            <w:shd w:val="clear" w:color="auto" w:fill="FFFFFF"/>
            <w:lang w:val="en-US" w:eastAsia="en-US" w:bidi="ar-SA"/>
          </w:rPr>
          <w:t>Elzinga v. Sharpe, [2019] B.C.J. No. 358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Basran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25-28 and October 1-5,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M25727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Cranbrook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358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2019 BCSC 314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Frank Elzinga, Plaintiff, and Lloyd Sharpe,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(226 paras.)</w:t>
      </w:r>
    </w:p>
    <w:p>
      <w:pPr>
        <w:jc w:val="both"/>
        <w:rPr>
          <w:rFonts w:ascii="arial" w:eastAsia="arial" w:hAnsi="arial" w:cs="arial"/>
          <w:sz w:val="20"/>
          <w:lang w:val="en-US" w:eastAsia="en-US" w:bidi="ar-SA"/>
        </w:rPr>
      </w:pPr>
      <w:bookmarkStart w:id="102" w:name="Counsel_19"/>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6"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 Rogers, J. Mitchell.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 Howard.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3" w:name="Judgment_19"/>
      <w:bookmarkEnd w:id="103"/>
      <w:r>
        <w:pict>
          <v:line id="_x0000_s1107" style="position:absolute;z-index:251729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Elzinga's Pre-Accident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Elzinga's Drywalling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 Accident Effects and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Post-Accident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Post-Accident Ranch Maintenance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Elzinga's Current Status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Post-Accident Plans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Family Witnesses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Mrs. Elzinga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Frankie Hols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Casey Elzinga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Adam Hols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Lay Witnesses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Daniel Pelletier - Site Supervisor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Michael Haslam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Treatment Professionals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Palermo - Massage Therapist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Spencer - Physiotherapist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Medical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Rickards- Orthopaedic surgeon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John le Nobel - Physiatrist/Rehabilitative Medicine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Sylvester - Orthopaedic Surgeon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Lyanne Vaughan - Occupational Therapist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Theresa Reichert - Economic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to Mitigate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Non-pecuniary Award</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Stoneson v. Testa Estate</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2015 BCSC 1549</w:t>
        </w:r>
      </w:hyperlink>
      <w:r>
        <w:rPr>
          <w:rFonts w:ascii="arial" w:eastAsia="arial" w:hAnsi="arial" w:cs="arial"/>
          <w:color w:val="000000"/>
          <w:sz w:val="20"/>
          <w:lang w:val="en-US" w:eastAsia="en-US" w:bidi="ar-SA"/>
        </w:rPr>
        <w:t xml:space="preserve"> - $100,000.00</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Odian v. Carriere</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2016 BCSC 112</w:t>
        </w:r>
      </w:hyperlink>
      <w:r>
        <w:rPr>
          <w:rFonts w:ascii="arial" w:eastAsia="arial" w:hAnsi="arial" w:cs="arial"/>
          <w:color w:val="000000"/>
          <w:sz w:val="20"/>
          <w:lang w:val="en-US" w:eastAsia="en-US" w:bidi="ar-SA"/>
        </w:rPr>
        <w:t xml:space="preserve"> - $100,000.00</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Leach v. Jesson</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2017 BCSC 577</w:t>
        </w:r>
      </w:hyperlink>
      <w:r>
        <w:rPr>
          <w:rFonts w:ascii="arial" w:eastAsia="arial" w:hAnsi="arial" w:cs="arial"/>
          <w:color w:val="000000"/>
          <w:sz w:val="20"/>
          <w:lang w:val="en-US" w:eastAsia="en-US" w:bidi="ar-SA"/>
        </w:rPr>
        <w:t xml:space="preserve"> - $110,000.00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4" w:name="BASRAN J."/>
            <w:bookmarkEnd w:id="104"/>
            <w:r>
              <w:rPr>
                <w:rFonts w:ascii="arial" w:eastAsia="arial" w:hAnsi="arial" w:cs="arial"/>
                <w:b/>
                <w:color w:val="000000"/>
                <w:sz w:val="30"/>
                <w:lang w:val="en-US" w:eastAsia="en-US" w:bidi="ar-SA"/>
              </w:rPr>
              <w:t>BASRAN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afternoon of May 23, 2013, the plaintiff, Frank Elzinga, was stopped on the highway on his drive home from work when he was rear-ended by the defendant, Lloyd Sharpe (the "Accident"). Mr. Sharpe was travelling at approximately 100 kilometres per hour. This moment changed Mr. Elzinga's life dramatically. Mr. Sharpe admits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Elzinga seeks an assessment of damages for the injuries he suffered in the Accident. Specifically, he is seeking non-pecuniary damages, compensation for loss of past and future earning capacity, loss of housekeeping capacity, costs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Sharpe disagrees with the nature, extent, and impact of Mr. Elzinga's injuries. He admits that Mr. Elzinga is entitled to some damages, but challenges the claims for each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Elzinga's Pre-Accident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Elzinga is currently 57 years old. On the date of the Accident, he was 52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Elzinga is a self-described cowboy and loves the outdoors. Throughout his life, he has pursued a vast number outdoor hobbies, including hunting, fishing, and raising and riding horses. He began participating in rodeos during elementary school and continued to do so until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Elzinga did not finish high school. Starting at the age of 14, he began working as a drywaller. He continued drywalling until approximately 1984 when he became a West Coast faller, which involved cutting down large trees in remote forests. Despite its dangerous and demanding nature, Mr. Elzinga enjoyed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1990s, Mr. Elzinga returned to drywalling and, over the next decade, he worked as either a self-employed drywaller or a West Coast faller, depending on which occupation offered better economic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Elzinga met his wife, Rhonda Elzinga, at a rodeo in the early 1980s and they married in 1983. The couple have two children: a daughter, Frankie, and a son, Casey. Frankie is married to Adam Hols, and they have a son. Adam works alongside Mr. Elzinga in the drywalling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Elzinga is a self-made and self-sufficient man. After getting married, he and Mrs. Elzinga purchased an 11 acre property on Vancouver Island. He cleared and stripped the undeveloped, heavily treed property and built a 900-square foot barn with a loft. Along with his wife, he lived in this barn for seven years until the property was paid off. He also built a house, a horse shed, a chicken coop, a riding arena, and a playhouse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and Mrs. Elzinga share a lifelong passion for horses and rodeos. Before Frankie was born, Mr. Elzinga regularly hunted, trained and rode horses, and participated in amateur rodeos, where he wrestled steer and rode bulls and bareback horses. He stopped riding bulls after Frankie was born and he stopped riding bareback horses when Casey was born five years later. He wrestled steer until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addition, Mr. Elzinga cares for a number of horses, which involves "breaking" and training them. This requires a great deal of physically demanding work including feeding the horses twice a day, shoeing their feet, saddling, and bridling the horses. Prior to the Accident, Mr. Elzinga would stack and haul ten loads of 160-190 bales of hay every year to feed his horses. Each bale weighs 70-80 lbs. and he stacked them to a height of eight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over 30 years, Mr. Elzinga has shoed horses, which involves holding a horse's foot while cleaning it, nailing a shoe into it, and then trimming it. This process is particularly difficult with younger horses. Mr. Elzinga describes this as one of the hardest, yet most important tasks involved in maintaining and caring for horses.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his children were born, Mr. Elzinga continued his active lifestyle which included riding and raising horses. He often organized family fishing trips to secluded lakes and he continued to participate in amateur rodeos.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2003, the Elzinga family moved from Duncan, British Columbia to Nanton, Alberta where they bought an 80 acre parcel of undeveloped land. Mr. Elzinga is deeply devout and believes that God instructed his family to make this move which put them closer to competitive rodeo circuits where Mrs. Elzinga could pursue barrel racing. While living in Alberta, Mr. Elzinga quickly developed a good reputation as a hard working and conscientious drywaller. During the following three years, Mr. Elzinga did drywalling work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2006, the Elzinga family moved back to British Columbia where they bought a 149 acre parcel of undeveloped land, 20 kilometres east of Cranbrook. The property was subdivided and the Elzinga family moved onto a 57 acre parcel that became their ranch. Again by himself, Mr. Elzinga built a 2,400 square foot home, a 1,200 square foot attached garage, a 20' x 50' hay shed, two outbuildings, a 120' x 200' riding arena, a training pen, a dog run, and a chicken coop.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ranch was perfectly suited to Mr. Elzinga's lifestyle and interests. Prior to the Accident, he was able to ride horses and quad vehicles over long distances for many hours at a time. However, the ranch requires significant maintenance, including the daily grooming of the riding arena, building and mending of fences, and snow removal during the winter. Prior to the Accident, Mr. Elzinga did all of the outdoor work, while Mrs. Elzinga did most of the indoor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Elzinga maintained a very active lifestyle that included raising, training, and riding horses, elk and cougar hunting, barrel racing, and team roping of steers at rodeos. He also enjoyed fishing and cross-country skiing. On the weekends, he prospected for gold, which involves using pans, shovels, and picks to sift through large volumes of dirt and rock in remote areas of the bush. When asked how he found the time to do all of these activities, Mr. Elzinga said that, combined with the extensive construction and maintenance of the family ranch, this was a way of life that he was passionate about. Despite his hobbies and recreational activities being physically demanding, he thoroughly enjoyed all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Before the Accident, Mr. Elzinga had no medical problems whatsoever and, in the five years prior, had only once seen a doctor for a minor ear issue. He had no physical limitations, including no back pain. He sustained an injury to his anterior cruciate ligament in 2005, but recovered and resumed all of his physical activities without limitations. He considered himself to be in peak physical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Elzinga's Drywalling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Elzinga operates his drywalling business as a sole proprietorship and works with several building contractors involved in residential construction. He bids for contracts and does some of the other general administrative work for the business. The bookkeeping is done by his daughter, Frankie Hols.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Having worked in drywalling for over 40 years, he is both experienced and proficient at this physically demanding work. Because of his strong reputation among building contractors, and given the number of unreliable workers in the trade, Mr. Elzinga has never been short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Before the Accident, Mr. Elzinga and Adam did all the drywalling work themselves. Drywalling involves two aspects of work: "boarding" and "mudding and taping", both of which are physically demanding. Boarding requires lifting and installing sheets of drywall on the frame of the building. Mudding and taping involves connecting edges of the drywall sheets to fill in gaps and taping the seams to create a consistent surface. Mr. Elzinga enjoyed the physical challenge of boarding more than taping and mudding. Overall, he found it satisfying to work with his hands and was proud of the work he did. Mr. Elzinga has no desire to expand his business because it is difficult to find dependable and responsible drywallers.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May 23, 2013, Mr. Elzinga was driving his Dodge truck home after spending the day prospecting for gold. As he approached his ranch, he slowed and came to a stop along Highway 393, waiting to turn left into his driveway. While waiting for oncoming traffic to pass, a small green sedan approached from behind and then began to pass him on the right side. Behind the green sedan, he observed a large pickup truck approaching at full highway speed. Mr. Elzinga realized that the truck was approaching too quickly and braced for impact. Mr. Elzinga's vehicle was forcefully struck from behind slamming him forward and then back. His vehicle moved a full vehicle length while the foot brake was fully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vehicle that struck Mr. Elzinga was a new Chevrolet pickup truck driven by the defendant, 87 year old Lloyd Sharpe. The airbags deployed on Mr. Sharpe's vehicle. The OnStar system activated and asked Mr. Sharpe if there had been an accident and if the police were required on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Accident caused $15,000 worth of damage to Mr. Elzinga's truck, including serious damage to the driver's side box of the truck, the cab, and the driveshaft. There was a three to four inch tear in the driver's seat foam caused by the force of Mr. Elzinga being slammed forward then back. Mr. Sharpe's vehicle, which was only eight months old, was written off as a result of the severe damage to its body and engine.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police arrived on scene and ticketed Mr. Sharpe for failing to yield. They repeatedly asked Mr. Elzinga if he was okay, and he replied that he was fine. The police told him that he might feel worse in a few days.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 Accident Effects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Accident occurred in the afternoon. Mr. Elzinga testified that he felt fine for the remainder of that day. He spoke to his wife and children about his good fortune, and praised God for having survived a 100 km/hr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day following the Accident, Mr. Elzinga recalls feeling stiff and likened the sensation to how he feels after being bucked off a horse. He did not do any physical activity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Saturday, May 25, 2013, he attended a barrel race, but did not participate in any rodeo activities because of soreness in his neck. He was able to walk around the rodeo grounds but he felt stiff.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following morning, May 26, 2013, Mr. Elzinga woke to the most excruciating pain he had ever experienced. He likened it to being squeezed by a grizzly bear and indicated that he felt "done" and "dead to the world". He made an appointment to see his physician the following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Monday, May 27, 2013, Mr. Elzinga's family physician, Dr. Van Rensburg, diagnosed him with severe whiplash, and recommended physiotherapy and massage therapy. Mr. Elzinga began physiotherapy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Throughout the following week, Mr. Elzinga felt like he had been run over by a truck and was unable to get comfortable in any position. He suggested that if someone had stabbed him in the leg, he would not have noticed because of the severe pain he was experiencing in his neck, shoulders, and back. He was unable to work as a result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For the rest of 2013, Mr. Elzinga experienced serious neck, shoulder, and lower back pain, as well as some tingling in his fingers. Although he continued to receive physiotherapy and massage therapy, he found these treatments to be minimally effective in alleviating his symptoms. He also attended six sessions with a kinesiologist, but also found this treatment to be ineffective.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Elzinga continued physiotherapy and massage therapy until June 21, 2013 when he returned to work. He testified that that he had not fully recovered by this time, but felt compelled to return to work due to financial responsibilities owed to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Although Mr. Elzinga cannot recall when he told Dr. Rickards, an orthopaedic surgeon, that his lower back pain started, he clearly remembers discussing this with his massage therapist, Suzann Palermo, whom he visited on June 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March 2015, Mr. Elzinga began working with an occupational therapist, Shelby Herman. Over the next ten months, he did a stretching and core conditioning program that provided him with exercises he could do on his own. Mr. Elzinga did these exercises periodically as he felt necessary. He did not do them regularly because his work and recreational activities often provided sufficient physical exertion.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2016, Mr. Elzinga was examined by Dr. le Nobel who advised him to try using an abdominal band, referred to as an "abdominal pressure garment", and a device called a "transcutaneous nerve simulation" to address his pain symptoms. Neither of these suggestions had any impact on Mr. Elzinga's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2017, Mr. Elzinga was reassessed by Ms. Herman, as well as a personal trainer. They both advised him to continue to continue doing the stretching and exercise program recommended by Ms. Herman and avoid boarding.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Mr. Elzinga initially returned to work, for the first few weeks his work was limited to taping the drywall at waist level. He was only able to work for a few hours each day before going home to rest. After four to six weeks, Mr. Elzinga gradually returned to drywalling full-time. He continued to feel pain, but wanted to remain positive and work through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Elzinga testified that a significant part of his faith is based on a belief in the power of positive thinking. In other words, by thinking and speaking positively, positive things will happen. This belief motivated his desire to work through his pain in hopes of alleviating his symptoms and getting through the work days. Although he was prescribed stronger medication for his pain, Mr. Elzinga instead took large amounts of Tylenol when working because he wanted to avoid the side effects of stronger medication on his digestive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From June 2013 to April 2015, Mr. Elzinga performed all of the major tasks involved in drywalling, including boarding. However, Mr. Elzinga testified that after boarding for two days, he was usually in pain on the third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July 2014, Mr. Elzinga's doctor, and later his occupational therapist, advised him to stop boarding. As a result, Mr. Elzinga hired contractors for the boarding work that he had difficulty doing. He found it hard to find reliable workers to do the boarding, as they often arrived late, did not come when expected, and/or the quality of their work was not up to Mr. Elzinga's standards. Eventually, Mr. Elzinga found Gary Postma, who has replaced Mr. Elzinga in doing the boarding work. Mr. Elzinga continues to do the taping and mudding.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evident that Mr. Elzinga is frustrated by his inability to perform all of the tasks involved in his drywalling business. He takes pride in his work and he is used to doing all aspects of it proficiently for over 40 years. He notes that his business has decreased in efficiency and he expressed frustration at having to wait, sometimes for days on end, while contractors do the boarding work. This frustration is further aggravated by the additional time Mr. Elzinga spends taping and mudding because the boarding is often not completed to his exacting standards. Paying contractors for the boarding has significantly increased his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 table presented by a joint expert, Ms. Reichert, displays Mr. Elzinga's drywall business' labour expenses as a percentage of revenue. The table indicates that this percentage remained stable from 2010 to 2014 and then rose markedly in 2015 to 2017. Mr. Elzinga submits that the efficiency of his business declined earlier than 2015. He points to his changes in work post-Accident to demonstrate that his work was less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After the Accident, Mr. Elzinga's recreational activities changed significantly. When hunting, he is no longer able to track elk or cougars for several hours at a time and, even if successful, he is unable to carry the 300-400 lbs. of meat out of the bush. He continues to hunt but at a lesser intensity than before the Accident. He is careful to "play it safe" and is no longer able to climb trees or carry dogs up steep cliffs as he used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one occasion, Mr. Elzinga declined an invitation to go sheep hunting due to his physical limitations. This was difficult for him to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addition, because of his soreness and injuries sustained in the Accident, Mr. Elzinga no longer participates in team steer roping, which is considered by rodeo enthusiasts to be an older man's sport. He had hoped to continue this activity for many years to come, as it enabled him to continue socializing with other cowboys. Mr. Elzinga also prospects for gold much less frequently than he used to, as he is no longer able to move large stones and boulders, is unable to dig, and finds bending over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evident that Mr. Elzinga continues to pursue his recreational activities because they are integral to his identity as a cowboy and his enjoyment of life. He loves being outdoors with animals and enjoys training hound dogs to hunt, an activity that he as done since he was 13 years old.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Ranch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also evident that Mr. Elzinga's symptoms have affected his ability to maintain his property and the ranch. Post-Accident, Mr. Elzinga's children and son-in-law assist him with the physically demanding work that he used to do himself. He finds it frustrating to have to plan his work instead of simply doing what needs to be done. For example, before the Accident, he was able to chop and stack firewood whenever he needed it, but now Casey and Adam must assist him with this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Despite his limitations, Mr. Elzinga is able to do some physical tasks required for the maintenance of the ranch, including pounding fence posts. Mr. Elzinga is able to ride horses and train them, but not to the same extent as before the Accident. In particular, it is considerably more difficult for him to shoe horses. It takes twice as long as before and he often requires his wife's assistance. He recently hired a farrier to shoe Mrs. Elzinga's barrel racing horses. Mr. Elzinga continues to shoe his trail horses before taking them hunting in the fall, as these horses are older and usually easier to shoe.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August 2015, along with other family members, he picked up, loaded and unloaded 180 bales of hay weighing 60 to 70 lbs. each. Unlike his usual practice, Mr. Elzinga loaded and unloaded the hay, but did not stack it due to his physical limitations.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Elzinga's Current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Currently, Mr. Elzinga's pain symptoms can be aggravated by packing mud while drywalling or simply bending over. He noted that the taping process hurts more often than it used to. He describes the periodic pain flare ups as being akin to a fork being plunged into his neck or back. In the summer of 2018, he tweaked his back while lifting a 50 lb. bag of supplies and attended massage therapy after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Elzinga believes that his pain has affected his relationship with his wife. He is grumpier and believes that he is no longer the man he once was. While Mrs. Elzinga and his children take care of him, he is a proud, self-made man and wants to remain as self-sufficient as possible.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was Mr. Elzinga's plan to work until age 70, at which time he would turn the drywalling business over to Adam. However, Mr. Elzinga no longer believes this is possible because of the Accident and the pain he is experiencing. He does not have retirement savings or a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and Mrs. Elzinga have considered a number of options to generate income, including subdividing their property and selling the portion on which the house resides. This would require possibly building a new smaller house on another part of the property, but Mr. Elzinga is wary about his ability to do the construction work, including the framing and roofing, which he was able to do in the past. Mrs. Elzinga has offered to reduce or stop barrel racing which would enable them to sell all or most of their horses, but he does not want her to give up her passion. They both love horses and the prospect of not having any moves this proud and strong man to tears.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summary, from the time of the Accident until the present, Mr. Elzinga has done as much as he physically can in regards to his work, the maintenance of his ranch and his recreational activities. The symptoms that affect him the most are his back and neck pain. I note that he describes his back pain as being five times more frequent than his neck pain. Mr. Elzinga enjoys drywalling and is grateful that he is able to do this physical work, which keeps him in shape and indoors. He realizes that he is going to have to change his plans for the future, but he is determined to remain as active as possible. Mr. Elzinga is certain that the Accident is the cause of his pain, as he did not have back pain prior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Family Witnesses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Mrs. Elzinga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 number of Mr. Elzinga's family members testified at trial, including his wife. Mr. and Mrs. Elzinga have been married for 33 years and have lived together since she was 19 years old. Mrs. Elzinga described their shared passion for horses and rodeos. Until last year, she was a competitive barrel racer.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Mrs. Elzinga explained that before the Accident, she did the inside housework, while Mr. Elzinga did the more physically demanding chores associated with raising the horses and maintaining the ranch, including loading and unloading hay, shoeing horses, breaking colts, moving fence panels, and building structures on their property, including a barn and their house. Mrs. Elzinga also did the bookkeeping for the drywall business until 2008 when Frankie, took over this role. She continues to do some light work for the business, including banking and picking up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Mrs. Elzinga's evidence regarding the Accident and the days following is entirely consistent with Mr. Elzinga's evidence. She noted that on the day of and the day after the Accident, Mr. Elzinga did not have any notable symptoms. On the third day, she agrees that he woke up in serious pain throughout his neck, shoulders, and back and he also had a serious headache. Over the following days, Mr. Elzinga was unable to do much and found it difficult to find a pain free position. He was unable to work or complete tasks around the ranch due to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Prior to the Accident, Mrs. Elzinga described her husband as a happy go lucky man with boundless energy and enthusiasm. His lifestyle was "go go go" and she noted that he would typically return to the house from the end of a long day at nightfall. She testified that it was not unusual for him to work a full day, then feed the horses, shoe two horses, and ride a colt. By contrast, she notes that since the Accident, Mr. Elzinga is no longer as full of life, physically capable, and fun loving as he once was. He does not stay out until dark and needs to rest much more frequently than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Mrs. Elzinga sees the pain that Mr. Elzinga endures and does not want him to further injure himself. She can tell he is in pain because of the discomfort on his face and how stiffly he walks. His pain flare ups occur once every week or two, the most recently being within the past week, and his back can flare up over something as simple as getting up from a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Since the Accident, the Elzingas have made a number of changes in how they manage the ranch, including how they feed the horses. Mr. Elzinga used to spearhead the loading, unloading, and stacking of 60-70 lbs. bales of hay that were used to feed the horses. Since the Accident, he is unable to do this physical work so they now move the large 1,100 lbs. bales by tractor. Another significant difference is that prior to the Accident, Mr. Elzinga always had a number of projects underway, for example building structures and new fences, landscaping, and moving panels in the pen and riding arena. However, after the Accident, he has not undertaken any new projects or made improvements to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Earlier this year, Mrs. Elzinga quit barrel racing because she believes that the work involved in training and keeping barrel racing horses is too hard on her husband. Although he tried to take over the training of one of the horses, he was forced to stop because the rigours of riding a horse at high speeds combined with the sharp torqueing turns inherent in barrel racing were too hard on his back. She also confirmed that Mr. Elzinga has not roped steer since the Accident and rarely prospects for gold because of his back pain. She believes that Mr. Elzinga will keep trying to do these tasks because he pushes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Mrs. Elzinga confirms that they now have eight horses. They consist of three hunting horses, a retired barrel racing horse, and four other active barrel racing horses. She confirms that less shoeing is required now that she is no longer barrel 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Elzingas had not discussed their retirement plans. Mrs. Elzinga testified that she never imagined a day when Mr. Elzinga would not work. Since the Accident and after observing how much pain her husband is in, she has proposed several options, including selling the ranch and moving to a smaller house in order to live more inexpensively. However, Mr. Elzinga has resisted these ideas because of his love of horses and hound dogs, as well as the access to his preferred recreational activities.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Frankie Hols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Frankie Hols is Mr. Elzinga's daughter and the bookkeeper for his drywalling business. She, along with her husband Adam and their son, have lived in the basement suite of the Elzinga home since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Frankie has a fond recollection of her childhood with her father, which was full of outdoor adventures, including frequent fishing trips, hiking, and hunting. She described her father as the "keeper of the farm" and recounted the vast array of projects he undertook, including building an elaborate fort, complete with a door and roof, for her and her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Prior to the Accident, Frankie says her father was energetic and strong with no physical limitations. He loved the outdoors and rode horses, team roped steer, hunted, panned for gold, and worked full-time. He was extremely hard working and constantly moving, whether it was drywalling or working on projects at the ranch. His tenacity meant that his family members often had difficulty keeping up with his energy and enthusiasm.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Frankie first saw her father five days after the Accident and recalls that he was extremely sore, stiff, and hunched over. She was surprised to see him in this condition because in speaking with him shortly after the Accident, he said he was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According to Frankie, her father has had a difficult time since the Accident. His ability to work and enjoy the activities he loves is limited because of his back pain. Based on his experience with horses and their injuries, he believes that the best thing for his pain is movement, but his back problems persist. Frankie has also noticed a change in her father's demeanour, testifying that his inability to do the things he enjoys leaves him feeling grumpy, frustrated, and disappointed. She believes that he is aging quickly. Frankie has a three-year-old son who is extremely close to Mr. Elzinga. She notes that picking up and playing with his 30 lb. grandson takes a toll on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While Mr. Elzinga continues trying to do as much as he can on the ranch, he has increasingly required additional help over the past few years. In the coming weeks, Adam and Frankie plan to move into a new house they built approximately a 30 minute drive away from the Elzinga ranch. Because Mr. Elzinga rarely asks for help, Frankie tries to anticipate what needs to be done and to assist as required. Frankie worries that they will not be as available to help them as they have been in the past once they move to their new home.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Casey Elzinga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Casey Elzinga is Mr. Elzinga's 25 year old son. Like Frankie, Casey testified that throughout his childhood, his father never stopped moving and always had a project underway, whether it was building a shed, clearing land, or building a tree fort for him and his sister. He described how his father turned a raw piece of land into their home by clearing the land, fencing it, and building a garage, house, and other structures. Although he and Adam assisted, Mr. Elzinga did most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Casey described his father's passions for hunting and prospecting for gold. Mr. Elzinga would hunt with very little planning, and would simply pack a large amount of gear and muscle his way up mountains. When panning for gold, Mr. Elzinga was able to move large amounts of rock and use a pick and shovel to break them apart. He would then haul these rocks to the river in search of a few flakes of gold.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After the Accident, Casey noted that his father spent considerably more time planning his hunting. He used his horses to try to get as close as possible to the elk he was hunting and he spent more time clearing paths before hunting season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For several years, Casey drywalled with his father on a part-time basis. He describes his father as a very hard worker who took few breaks. In the first few months after the Accident, Casey noticed that his father was not able to lift large sheets of drywall by himself and worked on fewer ranch projects after his work day was done. Before the Accident, Mr. Elzinga used to pack more weight and move up hills faster than Casey, but this reversed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Between 2012 and 2016, Casey's hourly wage increased from $16 per hour to $45 per hour. Casey explained that his wage increased because he became more proficient at drywalling, and that he was paid similarly to other boarders who worked at the same speed. It was suggested to Casey that his father paid him more than other drywallers because of their relationship as father and son, which Casey denied. Mr. Elzinga does not strike me as someone who would give preferential treatment to anyone, including his son. It is worth noting that he paid his son $16 per hour when he began doing this work and only increased his pay as he became more experienced and, assumedly, more proficient at this type of work. In her testimony, Frankie confirmed that drywall subcontractors and employees were paid $30 to $70 per hour based on their efficiency.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Adam Hols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Adam is married to Mr. Elzinga's daughter, Frankie. The couple first met when they were teenagers and married in February 2007. The Elzinga and Hols families attended the same church in Duncan, BC. Adam lived at the Elzinga ranch from April 2007 until August 2008, when he and Frankie moved into their own house that he had built himself. They moved back into the Elzinga home in 2015 but intend to move to their own residence in the coming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Adam worked as a carpenter in Cranbrook until September 2007, but because of a lack of work, he began working with Mr. Elzinga full-time as a drywaller, and has done so ever since. They mostly work on projects together, but Adam occasionally does small renovation jobs on his own. Adam is a subcontractor and has always been paid directly by Mr. Elzinga, except for a period of time in 2014 and 2015 when the two of them worked in Calgary for Midwest Contracting.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Prior to the Accident, Adam worked alongside Mr. Elzinga drywalling. Adam testified that this was initially intimidating because Mr. Elzinga was quick and proficient at this type of work. However, Mr. Elzinga was patient with Adam's inexperience and "showed him the ropes" for drywalling.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Adam described Mr. Elzinga as extremely hard working and as someone who seemingly did not tire. They began work at 8:00 a.m. and worked straight until 4:30 p.m., with only a 30 minute break for lunch. Prior to the Accident, Adam confirmed that Mr. Elzinga completed all of the drywalling tasks himself, including boarding, mudding, and taping, with speed and proficiency. They did the drywalling on weekdays and worked on building the house after work until it was dark and on weekends. Adam assisted with the framing, roofing, insulation and carpentry.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Adam also confirmed that prior to the Accident, Mr. Elzinga had no physical limitations and was a "go, go, go" type of individual. I note that this is the exact characterization of Mr. Elzinga before the Accident that was used independently by several other witnesses. Further, Adam noted that Mr. Elzinga is not a complainer by nature and perseveres when he is in pain or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After the Accident, Adam says that Mr. Elzinga's work was limited by his pain. When he first returned to work, Mr. Elzinga was only able to function for one to two hours then needed to stop. Eventually, he returned to full-time work, but continued to have difficulty boarding. They eventually changed their boarding methodology such that they hung the large pieces of drywall together and then installed smaller pieces separately. Prior to the Accident, Mr. Elzinga was able to hang large pieces by himself, but after the Accident he needed help. Mr. Elzinga continues to be able to do taping but has not boarded for several years. Dallon Davis was hired to do the boarding during this period after the Accident, and had worked for Mr. Elzinga as recently as the week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Adam says that since the Accident, Mr. Elzinga has not been able to haul and lift bales of hay as he used to. Mr. Elzinga now stacks the bales that others lift and pass to him. This evidence is consistent with Mr. Elzinga's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Lay Witnesses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Daniel Pelletier - Site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Pelletier is a site supervisor for one of the two building contractors that Mr. Elzinga primarily works for. He has known and worked with Mr. Elzinga for approximately ten years and has supervised Mr. Elzinga's work on approximately 100 to 110 new homes over the years. He has frequently observed Mr. Elzinga's work,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Pelletier characterized Mr. Elzinga as one of the hardest workers he knows and as someone who is committed to the quality of his work. He described Mr. Elzinga as a "bull worker" with a great work ethic, who rarely stopped and often worked late to finish a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Pelletier's observations of Mr. Elzinga after the Accident were that he returned to work and tried to hang board but Mr. Elzinga was clearly in pain and accordingly worked at a slower pace than before the Accident. He marvelled at Mr. Elzinga's efforts to return to work and indicated that most others would not have done so. He witnessed Mr. Elzinga working through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Despite Mr. Elzinga's physical limitations, Mr. Pelletier continues to have the highest regard for Mr. Elzinga's work and says that he calls Mr. Elzinga whenever he needs a drywaller. He noted that their business relationship has not changed as a result of the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Michael Haslam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Haslam first met Mr. Elzinga when he was 12 years old in Duncan, BC, and they have been friends ever since. They share an interest in hunting and have gone hunting together many times. Mr. Haslam has also occasionally worked for Mr. Elzinga, including a five month period in Nanton, AB. Like many other witnesses, he described Mr. Elzinga as driven, hard working, and also used the phrase "go, go,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Haslam observed that Mr. Elzinga's ability to carry heavy weight has declined since his Accident. Mr. Haslam and Mr. Elzinga have hunted cougar and elk on many occasions. Although Mr. Elzinga is 18 years older than him, Mr. Haslam described Mr. Elzinga's tremendous stamina and determination. Mr. Elzinga used to be able to hunt elk or cougar and carry them out of the bush, but he is no longer able to do so because of his limited upper body strength. Mr. Haslam recalled that Mr. Elzinga used to be the first one out of the truck, making tracks knee deep in snow. It used to be challenging to keep up with him. Mr. Elzinga still takes his turn making tracks in fresh snow, but he is not as strong and agile as he used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concluding his testimony, Mr. Haslam indicated that Mr. Elzinga remains a mentally tough individual, but is not as physically capable compared to before the Accident. He notes that this has not been a gradual decline as a result of old age, but Mr. Elzinga's physical ability suddenly and sharply declined as a result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Treatment Professionals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Ms. Palermo - Massage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Palermo, a massage therapist, first saw Mr. Elzinga on June 3, 2013 in regards to the whiplash injury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treating Mr. Elzinga, she massaged his full back from above the hip line up to his neck and arms. She found that his lower back and upper neck were hypertonic, which means that these areas exhibited excessive muscular tension. The majority of her time was spent working on these two areas, as she noted that Mr. Elzinga told her that these areas were extremely painful and sensitive.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When she saw him several months later in November 2013, Mr. Elzinga continued to have pain in his lower back and in the muscles in his back side.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Mr. Spencer -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Spencer has practised physiotherapy in Cranbrook for 28 years. Mr. Elzinga was referred to him for a consultation arising out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Spencer assessed and treated Mr. Elzinga twice within the week after the Accident. During the second visit, he treated Mr. Elzinga's lower back to relax spasms. On June 5, 2013, Mr. Spencer again treated Mr. Elzinga's lower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Experts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Rickards-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Rickards is an orthopaedic surgeon. He diagnosed Mr. Elzinga with Facet Joint Syndrome, which continues to cause his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To alleviate Mr. Elzinga's symptoms, Dr. Rickards recommended Radio Frequency Ablation ("RFA"), which involves applying an electrical current to heat up a small area of nerve tissue. This process can decrease pain signals from that specific area and can provide pain relief of 75% or more. Dr. Rickards suggested this procedure for Mr. Elzinga's neck using laser therapy. Mr. Elzinga declined this treatment because he was worried about the associated risk of side effects and the lack of assurance that it would be effective. He says that he has seen a similar type of treatment administered to horses and on one occasion, it resulted in a horse breaking its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Rickards agreed that Mr. Elzinga did not exhibit any objective signs of an injury to his lower back aside from difficulty arching his back. Mr. Elzinga was able to raise his legs, which is a facet joint loading manoeuvre. Examinations of his shoulder and elbow were normal, and his range of motion in his cervical spine was within the functional range, but this is narrower than the normal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Rickards concluded that Mr. Elzinga was medically obese. Dr. Rickards used a weight of 211 lbs. to calculate Mr. Elzinga's body mass index in reaching this conclusion. Mr. Elzinga was weighed by medical practitioners ten times between March 2015 and July 2018, the lowest recorded weight was 178.5 lbs. and the highest was 211 lbs. The other eight occasions showed weights within the range of 190 to 202 lbs. Mr. Elzinga is very active and not obese in any sense of that word. Given Mr. Elzinga's physical abilities, I assume that the weight recorded by Dr. Rickards was either incorrect or an outlier.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Rickards confirmed that Mr. Elzinga advised him that notwithstanding his physically demanding occupation, he did not have lower back pain prior to the Accident. Dr. Rickards reviewed physiotherapist's records in which Mr. Elzinga reported this symptom five times in May, June, and October of 2013.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John le Nobel - Physiatrist/Rehabilitative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le Nobel diagnosed Mr. Elzinga with cervical and lumbar spinal and paraspinal pain, which is caused by strains and tears to the myofascial tissues, the soft and connecting tissues in the neck and back. He also diagnosed mechanical spinal pain, which is pain related to posture and movement. This type of pain is usually diagnosed by ruling out other sources of pain, such as an infection, tumour, fracture or something in the body cavity pressing on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le Nobel examined Mr. Elzinga for approximately three hours for his first report and slightly less for the second report. This included two and a half hours taking Mr. Elzinga's history and a half hour physical examination. Dr. le Nobel confirmed that he reviewed all of the relevant medical records in conducting his evaluation of Mr. Elzinga. In his second report, Dr. le Nobel did not specifically refer to mechanical spinal pain, but acknowledged that this is an appropriate description of what Mr. Elzinga is experiencing. He focused the second report on the microscopic mechanisms that are the source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With respect to Mr. Elzinga's inconsistent adherence to his home-based exercise program, Dr. le Nobel cautioned that doing exercise after working long hours risks further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le Nobel concluded that the Accident caused Mr. Elzinga's back pain. He points to Mr. Elzinga's inactivity between the time of the Accident and the onset of his back pain, which he reported to his physiotherapist eight days later. Interestingly, Dr. le Nobel believes that the team roping Mr. Elzinga did prior to the Accident may have been good for Mr. Elzinga insofar as the exercise kept him in good shape. Dr. le Nobel remarked that it was Mr. Elzinga's back pain that forced him to change his activities.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Sylvester -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Sylvester started conducting independent medical examinations ("IME") in early 2017. This trial was the first time he testified as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When examining Mr. Elzinga, Dr. Sylvester conducted what he described as a forensic review of all of the medical records provided to him, took a history from Mr. Elzinga, and performed a physical examination. He says that he spent one to one and a half hours assessing Mr. Elzinga, but Mr. Elzinga recalls the examination lasting for about 20 minutes. Dr. Sylvester prepared two reports, the first dated January 25, 2018 (the "January Report"), three days after he examined Mr. Elzinga, and the second in June 2018 (the "June Report"). After the January 22, 2018 assessment, Dr. Sylvester did not conduct a further examination of Mr. Elzinga.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Sylvester sent his January Report to Mr. Sharpe's counsel within a week of January 25, 2018. In June 2018, Mr. Sharpe's counsel asked Dr. Sylvester, among other things, to clarify the section on back pain attribution. Dr. Sylvester understood this to mean that he had to provide an opinion on the cause of Mr. Elzinga's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his January report, Dr. Sylvester outlined that based on his review of the medical reports, it is possible that the Accident was or was not the cause of Mr. Elzinga's ongoing back pain. However, in the June Report, it appears that Dr. Sylvester believed he was required to make a determination on this issue, and decided that the back pain was not caused by the Accident, based on his understanding of the medical evidence. I note that in the June Report, Dr. Sylvester said that he reviewed the same medical records for both the January and the June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making his report, Dr. Sylvester assumed that prior to the Accident, Mr. Elzinga was able to do his work and activities without limitation, and assumed that because his neck pain arose shortly after the Accident, it was highly likely that the Accident caused his neck pain. He agreed that Mr. Elzinga did not suffer from a further injury after the Accident that would have precipitated his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note the importance of the timing of the onset of back pain symptoms, as confirmed by Dr. Sylvester. The medical records outlining these symptoms are particularly crucial in the context of an injury that took place over five years ago. He also agrees that if Mr. Elzinga did have lower back pain within several days of the Accident, it was very likely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Sylvester was adamant that he re-reviewed all of the medical records in the course of preparing the June Report and that he did not simply rely on the specific medical records to which he was directed.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his June Report, Dr. Sylvester assumed Mr. Elzinga did not complain of back pain for the five months between May 31, 2013 and October 25, 2013. This conclusion was based on two entries in the physiotherapy records on these two dates. Dr. Sylvester's erroneously concluded that there were no other medical records that reported back pain in the intervening timeframe. He was directed to several medical records that contradict this assumption. For example, a physiotherapy record dated June 3, 2013 notes that Mr. Elzinga's lower back was treated and discussed on this date. Dr. Sylvester also agrees that Mr. Elzinga reported low back and mid-upper back pain on June 3, 2013 to his massage therapist. He was referred to diagrams on this medical record on which Mr. Elzinga's lower back was either treated or noted as areas where Mr. Elzinga experienced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medical record also contained a reference to "Q.L." which Dr. Sylvester understood to be the quadradus lumborum, muscles in the lower back on either side of the spine. In reviewing this record, he agreed that Mr. Elzinga's entire back was treated. Dr. Sylvester did not refer to this document in his June Report, although he now acknowledges its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Despite asserting that he carefully reviewed the medical records, Dr. Sylvester does not recall seeing a legend on the relevant documents in which he would have interpreted the circling of the lower back area as an indication that there was either treatment or symptoms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the June Report, Dr. Sylvester wrote that Mr. Elzinga had resolved his neck and trapezius pain, but this conclusion conflicts with his handwritten notes from his interview with Mr. Elzinga, in which he noted that he had minimal back and neck pain at rest and increased pain with bending and lifting. Furthermore, his handwritten notes from the interview do not indicate that Mr. Elzinga said that his pain symptoms had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Importantly, in the questionnaire completed by Mr. Elzinga with the assistance of his daughter, Mr. Elzinga reported neck and back pain as symptoms he was currently experiencing. Dr. Sylvester said he read this questionnaire, but it is not referred to in his June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do not accept Dr. Sylvester's assumption that the Accident was not the cause of Mr. Elzinga's back pain. A careful review of all of the relevant medical records that Dr. Sylvester was referred to suggests that it is clear that the Accident caused Mr. Elzinga's lower back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Other Experts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Lyanne Vaughan -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Vaughan has been a practicing occupational therapist since 1991. Approximately 70% of her work involves working with clients who have sustained injuries from motor vehicle accidents. She completed both a Functional Capacity Evaluation and a Cost of Future Care reports for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the course of preparing her reports, Ms. Vaughan reviewed Mr. Elzinga's medical reports, conducted an interview, and performed a range of physical tests to assess his functional tolerances. This 12 hour evaluation was conducted over the course of two days. Given the physical nature of Mr. Elzinga's drywalling work and ranch maintenance, she did extensive physical testing. She also assessed Mr. Elzinga's pre-and post-test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 was a marked drop in Mr. Elzinga's weight-bearing tolerance between the first and second day of testing. On the first day, he could occasionally lift 50 lbs. and frequently lift 20 lbs. On the second day, he could only lift 20 lbs. occasionally and ten lbs. frequently. After the first day of testing, Ms. Vaughan noticed increased tension in Mr. Elzinga's back and hips, as well as signs of compensation when he leaned forward, carried something, or bent over repeatedly. On the second day of testing, she also noted that Mr. Elzinga's back was tight, and both his weight bearing tolerance and range of motion decreased.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Vaughan administered a number of tests designed to assess the reliability of the results of her testing. Mr. Elzinga demonstrated a good level of effort in the testing. It is worth noting that because Ms. Vaughan found Mr. Elzinga did not complain very much, she decided to interview Mrs. Elzinga in order to obtain a different perspective on how the Accident had affected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Vaughan could see the tension in Mr. Elzinga's neck muscles. During the testing, she noted moderate back pain when Mr. Elzinga bent over. On the second day of testing, she found that Mr. Elzinga did some of the exercises at a slower pace than the previous day, and he tried to protect his back when bending and squatting.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her testimony, Ms. Vaughan agreed to two minor errors on p. 23 of her report in respect of comparing results with different exercises. However, Ms. Vaughan disagreed that Mr. Elzinga's reasons for stopping certain exercises were non-mechanical. She indicated that guarding his back, standing and favoring one foot over the other, and signs of compensation are all biomechanical. She also stated that if Mr. Elzinga continues these behaviours, he will put himself at risk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According to Ms. Vaughan, Mr. Elzinga's guarding of his back is related to the observed left leg and left back pain. She observed that Mr. Elzinga had a tendency to shift his weight away from his left leg because of the pain in his left back. She specifically rejected the possibility that the injury to his right anterior cruciate ligament ("ACL") was the reason for any of this pain. He was shifting his weight onto his right leg and, if the ACL injury was a factor, this weight shift would have exacerbated the effect of his ACL injury. She did not observe any pain in Mr. Elzinga's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reliability tests administered by Ms. Vaughan suggest that Mr. Elzinga demonstrated a high level of effort during his testing. I find this to be entirely consistent with his personality, as it is not in his nature to try to manipulate or exaggerate his symptoms. In fact, Ms. Vaughan witnessed quite the opposite. She found that his own subjective ratings of his pain were lower than what she observed during the battery of tests she conducted. This is another indication of Mr. Elzinga's stoicism. Ms. Vaughan relied on her own observations instead of Mr. Elzinga's subjective pain ratings.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From her work simulation, Ms. Vaughan concluded that Mr. Elzinga should avoid bending and stooping because he was compensating for his lower back pain when he engaged in these activities. She observed signs of tension in his lower back, decreased range of motion, and guarding. Mr. Elzinga did not minimize his continued involvement in recreational activities, but Ms. Vaughan was aware that he does them less frequently than he used to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With respect to Ms. Vaughan's cost of future care report, her approach was to recommend products and services that are reasonable and affordable to someone with "ample means" that would assist individuals in returning to their pre-accident condition. Ms. Vaughan was not aware that Mr. Elzinga's daughter and son-in-law paid a reduced rent in exchange for providing assistance on the ranch. I note, however, that the Hols family are about to move into their own house 30 minutes away from the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Vaughan recommended massage therapy to reduce the tension in Mr. Elzinga's muscles, thereby avoiding pain flare ups in his lower back. She also recommended a $6,500 tractor blade to use for clearing snow in order to ease Mr. Elzinga's reported neck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Vaughan's assessment of Mr. Elzinga differed somewhat from that of Shelby Herman, a massage therapist. These assessments were done within a month of one another. While unable to comment on Ms. Herman's process, Ms. Vaughan explained that she relied on her observations of Mr. Elzinga as opposed to his subjective reporting of symptoms. In any event, there is a consensus among the medical professionals that Mr. Elzinga is honest, cooperative, and forthright when providing information.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Theresa Reichert - Economic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Reichert is employed at Reichert Financial Litigation Support Services and provided a Loss of Income report in this case. Her report was used to quantify the increased cost of labour and future loss of income suffered by Mr. Elzinga. Her report confirmed that Mr. Elzinga paid his son at the same rate he would have paid an arm's-length worker, split income with his wife as a tax planning strategy, and would retire 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factors to be considered when assessing credibility are summarized by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393"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Throughout his testimony, Mr. Elzinga presented his evidence in an entirely forthright and honest manner. Given his faith and general disposition for positive thinking, he understands his condition, but eschews complaining about his pain or limited physical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unreservedly accept Mr. Elzinga's evidence as being truthful and sincere. This finding also applies to the evidence provided by Mr. Elzinga's family members. This proud, humble, and devout family were forthright in providing their evidence, and did not embellish or exaggerate any of their observations of Mr. Elzinga from either before or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Causation must be established on a balance of probabilities before damages are assessed. As Chief Justice McLachlin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"but for" test articulated in </w:t>
      </w:r>
      <w:r>
        <w:rPr>
          <w:rFonts w:ascii="arial" w:eastAsia="arial" w:hAnsi="arial" w:cs="arial"/>
          <w:i/>
          <w:color w:val="000000"/>
          <w:sz w:val="20"/>
          <w:lang w:val="en-US" w:eastAsia="en-US" w:bidi="ar-SA"/>
        </w:rPr>
        <w:t>Snell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Farrell</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remains the basic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Tortfeasors must take their victims as they find them, even if the plaintiff's injuries are more severe than they would be for a normal person (the thin skull rule). However, the defendant need not compensate the plaintiff for any debilitating effects of a pre-existing condition which the plaintiff would have eventually experienced (the crumbling skull rule):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paras. 34-36.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applying the "but for" test for causation, Mr. Elzinga's position is that it is obvious that "but for" the Accident, he would not have his current pain in his neck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Sharpe acknowledged that Mr. Elzinga has established a causal connection between the Accident and the onset of the neck and upper back pain, but submits that Mr. Elzinga has failed to establish a causal connection between the Accident and the onset of his lower back pain. Mr. Sharpe further suggests that the opinions of the experts, Dr. Rickards and Dr. le Nobel, regarding causation should be discounted because their instruction letters directed them to certain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the event that a causal link is found between the Accident and Mr. Elzinga's lower back pain, Mr. Sharpe's position is that Mr. Elzinga had a pre-existing condition for which there was a measurable risk that it would have detrimentally affected him in the future. Mr. Sharpe believes that the "crumbling skull" doctrine should apply because of Mr. Elzinga's physically demanding work and his recreational activities. Mr. Sharpe pointed to several "crumbling skull" cases in which the damages were reduced to reflect the measurable risk of the pre-existing conditions of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There is a consensus that Mr. Elzinga's neck pain was caused by the Accident. The main point of disagreement between the parties is whether Mr. Elzinga's lower back pain was caused by the Accident. In my view, it is abundantly clear that the Accident caused Mr. Elzinga's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Prior to the Accident, Mr. Elzinga was in excellent health and physical shape for someone his age. Despite his physically demanding work and recreational activities, he showed no signs of slowing down. In their testimony, Adam, Mr. Haslam, and Mr. Elzinga's children all described him as being difficult to keep up with, notwithstanding that they are decades younger than him. In addition, Mr. Elzinga's pre-Accident medical records do not show any indications of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Accident was a high speed highway collision causing significant damage to both vehicles. Mr. Elzinga's injuries appeared just a few days after the Accident. I note the severity of his injuries, with Mr. Elzinga stating that it was the worst pain he had felt in his entire life. The first noted complaint of neck pain was on May 27, 2013, four days after the Accident. Mr. Elzinga's first complaint of back pain was noted in the records on May 31, 2013, but neurological testing of Mr. Elzinga's lower back was recorded as early as May 28, 2013. Mr. Spencer, Mr. Elzinga's physiotherapist, stated that neurological testing would have only been noted if there were concerns about Mr. Elzinga's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Over the month following the Accident, Mr. Elzinga attended physiotherapy and massage therapy, receiving treatment for both his neck and back. It is clear from the evidence of Ms. Palermo, the massage therapist, and Mr. Spencer, a physiotherapist, both of whom treated Mr. Elzinga within two weeks of the Accident, that Mr. Elzinga had serious back pain in the immediate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Elzinga, Mr. Spencer, and Ms. Palermo all testified in respect of Mr. Elzinga's back pain. There are six clinical entries in the immediate aftermath of the Accident that detail complaints, objective findings, or treatment related to Mr. Elzinga's lower back. I reject the proposition that these treatments were for mere muscle soreness akin to the occasional aches and pains that Mr. Elzinga reported prior to the Accident, as he never previously sought or received any treatment for these periodic bouts of mild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While the instruction letters to Mr. Elzinga's medical experts were unnecessarily directive in pointing out certain medical records, the evidence is clear that these experts considered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of the medical records, not merely the ones referenced in the instruction letters. In particular, Dr. Rickards noted that he tended not to pay too much attention to specific references in instruction letters and instead carefully reviewed all of the relevant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On the other hand, Dr. Sylvester, Mr. Sharpe's medical expert, equivocated in providing an opinion on causation in his first report. When asked to reconsider this issue, he relied on the incorrect assumption that Mr. Elzinga had not reported lower back pain until October 2013 in concluding that the lower back pain was not caused by the Accident. In fact, Mr. Elzinga mentioned his lower back pain at least six times to his general practitioner, physiotherapist, and massage therapist, and also received treatment for his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While it is possible that engaging in physical activities may have ultimately resulted in Mr. Elzinga suffering from lower back pain, in the absence of any evidence, this is mere speculation. He may have eventually suffered from back pain, but it is also possible that by virtue of the tremendous shape he was in, he may have avoided it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find that the lower back pain experienced by Mr. Elzinga after the Accident was clearly caused by the Accident. There is no basis for finding that he had a pre-existing condition for which a measurable risk existed to justify reducing his damages on the basis of the crumbling skull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A plaintiff has an obligation to take all reasonable measures to reduce his or her damages, including undergoing treatment to alleviate or cure injuries: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at para. 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Once the plaintiff has proved the defendant's liability for his or her injuries, the burden of proof shifts to the defendant who must prove that the plaintiff acted unreasonably and that reasonable conduct would have reduced or eliminated the loss. Whether the plaintiff acted reasonably is a factual question and involves a consideration of all of the circumstances: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the British Columbia Court of Appeal set out the test for failure to mitigate by not pursuing recommended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Also see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2012 BCCA 111</w:t>
        </w:r>
      </w:hyperlink>
      <w:r>
        <w:rPr>
          <w:rFonts w:ascii="arial" w:eastAsia="arial" w:hAnsi="arial" w:cs="arial"/>
          <w:color w:val="000000"/>
          <w:sz w:val="20"/>
          <w:lang w:val="en-US" w:eastAsia="en-US" w:bidi="ar-SA"/>
        </w:rPr>
        <w:t xml:space="preserve"> at para. 32; and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this case, the defendant points to Mr. Elzinga's refusal to pursue the RFA treatment and his inconsistent completion of the home-based exercise program as evidence that the onus on mitigation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Elzinga's position is that he fully mitigated his damages by remaining active, and doing the majority of the recommended rehabilitation work, including the exercise and stretching program. In addition, he modified his drywalling work by stopping boarding, and is working with a kinesiologist and massage therapist. He relies on Dr. Sylvester's observation in his report that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available evidence suggests that continuing to work and remain active in spite of the fact that pain does occur with some activities brings the best prognosis for long standing function, labour force participation and quality of life 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As noted earlier, Mr. Elzinga has clearly maintained a physically active lifestyle. He continues drywalling, albeit in a limited manner, and he engages in a range of other physically demanding activities such as hunting and maintaining his ranch. I accept Dr. Sylvester's view regarding the importance of continuing to work and remaining active. It appears that the occasions when Mr. Elzinga missed his exercises and/or other rehabilitation have been times when he has been doing </w:t>
      </w:r>
      <w:r>
        <w:rPr>
          <w:rFonts w:ascii="arial" w:eastAsia="arial" w:hAnsi="arial" w:cs="arial"/>
          <w:i/>
          <w:color w:val="000000"/>
          <w:sz w:val="20"/>
          <w:lang w:val="en-US" w:eastAsia="en-US" w:bidi="ar-SA"/>
        </w:rPr>
        <w:t>other</w:t>
      </w:r>
      <w:r>
        <w:rPr>
          <w:rFonts w:ascii="arial" w:eastAsia="arial" w:hAnsi="arial" w:cs="arial"/>
          <w:color w:val="000000"/>
          <w:sz w:val="20"/>
          <w:lang w:val="en-US" w:eastAsia="en-US" w:bidi="ar-SA"/>
        </w:rPr>
        <w:t xml:space="preserve"> physical pursuits, such as hunting.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Elzinga confirmed that he occasionally did not attend massage therapy sessions that conflicted with his hunting activities. He explained that although massage therapy temporarily helps his back pain, it does not alleviate his pain, and he wanted to continue hunting as he has done throughout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find it is reasonable for Mr. Elzinga to continue to pursue his outdoor recreational activities, even if it results in him missing an occasional exercise or rehabilitation session. These activities undoubtedly contribute to both his physical and mental well being, and ought to be supported and encouraged. His desire to continue his lifelong interests with a view to normalizing his life is entirely understandable.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addition, I find that it was reasonable for Mr. Elzinga to decline the RFA treatments. He was informed that there was no guarantee these treatments would work and, even if they did, he would not be able to lift as much as he could prior to the Accident. In addition, he understood these treatments would block his nerve responses because he had seen similar treatments given to horses. I accept that the RFA treatments were more sophisticated than the "de-nerving" treatments he saw horses receive. However, it was within the range of reasonable options available for Mr. Elzinga to decline the RFA treatment in favour of remaining physically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Several witnesses referred to Mr. Elzinga's stoicism. In the five years since the Accident, he has worked very hard to maintain his occupational and recreational pursuits, all of which are physically demanding. It cannot be said that he has failed to take reasonable steps to alleviate his pain. If anything, he has gone above and beyond what could be reasonably expected of someone who suffered the injuries he sustained in the Accident. He continues to exercise and receive rehabilitation treatments while maintaining a physically active lifestyle. There is no basis to suggest that he failed to mitigate his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rough guides, as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 assessment of non-pecuniary damages is necessarily influenced by the plaintiff's personal experiences in dealing with his or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Elzinga submits that he continues to suffer from chronic pain in his neck/cervical region and lower back. He believes that $105,000 is an appropriate amount to award for non-pecuniary damages and referred to the following cases in his submissions to support his position: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Non-pecuniary Award</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Stoneson v. Testa Estate</w:t>
      </w:r>
      <w:r>
        <w:rPr>
          <w:rFonts w:ascii="arial" w:eastAsia="arial" w:hAnsi="arial" w:cs="arial"/>
          <w:b/>
          <w:color w:val="000000"/>
          <w:sz w:val="20"/>
          <w:lang w:val="en-US" w:eastAsia="en-US" w:bidi="ar-SA"/>
        </w:rPr>
        <w:t xml:space="preserve">, </w:t>
      </w:r>
      <w:hyperlink r:id="rId389" w:history="1">
        <w:r>
          <w:rPr>
            <w:rFonts w:ascii="arial" w:eastAsia="arial" w:hAnsi="arial" w:cs="arial"/>
            <w:b/>
            <w:i/>
            <w:color w:val="0077CC"/>
            <w:sz w:val="20"/>
            <w:u w:val="single"/>
            <w:shd w:val="clear" w:color="auto" w:fill="FFFFFF"/>
            <w:lang w:val="en-US" w:eastAsia="en-US" w:bidi="ar-SA"/>
          </w:rPr>
          <w:t>2015 BCSC 1549</w:t>
        </w:r>
      </w:hyperlink>
      <w:r>
        <w:rPr>
          <w:rFonts w:ascii="arial" w:eastAsia="arial" w:hAnsi="arial" w:cs="arial"/>
          <w:b/>
          <w:color w:val="000000"/>
          <w:sz w:val="20"/>
          <w:lang w:val="en-US" w:eastAsia="en-US" w:bidi="ar-SA"/>
        </w:rPr>
        <w:t xml:space="preserve"> -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 note that in </w:t>
      </w:r>
      <w:r>
        <w:rPr>
          <w:rFonts w:ascii="arial" w:eastAsia="arial" w:hAnsi="arial" w:cs="arial"/>
          <w:i/>
          <w:color w:val="000000"/>
          <w:sz w:val="20"/>
          <w:lang w:val="en-US" w:eastAsia="en-US" w:bidi="ar-SA"/>
        </w:rPr>
        <w:t>Stoneson</w:t>
      </w:r>
      <w:r>
        <w:rPr>
          <w:rFonts w:ascii="arial" w:eastAsia="arial" w:hAnsi="arial" w:cs="arial"/>
          <w:color w:val="000000"/>
          <w:sz w:val="20"/>
          <w:lang w:val="en-US" w:eastAsia="en-US" w:bidi="ar-SA"/>
        </w:rPr>
        <w:t>, the plaintiff's injuries were more serious than Mr. Elzinga's injuries. Her pain did not begin to subside until three months after the accident. In coming to an assessment on non-pecuniary damages, the Court noted that, while her pain was of varying intensity, it was constant and would likely continue on a permanent basis. In Mr. Elzinga's case, he returned to drywalling within a month after the Accident and, while he has regular pain flare ups and a reduced capacity to engage in his pre-accident activities, he is not in constant pain.</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Odian v. Carriere</w:t>
      </w:r>
      <w:r>
        <w:rPr>
          <w:rFonts w:ascii="arial" w:eastAsia="arial" w:hAnsi="arial" w:cs="arial"/>
          <w:b/>
          <w:color w:val="000000"/>
          <w:sz w:val="20"/>
          <w:lang w:val="en-US" w:eastAsia="en-US" w:bidi="ar-SA"/>
        </w:rPr>
        <w:t xml:space="preserve">, </w:t>
      </w:r>
      <w:hyperlink r:id="rId390" w:history="1">
        <w:r>
          <w:rPr>
            <w:rFonts w:ascii="arial" w:eastAsia="arial" w:hAnsi="arial" w:cs="arial"/>
            <w:b/>
            <w:i/>
            <w:color w:val="0077CC"/>
            <w:sz w:val="20"/>
            <w:u w:val="single"/>
            <w:shd w:val="clear" w:color="auto" w:fill="FFFFFF"/>
            <w:lang w:val="en-US" w:eastAsia="en-US" w:bidi="ar-SA"/>
          </w:rPr>
          <w:t>2016 BCSC 112</w:t>
        </w:r>
      </w:hyperlink>
      <w:r>
        <w:rPr>
          <w:rFonts w:ascii="arial" w:eastAsia="arial" w:hAnsi="arial" w:cs="arial"/>
          <w:b/>
          <w:color w:val="000000"/>
          <w:sz w:val="20"/>
          <w:lang w:val="en-US" w:eastAsia="en-US" w:bidi="ar-SA"/>
        </w:rPr>
        <w:t xml:space="preserve"> -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Odian</w:t>
      </w:r>
      <w:r>
        <w:rPr>
          <w:rFonts w:ascii="arial" w:eastAsia="arial" w:hAnsi="arial" w:cs="arial"/>
          <w:color w:val="000000"/>
          <w:sz w:val="20"/>
          <w:lang w:val="en-US" w:eastAsia="en-US" w:bidi="ar-SA"/>
        </w:rPr>
        <w:t xml:space="preserve">, the plaintiff suffered ongoing neck pain and headaches, and had to give up most of her pre-accident recreational activities. While Mr. Elzinga is not to be penalized for his stoicism (as noted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it is important to note that he is able to continue drywalling, hunting, and doing other activities, albeit in a modified manner.</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Leach v. Jesson</w:t>
      </w:r>
      <w:r>
        <w:rPr>
          <w:rFonts w:ascii="arial" w:eastAsia="arial" w:hAnsi="arial" w:cs="arial"/>
          <w:b/>
          <w:color w:val="000000"/>
          <w:sz w:val="20"/>
          <w:lang w:val="en-US" w:eastAsia="en-US" w:bidi="ar-SA"/>
        </w:rPr>
        <w:t xml:space="preserve">, </w:t>
      </w:r>
      <w:hyperlink r:id="rId391" w:history="1">
        <w:r>
          <w:rPr>
            <w:rFonts w:ascii="arial" w:eastAsia="arial" w:hAnsi="arial" w:cs="arial"/>
            <w:b/>
            <w:i/>
            <w:color w:val="0077CC"/>
            <w:sz w:val="20"/>
            <w:u w:val="single"/>
            <w:shd w:val="clear" w:color="auto" w:fill="FFFFFF"/>
            <w:lang w:val="en-US" w:eastAsia="en-US" w:bidi="ar-SA"/>
          </w:rPr>
          <w:t>2017 BCSC 577</w:t>
        </w:r>
      </w:hyperlink>
      <w:r>
        <w:rPr>
          <w:rFonts w:ascii="arial" w:eastAsia="arial" w:hAnsi="arial" w:cs="arial"/>
          <w:b/>
          <w:color w:val="000000"/>
          <w:sz w:val="20"/>
          <w:lang w:val="en-US" w:eastAsia="en-US" w:bidi="ar-SA"/>
        </w:rPr>
        <w:t xml:space="preserve"> - $110,000.00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accident suffered by the plaintiff in </w:t>
      </w:r>
      <w:r>
        <w:rPr>
          <w:rFonts w:ascii="arial" w:eastAsia="arial" w:hAnsi="arial" w:cs="arial"/>
          <w:i/>
          <w:color w:val="000000"/>
          <w:sz w:val="20"/>
          <w:lang w:val="en-US" w:eastAsia="en-US" w:bidi="ar-SA"/>
        </w:rPr>
        <w:t>Leach</w:t>
      </w:r>
      <w:r>
        <w:rPr>
          <w:rFonts w:ascii="arial" w:eastAsia="arial" w:hAnsi="arial" w:cs="arial"/>
          <w:color w:val="000000"/>
          <w:sz w:val="20"/>
          <w:lang w:val="en-US" w:eastAsia="en-US" w:bidi="ar-SA"/>
        </w:rPr>
        <w:t xml:space="preserve"> was similar to the one suffered by Mr. Elzinga insofar as in both cases, the vehicles were struck violently from behind. The defendant in </w:t>
      </w:r>
      <w:r>
        <w:rPr>
          <w:rFonts w:ascii="arial" w:eastAsia="arial" w:hAnsi="arial" w:cs="arial"/>
          <w:i/>
          <w:color w:val="000000"/>
          <w:sz w:val="20"/>
          <w:lang w:val="en-US" w:eastAsia="en-US" w:bidi="ar-SA"/>
        </w:rPr>
        <w:t>Leach</w:t>
      </w:r>
      <w:r>
        <w:rPr>
          <w:rFonts w:ascii="arial" w:eastAsia="arial" w:hAnsi="arial" w:cs="arial"/>
          <w:color w:val="000000"/>
          <w:sz w:val="20"/>
          <w:lang w:val="en-US" w:eastAsia="en-US" w:bidi="ar-SA"/>
        </w:rPr>
        <w:t xml:space="preserve"> was driving much slower at 50-55 kph. The defendant's truck in this case was going much faster, at highway speed, and thus presumably caused more damage. The plaintiff in </w:t>
      </w:r>
      <w:r>
        <w:rPr>
          <w:rFonts w:ascii="arial" w:eastAsia="arial" w:hAnsi="arial" w:cs="arial"/>
          <w:i/>
          <w:color w:val="000000"/>
          <w:sz w:val="20"/>
          <w:lang w:val="en-US" w:eastAsia="en-US" w:bidi="ar-SA"/>
        </w:rPr>
        <w:t>Leach</w:t>
      </w:r>
      <w:r>
        <w:rPr>
          <w:rFonts w:ascii="arial" w:eastAsia="arial" w:hAnsi="arial" w:cs="arial"/>
          <w:color w:val="000000"/>
          <w:sz w:val="20"/>
          <w:lang w:val="en-US" w:eastAsia="en-US" w:bidi="ar-SA"/>
        </w:rPr>
        <w:t xml:space="preserve"> suffered soft tissue injuries to his neck, upper back, shoulders, and lower back as well as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Mr. Sharpe submits that an appropriate non-pecuniary award is in the $70,000 to $80,000 range, and relies on </w:t>
      </w:r>
      <w:r>
        <w:rPr>
          <w:rFonts w:ascii="arial" w:eastAsia="arial" w:hAnsi="arial" w:cs="arial"/>
          <w:i/>
          <w:color w:val="000000"/>
          <w:sz w:val="20"/>
          <w:lang w:val="en-US" w:eastAsia="en-US" w:bidi="ar-SA"/>
        </w:rPr>
        <w:t>Jiang v. Pappas</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2016 BCSC 1015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Gunson v. Sekhon</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2015 BCSC 2491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Jiang</w:t>
      </w:r>
      <w:r>
        <w:rPr>
          <w:rFonts w:ascii="arial" w:eastAsia="arial" w:hAnsi="arial" w:cs="arial"/>
          <w:color w:val="000000"/>
          <w:sz w:val="20"/>
          <w:lang w:val="en-US" w:eastAsia="en-US" w:bidi="ar-SA"/>
        </w:rPr>
        <w:t>, the action resulted from two motor vehicle accidents, one in 2009 and the other in 2013. At the time of the first accident, the plaintiff was in good health, but was not particularly active aside from playing table tennis. At the time of trial, which was seven years after the first accident and two years after the second, he was 54 years old. The plaintiff continued to have neck, low back and shoulder pain. He was diagnosed with mechanical neck and lumbar spine pain, chronic myofascial pain syndrome and whiplash disorder. The Court noted that his injuries would continue to impact his ability to work. The reasoning and factors considered for non-pecuniary damages were not articulated in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Of all the authorities referred to, I find the circumstances in the </w:t>
      </w:r>
      <w:r>
        <w:rPr>
          <w:rFonts w:ascii="arial" w:eastAsia="arial" w:hAnsi="arial" w:cs="arial"/>
          <w:i/>
          <w:color w:val="000000"/>
          <w:sz w:val="20"/>
          <w:lang w:val="en-US" w:eastAsia="en-US" w:bidi="ar-SA"/>
        </w:rPr>
        <w:t>Gunson</w:t>
      </w:r>
      <w:r>
        <w:rPr>
          <w:rFonts w:ascii="arial" w:eastAsia="arial" w:hAnsi="arial" w:cs="arial"/>
          <w:color w:val="000000"/>
          <w:sz w:val="20"/>
          <w:lang w:val="en-US" w:eastAsia="en-US" w:bidi="ar-SA"/>
        </w:rPr>
        <w:t xml:space="preserve"> case to be the most similar to those of Mr. Elzinga. In </w:t>
      </w:r>
      <w:r>
        <w:rPr>
          <w:rFonts w:ascii="arial" w:eastAsia="arial" w:hAnsi="arial" w:cs="arial"/>
          <w:i/>
          <w:color w:val="000000"/>
          <w:sz w:val="20"/>
          <w:lang w:val="en-US" w:eastAsia="en-US" w:bidi="ar-SA"/>
        </w:rPr>
        <w:t>Gunson</w:t>
      </w:r>
      <w:r>
        <w:rPr>
          <w:rFonts w:ascii="arial" w:eastAsia="arial" w:hAnsi="arial" w:cs="arial"/>
          <w:color w:val="000000"/>
          <w:sz w:val="20"/>
          <w:lang w:val="en-US" w:eastAsia="en-US" w:bidi="ar-SA"/>
        </w:rPr>
        <w:t>, the accident arose from a motor vehicle accident in 2010. The plaintiff suffered soft tissue injuries to the neck and back, as well as a year of dizziness, headaches, and sleep loss. His lower back injury is unlikely to ever resolve, as it was found to be chronic in the form of ongoing intermittent pain. At the time of the accident, the plaintiff had been employed for many years as a power line technician which was found to be "clearly a physically demanding" job. Following the accident, the plaintiff missed only 28 days of work, but he had to modify his work, delegating more of the heavy physical work to others and resting as required. Despite this, he maintained full-time work for over five years, and did not find it necessary to undergo physical therapy or take pain medication. His back pain is aggravated by working or playing with his three-year old child, which interrupts his sleep. After the accident, he could not engage in activities such as snowmobiling and golf. The Court found the plaintiff to be a credible witness, given his understating, rather than exaggerating, of his injuries and ultimately awarded $80,000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While Mr. Elzinga's case has many similarities to </w:t>
      </w:r>
      <w:r>
        <w:rPr>
          <w:rFonts w:ascii="arial" w:eastAsia="arial" w:hAnsi="arial" w:cs="arial"/>
          <w:i/>
          <w:color w:val="000000"/>
          <w:sz w:val="20"/>
          <w:lang w:val="en-US" w:eastAsia="en-US" w:bidi="ar-SA"/>
        </w:rPr>
        <w:t>Gunson</w:t>
      </w:r>
      <w:r>
        <w:rPr>
          <w:rFonts w:ascii="arial" w:eastAsia="arial" w:hAnsi="arial" w:cs="arial"/>
          <w:color w:val="000000"/>
          <w:sz w:val="20"/>
          <w:lang w:val="en-US" w:eastAsia="en-US" w:bidi="ar-SA"/>
        </w:rPr>
        <w:t>, Mr. Elzinga underwent extensive physiotherapy and massage therapy and, although he avoided powerful pain medication because it affected his stomach, he used a great deal of Extra Strength Tylenol.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addition to his physical injuries, I have considered the impact of Mr. Elzinga's injuries on his well being in coming to a determination of the appropriate award under this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Prior to the Accident, Mr. Elzinga was in excellent shape, had no physical limitations and embraced demanding work and recreational activities. He was described by those close to him as energetic, outgoing, and full of life. Hunting, fishing, prospecting for gold, training horses, and competing in rodeos were all central to Mr. Elzinga's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Accident had a significant impact on Mr. Elzinga. Despite persevering admirably, Mr. Elzinga has been forced to modify his occupational and recreational activities. He can no longer do boarding, a significant component of his drywalling business. Further, he is far less spontaneous with his recreational pursuits because they now require significant advance planning. For example, his ability to hunt for days on end is now limited, he uses horses to carry supplies far more extensively than before the Accident, and he rarely prospects for gold.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Elzinga now requires help to maintain the ranch. Until recently, Adam and Frankie lived on the property, and were able to anticipate what needed to be done and assist as required. Mrs. Elzinga has proposed a number of suggestions to reduce the strain on Mr. Elzinga, including reducing her involvement in barrel racing, subdividing their property, and reducing the number of horses they keep.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Although Mr. Elzinga believes in positive thinking and working through his pain, and he specifically eschews complaining, Mrs. Elzinga noted the effects of his pain, including wincing, slowed movements, and his reduced ability to play with his grandson. Again, I note that Mr. Elzinga should not be penalized for his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Mr. Elzinga's future has been significantly altered by the Accident and the resulting pain symptoms. Having reviewed the cases provided by both parties and by applying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I assess Mr. Elzinga's non-pecuniary damages at $85,000.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Past Loss of Earning Capacity</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trial judge has a discretion to determine what period(s) of time are appropriate for the determination of net income loss: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paras. 181-186. In exercising this discretion, the trial judge should keep in mind that the plaintiff is to be put back in the position he or she would have been in had the accident not occurred: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at paras. 185-186.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paras. 48- 49.</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Elzinga's position is that he is entitled to be compensated for the past increased cost of labour from the additional boarders he hired for his drywalling business, commencing in August of 2014. He submits that the calculations provided by Ms. Reichert are thorough and accurate compared to those provided by Mr. Tidball, another expert who provided an economic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Sharpe agrees that Mr. Elzinga is entitled to be compensated for the past increased cost of labour from hiring boarders and agrees that the calculations provided by Ms. Reichert are preferable to those completed by Mr. Tidball. The only minor point of disagreement is whether the amount of $1,466 is payable for 2013.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necessity of hiring boarders has caused and will continue to cause Mr. Elzinga to suffer economic losses. The range of these losses were summarized using an earnings approach in Ms. Reichert's report. She concluded that the appropriate amount for the past cost of labour was $81,499 plus pre-judgment interest in the amount of $1,676 calculated to September 25, 2018, the first day of the trial. These totals include labour costs of $1,466 and $51 of pre-judgment interest for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evidence is that Mr. Elzinga continued boarding in 2013 and 2014, but stopped this activity in 2015, thereby requiring additional labour to perform this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Elzinga is entitled to $80,033 for the past increased costs of labour and pre-judgment interest of $1,625 from 2015 to the date of the trial.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Loss of Future Earning Capacity</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difficulty in making a fair assessment under this head of damages has long been recognized. In </w:t>
      </w:r>
      <w:r>
        <w:rPr>
          <w:rFonts w:ascii="arial" w:eastAsia="arial" w:hAnsi="arial" w:cs="arial"/>
          <w:i/>
          <w:color w:val="000000"/>
          <w:sz w:val="20"/>
          <w:lang w:val="en-US" w:eastAsia="en-US" w:bidi="ar-SA"/>
        </w:rPr>
        <w:t>Andrews v. Grand &amp; Toy Alta. Ltd.</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 Justice Dickson described assessing such damages as "crystal ball" gazing and in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at 59, Justice Southin described quantifying the loss as "the task of prophecy".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 As noted previously, the plaintiff should be put in the position he or she would have been in but for the injuries caused by Mr. Sharpe's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at para. 185. It is essential for courts to compare the likely future of the plaintiff's working life if the accident had not occurred with the plaintiff's likely future of the plaintiff's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In </w:t>
      </w:r>
      <w:r>
        <w:rPr>
          <w:rFonts w:ascii="arial" w:eastAsia="arial" w:hAnsi="arial" w:cs="arial"/>
          <w:i/>
          <w:color w:val="000000"/>
          <w:sz w:val="20"/>
          <w:lang w:val="en-US" w:eastAsia="en-US" w:bidi="ar-SA"/>
        </w:rPr>
        <w:t>Liu v. Bourget</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2014 BCSC 291</w:t>
        </w:r>
      </w:hyperlink>
      <w:r>
        <w:rPr>
          <w:rFonts w:ascii="arial" w:eastAsia="arial" w:hAnsi="arial" w:cs="arial"/>
          <w:color w:val="000000"/>
          <w:sz w:val="20"/>
          <w:lang w:val="en-US" w:eastAsia="en-US" w:bidi="ar-SA"/>
        </w:rPr>
        <w:t>, Justice Skolrood explained that the earnings approach is generally appropriate where the plaintiff has some earnings history and where the court can reasonably estimate what the plaintiff's likely future earning capacity will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"earnings approach", as agreed on by the parties in Mr. Elzinga's case,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principles that apply in assessing loss of future earning capacity were summarized by Justice Low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Ingvaldson v. White</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2002 BCCA 571</w:t>
        </w:r>
      </w:hyperlink>
      <w:r>
        <w:rPr>
          <w:rFonts w:ascii="arial" w:eastAsia="arial" w:hAnsi="arial" w:cs="arial"/>
          <w:color w:val="000000"/>
          <w:sz w:val="20"/>
          <w:lang w:val="en-US" w:eastAsia="en-US" w:bidi="ar-SA"/>
        </w:rPr>
        <w:t xml:space="preserve"> at paras. 20-25, the British Columbia Court of Appeal reviewed some of the positive and negative contingencies to consider when determining the "but for the accident retirement age": the other spouse's retirement, the possibility of either spouse becoming ill, the couple's love of travel, and the couple's financial security. The Court at para. 22 emphasized the possibility of a spouse being ill and the ability to work as "significant contingencies". In addition, the Court highlighted the pleasure the plaintiff took in his work up to his retirement as an important contingency, because this pleasure may not last as long as anticipated and can decline with age, even if the comparative health for someone that age continues: </w:t>
      </w:r>
      <w:r>
        <w:rPr>
          <w:rFonts w:ascii="arial" w:eastAsia="arial" w:hAnsi="arial" w:cs="arial"/>
          <w:i/>
          <w:color w:val="000000"/>
          <w:sz w:val="20"/>
          <w:lang w:val="en-US" w:eastAsia="en-US" w:bidi="ar-SA"/>
        </w:rPr>
        <w:t>Ingvaldson</w:t>
      </w:r>
      <w:r>
        <w:rPr>
          <w:rFonts w:ascii="arial" w:eastAsia="arial" w:hAnsi="arial" w:cs="arial"/>
          <w:color w:val="000000"/>
          <w:sz w:val="20"/>
          <w:lang w:val="en-US" w:eastAsia="en-US" w:bidi="ar-SA"/>
        </w:rPr>
        <w:t xml:space="preserve"> at para. 23. The final contingency noted in </w:t>
      </w:r>
      <w:r>
        <w:rPr>
          <w:rFonts w:ascii="arial" w:eastAsia="arial" w:hAnsi="arial" w:cs="arial"/>
          <w:i/>
          <w:color w:val="000000"/>
          <w:sz w:val="20"/>
          <w:lang w:val="en-US" w:eastAsia="en-US" w:bidi="ar-SA"/>
        </w:rPr>
        <w:t>Ingvaldson</w:t>
      </w:r>
      <w:r>
        <w:rPr>
          <w:rFonts w:ascii="arial" w:eastAsia="arial" w:hAnsi="arial" w:cs="arial"/>
          <w:color w:val="000000"/>
          <w:sz w:val="20"/>
          <w:lang w:val="en-US" w:eastAsia="en-US" w:bidi="ar-SA"/>
        </w:rPr>
        <w:t xml:space="preserve"> is that given the plaintiff's skills, if he were inclined to work, he would be able to do so at least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Assessing contingencies is not "an exact science". While there may be a rule of thumb that contingencies exceed 20% in the usual case, the trial judge has a discretion. It can be difficult to assess whether each factor is a positive or negative contingency. However, these contingencies must weigh heavily in an assessment of working life between the ages of 64 and 72: </w:t>
      </w:r>
      <w:r>
        <w:rPr>
          <w:rFonts w:ascii="arial" w:eastAsia="arial" w:hAnsi="arial" w:cs="arial"/>
          <w:i/>
          <w:color w:val="000000"/>
          <w:sz w:val="20"/>
          <w:lang w:val="en-US" w:eastAsia="en-US" w:bidi="ar-SA"/>
        </w:rPr>
        <w:t>Ingvaldson</w:t>
      </w:r>
      <w:r>
        <w:rPr>
          <w:rFonts w:ascii="arial" w:eastAsia="arial" w:hAnsi="arial" w:cs="arial"/>
          <w:color w:val="000000"/>
          <w:sz w:val="20"/>
          <w:lang w:val="en-US" w:eastAsia="en-US" w:bidi="ar-SA"/>
        </w:rPr>
        <w:t xml:space="preserve"> at paras. 22-25.</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Elzinga submits that he should be compensated for the following future losses resulting from the Accident:</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he will have to pay to his boarders to age 70, his anticipated pre-Accident retirement age, to maintain the same general level of income he was earning prior, and compensate for the labour which he would have performed himself but for the Accident;</w:t>
      </w:r>
    </w:p>
    <w:p>
      <w:pPr>
        <w:numPr>
          <w:numId w:val="1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amount to compensate him for the fact that he will have to retire early and, therefore be unable to earn the income he would have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Sharpe agrees that Mr. Elzinga is entitled to some amount for future increased cost of labour, but suggests that this amount should be capped at three to five years of the losses, as calculated by Ms. Reichert, or a sum of $65,000 to $112,000. The basis for this proposed cap is Mr. Sharpe's reliance on the crumbling skull doctrine, specifically Mr. Elzinga's alleged pre-existing soreness, long vocational history of heavy labour, and physically demanding recreational activities. Mr. Sharpe does not believe that Mr. Elzinga has established that he will need to retire early and therefore does not agree to any amount being payable in this regard.</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Turning first to the future increased cost of labour, it is clear that Mr. Elzinga is no longer able to do the boarding required in his drywalling business and will be unable to do so in the future. As discussed earlier, I reject the application of the crumbling skull doctrine, as there is no evidence to support the proposition that Mr. Elzinga was in any sort of a weakened or compromised state as a result of decades of physical activity. To the contrary, he was in tremendous physical condition. The assertion that he eventually would have suffered from back pain or other physical limitations is entirely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Elzinga testified that he planned to work until he was 70 years old. Prior to the Accident, he was in excellent health and had no physical limitations. He also had no retirement savings and he was, and continues to be, the sole income earner between him and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It is reasonable to assume that most people's physical abilities will decline with age, and there will be a decline in their ability to perform demanding labour. Mr. Elzinga's pre-Accident physical abilities, combined with his relentless work ethic and the pride he takes in his work, places him at the far end of the range of those who would be able to continue doing demanding work throughout their sixties.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her calculations, Ms. Reichert factored in the negative contingences for morbidity and disability. Financial security is a negative contingency when determining how long someone will be able to work such that, if they are financially secure, they may retire earlier. However, the opposite also holds true, as financially insecure people are more likely to continue working. This is especially true for someone like Mr. Elzinga, who prides himself on being a self-made, self-sufficient provider for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Applying the contingencies described in </w:t>
      </w:r>
      <w:r>
        <w:rPr>
          <w:rFonts w:ascii="arial" w:eastAsia="arial" w:hAnsi="arial" w:cs="arial"/>
          <w:i/>
          <w:color w:val="000000"/>
          <w:sz w:val="20"/>
          <w:lang w:val="en-US" w:eastAsia="en-US" w:bidi="ar-SA"/>
        </w:rPr>
        <w:t>Ingvaldson</w:t>
      </w:r>
      <w:r>
        <w:rPr>
          <w:rFonts w:ascii="arial" w:eastAsia="arial" w:hAnsi="arial" w:cs="arial"/>
          <w:color w:val="000000"/>
          <w:sz w:val="20"/>
          <w:lang w:val="en-US" w:eastAsia="en-US" w:bidi="ar-SA"/>
        </w:rPr>
        <w:t>, given the obvious pride he takes in his work, his desire to remain physically active, and his financial circumstances, I find it reasonable to assume that Mr. Elzinga would have continued working to the age of 70 but for the Accident. I find that there is a 50% likelihood that he will retire three years earlier than anticipated, at age 67, as a result of the injuries he sustained. He had no retirement savings and needed to work to support himself and Mrs. Elzinga. Perhaps most importantly, Mr. Elzinga enjoyed his work as a drywaller, as his identity was largely based on his ability to be physically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Based on the calculations provided by Ms. Reichert, I find that Mr. Elzinga is entitled to $233,500 to compensate for the cost of hiring additional boarders to assist him with drywalling to his anticipated retirement age of 70 while taking into account my finding that there is a 50% likelihood that he will retire at age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With regards to future income loss, both parties agree that if I am to find that Mr. Elzinga is entitled to damages under this category, the earnings approach is appropriate because his losses are easily 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While it is likely that Mr. Elzinga would have had to reduce his physically demanding work and recreational activities as he got older, the issue is whether the Accident is accelerating this process and if so, by how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Although he restricts his drywalling work to mudding and taping, Mr. Elzinga frequently comes home in pain from aggravating his neck and back while working. Mrs. Elzinga testified that she sees him in pain once every week or two, but it is important to note that Mr. Elzinga is not a complainer by nature. His faith and general outlook on life direct him to persevere and carry on with his life instead of fixating on his pain. He should not be penalized for this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Elzinga hires boarders to do the heavy lifting and placement of drywall sheets, however, the mudding and taping that he does is also physically demanding. He is required to frequently lift and carry bags of drywall mud, climb ladders and platforms, as well as repeatedly kneel, bend, and reach. All of these activities are strenuous and directly engage his back muscles. The risk of pain flare ups is ever present and as he ages, his ability to tolerate the pain caused by the Accident will decrease. In my view, the pain caused by the Accident creates a real and substantial possibility that Mr. Elzinga will have to retire earlier than his anticipated retirement age of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Taking into account his determination, work ethic, and desire to remain physically active while considering the nature and extent of the pain that he is continuing to suffer from more than five years after the Accident, I have concluded that there is a 50% chance that Mr. Elzinga will retire three years earlier than anticipated at the age of 67. I therefore assess his damages for having to retire earlier than expected to be $220,000.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84;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 </w:t>
      </w:r>
      <w:r>
        <w:rPr>
          <w:rFonts w:ascii="arial" w:eastAsia="arial" w:hAnsi="arial" w:cs="arial"/>
          <w:i/>
          <w:color w:val="000000"/>
          <w:sz w:val="20"/>
          <w:lang w:val="en-US" w:eastAsia="en-US" w:bidi="ar-SA"/>
        </w:rPr>
        <w:t>Paur (Committee of) v. Providence Health Care</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2017 BCCA 161</w:t>
        </w:r>
      </w:hyperlink>
      <w:r>
        <w:rPr>
          <w:rFonts w:ascii="arial" w:eastAsia="arial" w:hAnsi="arial" w:cs="arial"/>
          <w:color w:val="000000"/>
          <w:sz w:val="20"/>
          <w:lang w:val="en-US" w:eastAsia="en-US" w:bidi="ar-SA"/>
        </w:rPr>
        <w:t xml:space="preserve"> at para.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Future care costs are justified if they are both medically necessary and likely to be incurred by the plaintiff. The award of damages is thus a matter of prediction as to what will happen in future: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and 68-70.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201, McLachlin, J., as she then was, further noted at para. 201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 It follows that I must reject the plaintiff's submission that damages for cost of future care should take into account the cost of amenities which serve the sole function of making the plaintiff's life more bearable or enjoyable. The award for cost of care should reflect what the evidence establishes is reasonably necessary to preserve the plaintiff's health...</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Mr. Elzinga submits that rehabilitation services, along with a wide range of ergonomic, exercise, and recreational equipment, are medically necessary and reasonable. He concludes that an amount of $60,000 should be awarded under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Sharpe submits that a nominal amount of $10,000 should be awarded for the cost of future care on the basis that many of the claimed items and services are either not medically necessary or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Ms. Vaughan prepared the Cost of Future Care Report. She testified that in addition to recommending items that were medically necessary and reasonable, her recommendations were made from the point of view of what an individual would obtain for themselves if they had "ample means". This approach is not supported by the law and is at odds with a test of reasonableness. The term "ample means" suggests that the cost of the items will not be a factor in considering whether they should be recommended. This is incorrect. The cost of each particular item is an important consideration in assessing if it meets the test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Mr. Elzinga has obtained some benefit from massage therapy insofar as these treatments provide him with temporary relief from his pain. Because he does not prioritize these treatments over his recreational activities, I find that he will attend this therapy 13 times a year, which is at the low end of the range recommended by Ms. Vaughan. Mr. Elzinga is therefore entitled to $23,000 for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Rickards recommended an exercise program directed by a personal trainer, kinesiologist, or physiotherapist, one to three times per year. Mr. Elzinga finds the recommended stretching regimen to be useful. He does the exercises when he is able to, but is sometimes too tired to exert himself given the nature of his physically demanding job and hobbies. In my view, an annual review of the exercise program will meet Mr. Elzinga's needs, which amounts to $1,300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amount of $2,000 for an ergonomic sit/stand desk and chair is reasonable, in light of the quotes, billing, and other paperwork Mr. Elzinga does for his drywalling business. However, the automatic taper is not medically justified, as it is more of a luxury.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Given Mr. Elzinga's rural location, it is appropriate that he have specified exercise equipment available to enable him to perform the strength, agility, and cardiovascular components of the recommended home based exercise program. The total amount is $5,600, which includes amounts for a stationary bike and weight training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conclusion, the total amount for cost of future care that is medically justified and reasonable is $31,900.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The law regarding loss of housekeeping capacity was recently and thoroughly addressed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Court is calling for a "regime of reasonableness" applicable to all claims, and in particular those predicated upon the uncertain happening of future events, not one crafted so as to particularly constrain this head of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fact I see the above framework I described as entirely consistent with this Court's admonition above that "[i]t will be the duty of trial judges and this Court to restrain awards for this type of claim to an amount of compensation commensurate with the loss." So long as the award is justified on the basis of evidence of the plaintiff's incapacity it will be commensurate with the plaintiff's loss.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For Mr. Elzinga, the loss of housekeeping capacity that is compensable involves the requirement for assistance in maintaining his ranch, including the yard and garden. Prior to the Accident, Mr. Elzinga was responsible for doing almost all of this work. But he now requires assistance in the form of ranch labour until he is 75 years old. At this point, he will likely move to a smaller residence that will not require significant maintenance. Although Mr. Elzinga received assistance with some of these maintenance tasks from Adam and Frankie, who also lived on the ranch, I note that shortly after the trial concluded, they were expected to move to a new residence approximately 30 minutes away from the Elzinga ranch, and would therefore no longer be available to assist with future ranch maintenance. In my view, the amount of $60,000 is reasonable for assistance in maintaining the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do not accept that additional equipment such as a tractor blade, bale nets, or an additional tractor are justified or reasonable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On the issue of shoeing his horses, I note that Mrs. Elzinga stopped barrel racing in 2017. The horses she used for this activity were the hardest to shoe and the ones for which shoeing assistance was required. Mr. Elzinga has continued to shoe the other horses, most of which are older and calmer and therefore easier to shoe.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my view, it is unlikely that Mr. Elzinga will require further farrier services in light of the anticipated reduction in the number of horses that they will maintain. It is likely that Mr. Elzinga will continue to shoe the horses they own, given that he has performed this task for the past five years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With respect to home support and maintenance, most of these items will be covered either by the aforementioned additional ranch labour or, in the case of the maintenance of their residence, by Mrs. Elzinga. The only additional compensable item in this regards is homemaking services in the event that Mrs. Elzinga is no longer able to do this work, which amounts to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total compensable amount in respect of housekeeping capacity that is justified based on Mr. Elzinga's incapacity and commensurate with this loss is $64,000 for ranch labour and the contingent need for homemaking services.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It is well established that an injured person is entitled to recover the reasonable out-of-pocket expenses he or she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parties agree on most of the special damages claimed for a total amount of $9,095, with the exception of the expenses related to shoeing horses in 2017 and the cost of hiking boots and leather conditioner.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find that it was reasonable for Mr. Elzinga to have incurred the noted farrier expenses in 2017 in respect of shoeing Mrs. Elzinga's barrel racing horses. These younger horses are particularly difficult to shoe and given Mr. Elzinga's pain symptoms and the limitations, this was a reasonable expense. I note that Mrs. Elzinga is no longer engaged in barrel racing, so this expense will not be necessary in the future. Hiking boots and leather conditioner are not proper expenses because the need for them did not arise from the Accident. As exhaustively outlined, Mr. Elzinga is an avid outdoorsman who presumably used hiking boots well before and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summary, damages are awarded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$85,000 total for non-pecuniary damages;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regards to loss of past earning capacity, $80,033 for past increased costs of labour and $1,625 of pre-judgment interest from 2015 to the date of the trial;</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regards to loss of future earning capacity, $233,500 for the cost of hiring additional boarders and $220,000 based on a 50% probability that Mr. Elzinga will retire at 67, three years earlier than his anticipated retirement age of 70;</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$31,900 for the cost of future care, which includes: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$23,000 for 13 massage therapy sessions per year;</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$1,300 for an annual review of his exercise program;</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$2,000 for an ergonomic sit/stand desk and chair; and</w:t>
      </w: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$5,600 for exercise equipment, including a stationary bike and weight training equipment;</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$64,000 for loss of housekeeping capacity, which includes: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$60,000 for future ranch maintenance; and</w:t>
      </w:r>
    </w:p>
    <w:p>
      <w:pPr>
        <w:numPr>
          <w:numId w:val="2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$4,000 for housemaking services in the event Mrs. Elzinga is no longer able to do this work;</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$9,095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the parties wish to make written submissions on costs, they may provide them within 30 days of the date of this judgment. If no submissions are received, Mr. Elzinga will be entitled to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BASRAN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8" style="position:absolute;z-index:2517811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Ferguson v. Watt, [2019] I.L.R. para. M-3106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Marzari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September 17,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M146014</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[2019] I.L.R. para. M-3106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[2018] B.C.J. No. 3202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2018 BCSC 1587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Kimberly Ann Ferguson v. Christopher Robert Watt</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9"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5" w:name="Keywords_12"/>
      <w:bookmarkEnd w:id="105"/>
      <w:r>
        <w:rPr>
          <w:rFonts w:ascii="arial" w:eastAsia="arial" w:hAnsi="arial" w:cs="arial"/>
          <w:b/>
          <w:color w:val="000000"/>
          <w:sz w:val="20"/>
          <w:lang w:val="en-US" w:eastAsia="en-US" w:bidi="ar-SA"/>
        </w:rPr>
        <w:t>Tort, motor vehicle — Personal injury damages — Soft tissue injuries — Chronic pain — Plaintiff was involved in motor vehicle accident in February 2013, at age 44 — Plaintiff had been employed as OR nurse and began working in management nursing position at hospital in 2012 — Plaintiff claimed she suffered soft tissue injuries that resulted in chronic pain in neck, upper back, right shoulder, and left knee — Plaintiff suffered headaches, sleep disruption, depressed mood, and severe anxiety — Plaintiff continued working over 50-hour weeks after accident — Plaintiff was also enrolled in part-time Master's degree — Plaintiff brought action for damages related to personal injuries — Court found plaintiff continued to experience pain in neck, upper back, right shoulder, left knee, hip, and foot — Pain symptoms were also related to ongoing headaches, sleeplessness, anxiety, and depressed mood — Having to abandon OR work affected plaintiff's identity and caused her to question her own worth — Court found $140,000 in non-pecuniary damages — While plaintiff could continue to work in management positions, this was not her passion — It was likely plaintiff would have completed work in management and moved back to OR nursing position at higher in approximately 2015 — Court awarded $35,000 in loss of past earning capacity — It was likely that plaintiff would have returned to OR nursing for some period of time and, after 15 years, returned to management — Court awarded $225,000 for loss of future earning capacity — Court awarded $79,000 in costs of future care and $53,350 in special costs, which included costs of Master's program — Action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6" w:name="Case Summary_11"/>
            <w:bookmarkEnd w:id="106"/>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involved in a motor vehicle accident in February 2013. The defendant ran a red light which resulted in the collision. The defendant admitted liability. At the time of the accident, the plaintiff was 44 years old. The plaintiff had obtained a nursing degree in Florida in 2007 and worked as an operating room ("OR") nurse. In December 2012, she began working as a Quality and Safety Leader at a hospital, which was a part-administrative and management nursing position. The plaintiff claimed that she suffered soft tissue injuries that resulted in chronic pain in her neck, upper back, right shoulder, and left knee. She also suffered headaches, sleep disruption, depressed mood, and severe anxiety. While she became less mobile at work, the plaintiff continued working over 50-hour weeks after the accident. In February 2017, she took a position as Program Manager of Surgical Services &amp; Outpatient Clinics at a hospital in Ontario. She was also enrolled in a part-time Master's degree in nursing on a remote basis, which she claimed was necessary in order to remain competitive at the management level of nursing. The plaintiff brought an action for damages related to her personal injuries. The defendant took the position that the plaintiff's symptoms were not disabling.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7" w:name="Holdings of Court_8"/>
            <w:bookmarkEnd w:id="107"/>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accepted that while the plaintiff experienced a significant recovery from certain symptoms within months of the accident, she continued to experience pain in her neck, upper back, right shoulder, left knee, hip, and foot. Having regard to the expert evidence, the Court dismissed the defendant's submission that the shoulder and knee pain was not caused by the accident. The plaintiff's pain symptoms were also related to her ongoing headaches, sleeplessness, anxiety, and depressed mood. The plaintiff's life would likely be less enjoyable as a result of her symptoms. In particular, having to abandon her OR work affected her identity and caused her to question her own worth. The Court found $140,000 to be an appropriate award of non-pecuniary damages. While the plaintiff could continue to work in management positions, this was not her passion. The Court found it likely that the plaintiff would have completed her work in Quality and Safety and moved back to an OR nursing position at a higher wage while taking on on-call and overtime work in approximately 2015. The Court awarded $35,000 for loss of past earning capacity. It was likely that the plaintiff would have returned to OR nursing for some period of time and, after 15 years, would have likely found herself in a management position. Her financial losses amounted to approximately $12,000 to $15,000 per year. The Court awarded $225,000 in damages for loss of future earning capacity. The Court further awarded $79,000 in costs of future care, $1,000 for loss of housekeeping capacity, and $53,350 in special costs, which included the costs of the plaintiff's Master's degree program. The total award was $533,550.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8" w:name="Counsel_20"/>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0"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K.L. Simon and A. Reimer for the plaintiff; A. Mihailovic and R. Shirreff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9" w:name="Judgment_20"/>
      <w:bookmarkEnd w:id="109"/>
      <w:r>
        <w:pict>
          <v:line id="_x0000_s1111" style="position:absolute;z-index:2517821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and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NATURE, EXTENT, CAUSE AND PROGNOSIS OF MS. FERGUSON'S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Decision re Costs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Education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INTEREST AND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0" w:name="MARZARI J."/>
            <w:bookmarkEnd w:id="110"/>
            <w:r>
              <w:rPr>
                <w:rFonts w:ascii="arial" w:eastAsia="arial" w:hAnsi="arial" w:cs="arial"/>
                <w:b/>
                <w:color w:val="000000"/>
                <w:sz w:val="30"/>
                <w:lang w:val="en-US" w:eastAsia="en-US" w:bidi="ar-SA"/>
              </w:rPr>
              <w:t>MARZARI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[1] On February 1, 2013 at approximately 4:00 a.m., Ms. Ferguson was driving to work as a nurse at BC Children's Hospital when the defendant ran a red light, causing her car to collide with his (the "accident"). The force of the impact was significant, sending the defendant's car into a storefront, and crushing the front of Ms. Ferguson's vehicle and spinning it around 180 degrees. Fortunately, neither driver suffered life threatening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[2] As a result of the accident, Ms. Ferguson suffered injuries to her jaw, chest, thumbs and left knee, as well as soft tissue injuries the extent of which will be discussed below. Her knee in particular was very swollen. She also suffered headaches, sleep disruption, depressed mood and severe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[3] While a number of her injuries resolved within six months of the accident, she continues to suffer from chronic pain in her neck, upper back, right shoulder and left knee, and fluctuating levels of sleeplessness, depressed mood and frustration.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[4] Despite her injuries, and even when they were acute, Ms. Ferguson continued to work in her demanding job as a nurse. She has continued to be successful as a nurse in management positions, working well above 40 hours per week, and receiving and seeking out promotions and new job opportunities. She has done so despite significant and ongoing pain, and despite what she describes as a deep sense of loss that she is unable to return to the operating room where her passion for her profession is rooted.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[5] The defendant questions the extent of Ms. Ferguson's ongoing pain and stated limitations, and says that much of her ongoing pain is not causally related to the accident. While acknowledging Ms. Ferguson has suffered losses that are compensable as non-pecuniary damages, the defendant says that those losses are much lower than what Ms. Ferguson claims. He says that she was, and remains, a "rockstar" in her profession and that the accident did not materially affect her career trajectory, income or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[6] The most contentious issues are Ms. Ferguson's claims for significant pecuniary damages for past earnings losses and loss of future earning capacity based on what she says she would have made as an operating room ("OR") nurse as opposed to the nursing management positions she has remained in since the accident. Her special damages, particularly her education costs, are also strongly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[7] Liability was admitted on the first day of trial. The defendant also admits that Ms. Ferguson suffered some initial injuries and damages. The issues for determination are therefore:</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ongoing injuries did Ms. Ferguson sustain as a result of the accident, and specifically, what is the nature, extent, cause, prognosis and impact of those injuries?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arise as a consequence of the accident, and specifically: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if any, is Ms. Ferguson entitled to for past wage loss?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if any, is Ms. Ferguson entitled to in relation to future earning capacity?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if any, is Ms. Ferguson entitled to in relation to loss of housekeeping capacity?</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is Ms. Ferguson entitled to with respect to her costs of future care?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special damages is Ms. Ferguson entitled to?</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is Ms. Ferguson entitled to for non-pecuniary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[8] Ms. Ferguson is by all accounts a diligent, thorough and hard worker. She is a self-described "late bloomer" in that she only found her calling as a nurse in 2005 at the age of 36. Nevertheless, she has been very successful in her chosen profession, moving up quickly through positions of greater responsibility with consistently strong reviews.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[9] She obtained her Associate Degree in Nursing in the fall of 2007 in Florida, where she then worked as an OR nurse from 2008 to mid 2012. Her evidence was that throughout her education, internship and employment in Florida she regularly worked long hours and looked for and took on-call and overtime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[10] In 2012 she began looking at other career options. She is a Canadian citizen with an American nursing certification. She considered travel nursing in Canada and in the United States, and was recruited to come to BC, where she accepted a position as a pediatric OR nurse at BC Children's Hospital commencing in July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[11] In December 2012, Ms. Ferguson began working as a Quality and Safety Leader at BC Children's Hospital, a non-unionized nursing position which was described variously as a leadership, management or administrative position. Ordinarily this position requires a master's degree in nursing, which Ms. Ferguson did not have. It also involves some contribution to the operating room, but generally does not require the same physical mobility and stamina of an OR nurse. It also has a higher hourly pay rate, but is exempt from the overtime entitlements of OR nurses, so it is arguable (and indeed it was argued) that the overall wage is less than an OR nurse working overtime and premium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[12] Ms. Ferguson gave evidence that she was encouraged to apply for, and ultimately accepted, this Quality and Safety position to enhance her leadership skills and her future employment opportunities, but that it was never her plan or desire to leave the OR on a long-term basis. She thrived in the high pressure operating room with its immediacy of direct patient care, whereas she considers administrative and management nursing work to be not as rewarding personally or financially.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[13] The defendant argues that her move into a management position was part of a pattern of Ms. Ferguson taking on leadership positions that would most likely have continued regardless of the accident. He also points to her pay records in Florida, where she worked on-call fairly frequently but rarely logged significant overtime once she completed her schooling and practicums.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[14] Prior to the accident Ms. Ferguson had no history of disability or anxiety or mood problems, and was functioning generally without pain or limitation. The evidence suggests that she was both fit and physically active. She enjoyed travel and new experiences, and her trips often included active itineraries, including hiking and camping. In Florida, she exercised three to four times per week at a 24-hour gym, and participated in running races, including a five kilometer race in 2011. When she moved to Vancouver, she walked the seawall, went hiking and bike riding, and had plans to learn how to kayak and ski. Prior to the accident, she regularly walked the five kilometers to and from work at BC Children's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[15] Ms. Ferguson had no difficulties sleeping, no physical limitations at work, and no difficulties with the physical requirements of her demanding job. She had not been in any prior motor vehicle accidents, and had not been off work or limited in her recreational or housekeeping activities for any extended period due to injury or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[16] On all the evidence, I find that prior to the accident Ms. Ferguson was a healthy and active woman in her early 40s who had recently found her life's calling. She was a workaholic whose self-worth was and remains strongly tied to her identity as an outdoor adventurer and a highly capable operating room nurse. I find that she frequently worked on-call, and was capable of working well over 40 hours a week, although she did so only intermittently. I find that she continued to work 50 hours or more each week in her various management positions before and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Accident and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[17] With respect to the accident itself, Ms. Ferguson testified that the force of the impact felt like "hitting a wall". As her vehicle spun, her right shoulder twisted forward. The front of her vehicle pushed into her on an angle, causing the dashboard to strike her left knee and her body to twist further. Her vehicle was "totalled". Mr. Watt's vehicle went through a storefront window.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[18] Ms. Ferguson initially refused medical attention from the ambulance attendants but was eventually convinced to go to the hospital, and to take the day off work. When she returned home she was deeply shaken. She cried constantly, and re-lived the accident in her mind repeatedly, imagining both more serious consequences for herself, but also the possibility that she could have seriously injured the other driver. She was unable to drive and sought therapy to resolve this issue. She suffered anxiety and sleeplessness.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[19] After the accident, Ms. Ferguson continued to work in her role as a Quality and Safety Lead, only missing work for medical and therapy appointments despite the presence of pain and swelling, headaches, sleeplessness and severe anxiety. Despite some absences for treatment, it would appear that she continued to work substantially more than 40 hours a week on average. While she became less mobile at work, her coworkers and supervisors noted her continued and diligent work ethic and long hours. She took work home when she could not complete it at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[20] In July 2015, she was recruited to a management position related to the redevelopment of BC Children's Hospital, and continued in that position until February 2017, when she applied for and obtained a position as the Program Manager of Surgical Services &amp; Outpatient Clinics at the general hospital in Brockville,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[21] The credibility of the plaintiff is a key issue in this trial. This is not unusual in cases of chronic pain, where the court must always be concerned with the reality of the plaintiff's complaints of ongoing soft tissue pain in order to determine the existence and extent of the injuries and properly assess damages based on such complaints. The applicable principles were summarized by Mr. Justice Abrioux in </w:t>
      </w:r>
      <w:r>
        <w:rPr>
          <w:rFonts w:ascii="arial" w:eastAsia="arial" w:hAnsi="arial" w:cs="arial"/>
          <w:i/>
          <w:color w:val="000000"/>
          <w:sz w:val="20"/>
          <w:lang w:val="en-US" w:eastAsia="en-US" w:bidi="ar-SA"/>
        </w:rPr>
        <w:t>Buttar v. Brennan</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2012 BCSC 531</w:t>
        </w:r>
      </w:hyperlink>
      <w:r>
        <w:rPr>
          <w:rFonts w:ascii="arial" w:eastAsia="arial" w:hAnsi="arial" w:cs="arial"/>
          <w:color w:val="000000"/>
          <w:sz w:val="20"/>
          <w:lang w:val="en-US" w:eastAsia="en-US" w:bidi="ar-SA"/>
        </w:rPr>
        <w:t xml:space="preserve">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damages in a moderate or moderately severe soft tissue injury is always difficult because the plaintiffs are usually genuine, decent people who honestly try to be as objective and factual as they can. Unfortunately every injured person has a different understanding of his own complaints and injuries, and it falls to judges to translate injuries to damages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at 397 (S.C.);</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be exceedingly careful when there is little or no objective evidence of continuing injury and when complaints of pain persist for long periods extending beyond the normal or usual recovery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at 399);</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at 399);</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doctor's function is to take the patient's complaints at face value and offer an opinion based on them. It is for the court to assess credibility. If there is a medical or other reason for the doctor to suspect the plaintiff's complaints are not genuine, are inconsistent with the clinical picture or are inconsistent with the known course of such an injury, the court must be told of that. But it is not the doctor's job to conduct an investigation beyond the confines of the examining room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77, aff'd </w:t>
      </w:r>
      <w:hyperlink r:id="rId439"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absence of objective signs of injury, the court's reliance on the medical profession must proceed from the facts it finds, and must seek congruence between those facts and the advice offered by the medical witnesses as to the possible medical consequences and the potential duration of the injuries </w:t>
      </w:r>
      <w:r>
        <w:rPr>
          <w:rFonts w:ascii="arial" w:eastAsia="arial" w:hAnsi="arial" w:cs="arial"/>
          <w:i/>
          <w:color w:val="000000"/>
          <w:sz w:val="20"/>
          <w:lang w:val="en-US" w:eastAsia="en-US" w:bidi="ar-SA"/>
        </w:rPr>
        <w:t>Fan (Guardian ad litem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Chana</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2009 BCSC 1127</w:t>
        </w:r>
      </w:hyperlink>
      <w:r>
        <w:rPr>
          <w:rFonts w:ascii="arial" w:eastAsia="arial" w:hAnsi="arial" w:cs="arial"/>
          <w:color w:val="000000"/>
          <w:sz w:val="20"/>
          <w:lang w:val="en-US" w:eastAsia="en-US" w:bidi="ar-SA"/>
        </w:rPr>
        <w:t xml:space="preserve"> at para. 73;</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case of this kind care must be taken in reaching conclusions about injury alleged to have continued long past the expected resolution. The task of the court is to assess the assertion in light of the surrounding circumstances including the medical evidence. The question is whether that evidence supported the plaintiff's assertion and, if not, whether a sound explanation for discounting it was given </w:t>
      </w:r>
      <w:r>
        <w:rPr>
          <w:rFonts w:ascii="arial" w:eastAsia="arial" w:hAnsi="arial" w:cs="arial"/>
          <w:i/>
          <w:color w:val="000000"/>
          <w:sz w:val="20"/>
          <w:lang w:val="en-US" w:eastAsia="en-US" w:bidi="ar-SA"/>
        </w:rPr>
        <w:t>Tai v. De Busscher</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2007 BCCA 371</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[22] The court's assessment of the plaintiff's credibility is therefore critical. I am guided in this assessment by numerous cases, including the following statement from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must reasonably subject his story to an examination of its consistency with the probabilities which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[23] The plaintiff was a credible witness. I find that she does not malinger or exaggerate, and that her complaints regarding her physical injuries are real and impose real limitations on her ability to realize her ambition to return to the OR and to lead the level of active life that she did prior to the accident. I find that she regularly pushes herself to overcome these injuries, and that if it was physically possible to overcome these injuries, she would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[24] This is supported not only by Ms. Ferguson's evidence, but also by the other witnesses who testified, other than Dr. Marks. These witnesses were professional and credible, unless otherwise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NATURE, EXTENT, CAUSE and PROGNOSIS OF MS. FERGUSON'S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[25] Ms. Ferguson's evidence was that she suffered from a number of injuries after the accident, not all of which have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[26] Her injuries that were fully resolved within approximately six months of the accident included:</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bruising to her chest and abdomen, caused by the tightening of her lap and shoulder belt on impact;</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jaw pain;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nightmares respecting the accident, which Ms. Ferguson experienced nightly at first, and which gradually diminished over time and resolved in three to four months during the course of her therapy sessions with Dr. McCullogh;</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sprained thumbs;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tongue from biting it on impact; and</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bruising and swelling to the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[27] Ms. Ferguson gave evidence that her post-accident symptoms which have largely but not completely resolved include flashbacks, fear of driving and driving anxiety. She participated in therapy sessions focused largely on driving anxiety, and her fear of driving has largely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[28] Finally, Ms. Ferguson says that despite experiencing an initial substantial level of recovery, she suffers from significant persistent pain and dysfunction, and there has been no meaningful change in these symptoms in quite some time. These include:</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Depressed mood and anxiety respecting her future;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which began as severe and constant, but which she now experiences once every three to four weeks, and treats with massage, physiotherapy, and prescription medication;</w:t>
      </w:r>
    </w:p>
    <w:p>
      <w:pPr>
        <w:numPr>
          <w:numId w:val="2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upper back and right shoulder girdle pain extending up the right side of her neck, down to her right elbow, and into her shoulder joint, which gradually improved over the first year with the help of physiotherapy and massage therapy. While her neck pain and range of motion have improved over time, they continue to flare, and she manages these symptoms with Ibuprofen and Naproxen, and Flexeril on weekends. Her right shoulder symptoms, she says, have remained constant and include constant right shoulder pain and weakness, and a "clicking" sensation in the shoulder joint. Her shoulder pain continues to cause her to awaken at night and is distracting during the day;</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sleeping, which she largely attributes to her shoulder pain and headaches;</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her left knee. While the swelling immediately following the accident resolved itself, her knee later began to click and lock. Since then, she says her knee pain has been constant and chronic, particularly when walking on uneven surfaces or for long distances. At times, her knee will give out unexpectedly when she walks, and swells if she walks more than a few kilometers. She wears a knee brace when walking on uneven surfaces and trails. She began treatment for her left knee injury at physiotherapy, and she had injections of cortisone followed by sessions of active rehabilitation, which provided slight relief. In 2016, she received injections of Monovisc, which is used to treat pain in osteoarthritis of the knee, followed by further sessions of active rehabilitation. The Monovisc injections provided sufficient pain relief to allow her to push herself more during active rehabilitation, and she noticed improvement to her symptoms during that time. Her knee symptoms have shown no improvement since the improvement that she experienced following the injection and active rehabilitation in 2016. She manages her symptoms with Naproxen. She will likely pursue further Monovisc injections; and</w:t>
      </w:r>
    </w:p>
    <w:p>
      <w:pPr>
        <w:numPr>
          <w:numId w:val="2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Hip and foot pain, which has increased and which she says is related to her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[29] Ms. Ferguson has been taking 500 mg of Naproxen twice a day, every day, to manage her shoulder and knee symptoms. In 2017 she temporarily stopped taking Naproxen in an attempt to control an elevation in her blood pressure. Without medication, her right shoulder pain and stiffness increased significantly. She was unable to sleep at night and her ability to function in her daily activities declined. She has resumed taking Naproxen at her previous dosage, deciding that the risks of elevated blood pressure are outweighed by her need for sleep and relief from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[30] Ms. Ferguson attended physiotherapy regularly at the Kitsilano Physiotherapy Clinic with Mark Mandelstam from February 2013 to January 2017. She also initially attended massage therapy once a week following the accident, but she has gradually decreased the frequency of her sessions and currently attends massage therapy in Brockville on average once every five weeks. Ms. Ferguson testified that these treatments provided relief of her pain symptoms, particularly with respect to the tightness in her neck and shoulder area which she associates with both headaches and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[31] In addition to her own testimony, a number of medical experts prepared reports and testified with respect to Ms. Ferguson's injuries and their likely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[32] Ms. Ferguson's original treating family physician, Dr. McKechnie, testified with respect to her clinical notes in and around the time of the accident and the months thereafter. Dr. McKechnie has since retired, and was careful not to provide any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[33] Ms. Ferguson's family doctor since 2015, Dr. Parhar, also gave evidence and filed a number of reports. His examinations, diagnosis, care and treatment of Ms. Ferguson generally support her testimony in terms of the scope of her injuries and the accident as their cause. Dr. Parhar opines that Ms. Ferguson is more vulnerable and susceptible to future trauma that can cause injury to the areas that were injured in the accident, specifically her neck, mid-back, right shoulder and left knee, and to intermittent exacerbation of the pain she experiences in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[34] With respect to Ms. Ferguson's right shoulder, he described it as pain in the area of the right shoulder diffusely, and in his report referred to it as muscle strain, biceps muscle tear, post-traumatic tendonitis and subracrominal bursitis, as well as impingement. With respect to her left knee, he described contusion, sprain or strain, hematoma, patellofemoral syndrome and aggravation of pre-existing asymptomatic left knee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[35] Under cross-examination, Dr. Parhar agreed that he relied on Ms. Ferguson's own reports of her pain, physical limitations, sleep difficulties and anxiety. His examinations were focused on treating her, rather than on the litigation. His clinical records indicate positive and notable findings on his examinations but not negative findings, as he was not making the notes for the purpose of a later medical litigation report. Overall, Dr. Parhar provided helpful and consistent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[36] Dr. Parhar referred Ms. Ferguson to an orthopedic surgeon to assist with the resolution of her shoulder pain. He also referred her for an MRI of her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[37] Dr. Zarkadas was Ms. Ferguson's treating orthopedic surgeon. He specializes in elbow, shoulder and knee surgery. He saw Ms. Ferguson over the course of six visits, and a further telephone consultation. His reports were addressed to Dr. Parhar in relation to his findings, diagnosis, recommendations and treatment. In addition he prepared a responsive report to the report of Dr.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[38] Dr. Zarkadas reviewed the MRI scans of Ms. Ferguson's shoulder and knee himself. It was Dr. Zarkadas who initially identified Ms. Ferguson's underlying medial compartment osteoarthritis in her knee, as well as a small longitudinal tear of the long head of her bicep tendon in her right shoulder. He also identified supraspinatus tendinopathy, associated bursitis, inflammation and thickening of her rotator cuff tendons, and impingement of her shoulder. With respect to the longitudinal split tear, his report and his oral testimony were clear that this is an unusual condition that one would not expect to exist as an underlying condition, nor as a degenerative one, but is rather associated with a specific and acute trauma. He states that it is "in keeping with the mechanism of injury that I would expect while bracing by gripping the steering wheel during a head-on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[39] Dr. Zarkadas treated Ms. Ferguson with cortisone injections to the shoulder and Monovisc injections to the knee. He does not recommend further cortisone injections for the shoulder, but rather recommends surgery. He does recommend further Monovisc injections to relieve pain and provide mobility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[40] In addition to her treating physicians, Ms. Ferguson attended at a physiatrist in early 2016, Dr. Giantomaso, who prepared an independent medical legal report for the purposes of this litigation. Dr. Giantomaso's opinion, based on his interview, physical examination, and review of her medical records and documentation, concludes that Ms. Ferguson is suffering from chronic pain in the area of her cervical and thoracic spine, right shoulder and left knee that is temporally and causally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[41] With respect to causation, Dr. Giantomaso states that "the mechanism of action of the motor vehicle collision in question could reasonably be associated with the above-noted post-traumatic injuries including injuries to the cervicothoracic spine, left knee and ongoing shoulder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[42] When asked in cross-examination whether it was typical for impingement of the shoulder to arise months after an accident, Dr. Giantomaso explained that it often comes later on. In his opinion, Ms. Ferguson likely had a chronic kinetic problem that caused some inflammation of the rotator cuff and increased impingement over time. In his opinion, three to six months after trauma was a reasonable time for that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[43] Dr. Giantomaso also recommended injections for diagnostic as well as therapeutic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[44] Ms. Ferguson's treating physiotherapist also testified with respect to his treatment of Ms. Ferguson.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[45] Finally, Ms. Ferguson had a functional/work capacity evaluation conducted by Ms. Ditson, an occupational therapist, in January 2017, with a follow-up interview in July 2017. Ms. Ditson expressed the opinion that Ms. Ferguson, at the time of assessment, demonstrated the strength to perform work at up to a light strength level with some aspects in modified medium strength level. Her strength capacity did not meet the functional requirements for an OR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[46] Ms. Ditson's testing identified consistent limitations with:</w:t>
      </w:r>
      <w:r>
        <w:rPr>
          <w:rFonts w:ascii="arial" w:eastAsia="arial" w:hAnsi="arial" w:cs="arial"/>
          <w:sz w:val="20"/>
          <w:lang w:val="en-US" w:eastAsia="en-US" w:bidi="ar-SA"/>
        </w:rPr>
        <w:cr/>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Lifting and carrying (demonstrated sedentary to light level strength);</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Forward reaching and overhead reaching, especially if combined with sustained positioning of the neck;</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Prolonged standing, walking, bending and kneeling;</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Sitting and balancing; and</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Stair climbing and crouching.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[47] Ms. Ditson conducted standardized tests, and through the course of those tests, she examined Ms. Ferguson in terms of her voluntary effort. I accept her opinion that Ms. Ferguson put forth a consistent and high level of physical effort during testing, and that the assessment findings were an accurate measure of her functional capacity evaluation ("FCE") at that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[48] The defendant concedes that Ms. Ferguson has suffered soft tissue injuries in the areas of her neck and upper and mid-back as a result of the accident. He accepts that she suffers some residual complaints with respect to those areas but says that the symptoms are mild, and not disabling.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[49] The defendant says that while the blow to Ms. Ferguson's knee caused bruising and swelling, those symptoms resolved within a few months and, as a result, the left knee issue is not disabling and has not been so for quite some time. The defendant says that Ms. Ferguson likely has underlying arthritis in both her knees and would likely experience some discomfort as a result of that in both knees when kneeling. The defendant therefore takes no responsibility for Ms. Ferguson's ongoing complaints in her left knee, and says that Ms. Ferguson should simply continue with strengthening exercises and pursue weight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[50] The defendant's position is that Ms. Ferguson's right shoulder symptoms are not related to the accident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[51] With respect to the right shoulder, the defendant says that the plaintiff's tendinopathy and inflamed bursa, as well as the longitudinal tear in her bicep, could have occurred without trauma and is commonly associated with overuse and repetitive use. He says that the five month delay in Dr. McKechnie's clinical records between the accident and her recording of right shoulder pain make it unlikely that there is a causal connection between the accident and the right shoulder pain. Instead, the defendant asserts that because OR nurses do a great deal of potentially heavy and repetitive work, it is more likely that her shoulder injury and her MRI results are a result of her natural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[52] The defendant primarily relies on the examination and opinion of his expert, Dr. Marks, who examined Ms. Ferguson in January 2018 and did not consider the right shoulder injury to be an injury arising from the accident. Dr. Marks concluded that Ms. Ferguson does not suffer from any physical limitations and could return to the operating room work immediately. His oral evidence made clear that he relied upon his brief physical exam of Ms. Ferguson, but gave little to no weight to Ms. Ferguson's oral history, or the observations or opinions of her long-term care providers. In both his written and oral evidence Dr. Marks relied significantly on his own assessment of Ms. Ferguson's credibility that is not consistent with my findings in this case, including the veracity of Ms. Ferguson's reports of initial and ongoing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[53] In addition, Dr. Marks' evidence in court was frequently argumentative and non-responsive to the questions asked of him; he attempted repeatedly to pose and answer his own questions. Overall, I find that the assumptions and conclusions of Dr. Marks' expert opinion were not supported by the weight of the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[54] Beyond the evidence of Dr. Marks, the defendant says that it is self evident that Ms. Ferguson's pain in her left foot and left hip are not related to the accident because they only arose in late 2016. Other than the evidence of Ms. Ferguson's physiotherapist, Mr. Mandelstam, who diagnosed plantar fasciitis of her left foot and treated it as part of her ongoing recovery in her left knee, the defendant says there is no evidence that this injury is linked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[55] Finally, the defendant objects to the evidence of the occupational therapist, Ms. Ditson, and the FCE completed on January 20, 2017 on the basis that it does not provide an accurate assessment of Ms. Ferguson's true capacity or her impairments caused by the accident. Furthermore, given that the plaintiff has reported improvement of about 70 to 80% at trial since the accident, and she has advanced in her hiking, gym program and other recreational activities since January 2017, her physical capacity has likely improved since the date of the FCE.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[56] The defendant relies in particular on the fact that Ms. Ferguson was suffering from left hip and left foot pain at the time of the FCE. As the defendant takes the position that the left hip and left foot pain were not caused by the accident, he says that the limitations described by Ms. Ditson cannot properly be parsed as to those that were caused by the accident and those that were not. Finally, he says that the subjective element of the FCE undermines the results of the examination itself.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[57]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her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[58]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[59]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[60] The plaintiff must be placed in the position that she would have been in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Tortfeasors must take their victims as they find them, even if the plaintiff's injuries are more severe than they would be for a normal person. However, the defendant need not compensate the plaintiff for any debilitating effects of a pre-existing condition which she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[61] The defendant concedes that Ms. Ferguson suffers from chronic soft tissue injuries in the neck and upper and mid-back areas as a result of the accident. However, the defendant says that these symptoms are mild and not disabling.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[62] I accept Ms. Ferguson's evidence with respect to the extent of her symptoms, muscle soreness and pain. Specifically, I find that Ms. Ferguson is impatient with this pain, and generally does not exaggerate or linger in it. Rather, I find that Ms. Ferguson is stoic in her approach to addressing her pain and limitations. I therefore accept her evidence that while she has experienced a significant recovery from her initial symptoms within the first few months of the accident, her current and ongoing pain symptoms in her neck and upper back are more than mild, and require regular treatment to prevent them from being more disabling than they currently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[63] I find that her neck, upper back and shoulder pain and tightness caused by the accident is also related to her ongoing headaches, sleeplessness, anxiety and depressed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[64] With respect to Ms. Ferguson's right shoulder inflammation, impingement and chronic pain, I find that this symptom, as recorded by Dr. McKechnie five months after the accident, is sufficiently and properly linked to the accident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[65] The defendant's theory of causation, that Ms. Ferguson developed the bicep tear and shoulder bursitis and impingement as a result of her ongoing work as an OR nurse, is not supported by the evidence. The evidence establishes that Ms. Ferguson had no pain in her right shoulder prior to the accident, and at the time of the accident and thereafter she was working as a quality and safety manager, and not in the operating room. There is no evidence of an intervening event or alternative cause of this pain, tear and inflammation between the accident and its recording in Dr. McKechnie's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[66] As a whole, the expert evidence strongly supports the causal connection between Ms. Ferguson's right shoulder injuries and the accident. In this regard, there are multiple explanations for why a specific right shoulder injury may not have been recorded for five months after it was caused, including a failure of complete examination, a failure of complete documentation at a walk-in medical clinic, its implicit incorporation in the notes regarding Ms. Ferguson's pain in the right trapezius area, the masking of the pain as a result of more significant pain or the existence of pain killers, or Ms. Ferguson's favouring of the right shoulder in the immediate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[67] Overall, I find that the accident is the cause of Ms. Ferguson's chronic pain, impingement, inflammation and weakness in her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[68] With respect to Ms. Ferguson's left knee symptoms, I find on the whole of the evidence that this pain and inflammation is chronic, limiting, and caused by the accident. I find that it is likely that Ms. Ferguson had underlying osteoarthritis in her left knee. However, there is no indication that this osteoarthritis was symptomatic prior to the accident. Furthermore the expert evidence establishes that the osteoarthritis apparent in Ms. Ferguson's left knee may have remained asymptomatic indefinitely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[69] Furthermore there was no evidence beyond speculation to establish that Ms. Ferguson's osteoarthritis in her left knee would have become symptomatic in the future: see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36; </w:t>
      </w:r>
      <w:r>
        <w:rPr>
          <w:rFonts w:ascii="arial" w:eastAsia="arial" w:hAnsi="arial" w:cs="arial"/>
          <w:i/>
          <w:color w:val="000000"/>
          <w:sz w:val="20"/>
          <w:lang w:val="en-US" w:eastAsia="en-US" w:bidi="ar-SA"/>
        </w:rPr>
        <w:t>Badillo v. Bedi</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2015 BCSC 1692</w:t>
        </w:r>
      </w:hyperlink>
      <w:r>
        <w:rPr>
          <w:rFonts w:ascii="arial" w:eastAsia="arial" w:hAnsi="arial" w:cs="arial"/>
          <w:color w:val="000000"/>
          <w:sz w:val="20"/>
          <w:lang w:val="en-US" w:eastAsia="en-US" w:bidi="ar-SA"/>
        </w:rPr>
        <w:t xml:space="preserve"> at para. 109; and </w:t>
      </w:r>
      <w:r>
        <w:rPr>
          <w:rFonts w:ascii="arial" w:eastAsia="arial" w:hAnsi="arial" w:cs="arial"/>
          <w:i/>
          <w:color w:val="000000"/>
          <w:sz w:val="20"/>
          <w:lang w:val="en-US" w:eastAsia="en-US" w:bidi="ar-SA"/>
        </w:rPr>
        <w:t>Gordon v. Ahn</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2017 BCCA 221</w:t>
        </w:r>
      </w:hyperlink>
      <w:r>
        <w:rPr>
          <w:rFonts w:ascii="arial" w:eastAsia="arial" w:hAnsi="arial" w:cs="arial"/>
          <w:color w:val="000000"/>
          <w:sz w:val="20"/>
          <w:lang w:val="en-US" w:eastAsia="en-US" w:bidi="ar-SA"/>
        </w:rPr>
        <w:t xml:space="preserve"> at paras. 33-36.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[70] On all of the evidence I find that but for the accident, Ms. Ferguson's left knee would have remained asymptomatic. As a result of the accident, she suffers chronic pain and inflammation in her left knee that limits her ability to crouch, kneel, stand still for long periods of time, walk, hike or run to the extent that she was able to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[71] With respect to Ms. Ferguson's pain in her left hip and foot, including the plantar fasciitis which developed in or around 2016, I find that the medical evidence on the whole supports a causal connection between this pain and the injury to Ms. Ferguson's left knee caused by the accident. In addition to the evidence of the physiotherapist in this respect, all of the medical experts, including the defendant's, emphasized that injury to one joint had to be examined and treated in the context of the joints above and below it. There is no question that Ms. Ferguson was still suffering from and treating her left knee symptoms at the time that her left foot pain became an issue, and the hip pain itself has been present since the accident. I find that this pain would not have arisen but for the accident and the injury to Ms. Ferguson's 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[72] With respect to Ms. Ferguson's prognosis, on all the evidence I find that she is likely to continue to suffer chronic pain and limitations in her left knee and right shoulder, as well as tightness in her upper back and neck with associated headaches and sleeplessness. I find that she will continue to require medication, injections, massage, physiotherapy and exercise therapy to address these chronic conditions. While there is some prospect for further improvement, I find that her condition will likely continue to cause depressed mood, frustration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[73] With respect to the impact of these conditions, I find that Ms. Ferguson is limited in her physical ability to work, specifically as an OR nurse. While Ms. Ferguson is able to continue to work in nursing related management positions, I accept that pure management is not Ms. Ferguson's passion. She feels trapped by her lack of opportunities, and is depressed by her inability to provide patient care and perform work that she feels is meaningful and important. She no longer enjoys her work, and it no longer gives her the same pride or satisfaction. She worries that she will not be able to complete her master's degree and will be stuck in a career doing HR work and payroll. She is currently looking for another job, but is limited to administrative roles due to the accident. Overall, she is pursuing the career that she anticipated pursuing in her 60s, not in her 50s, and certainly not in her 40s.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[74] Her injuries have also affected her quality of life and recreational pursuits. Ms. Ferguson testified that for the first couple of years post-accident, she was unable to walk for prolonged periods or on uneven surfaces, as her knee would become swollen or give out unexpectedly. She initially ceased walking to work, hiking, and going on walks through the city. She gained weight following the accident, and suffered from low self-esteem.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[75] In 2015, Ms. Ferguson made the decision to be as active as possible within her limitations. She completed her first hike since the accident in May 2015 on a short, semi-paved, flat trail. She went camping for the first time since the accident in 2017 which, though physically difficult and requiring increased icing and pain relievers, was highly emotionally gratifying.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[76] Ms. Ferguson continues to modify her activities to accommodate her limitations. When she hikes, she wears a knee brace and uses walking poles, and chooses easier and shorter trails, usually around five kilometers in length. When she travels, she engages in sightseeing excursions rather than physical activities. Ms. Ferguson has also modified her social activities since the accident, going home earlier and declining more physically demanding social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[77] Initially Ms. Ferguson's psychological symptoms disabled her from driving, and she continues to experience low mood and anxiety as she struggles to deal with the physical limitations associated with her injuries and symptoms, and the unknowns of her future. She also grieves the loss of her role as an OR nurse in which she took great pride.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[78] Ms. Ferguson has pursued a number of treatments, and there is a possibility that she will undergo surgery for her right shoulder injury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[79] Ms. Ferguson says that her injuries have reduced her earning capacity. At the time of the accident, she was not at her maximum earning capacity. She was working in an administrative position and had not yet begun taking on additional OR shifts to supplement her income. She intended to return to a full-time OR nursing position, where she could earn significantly more, after a couple of years. She says this all changed because of the accident, and but for the accident, she would have pursued one of the following three career paths:</w:t>
      </w:r>
      <w:r>
        <w:rPr>
          <w:rFonts w:ascii="arial" w:eastAsia="arial" w:hAnsi="arial" w:cs="arial"/>
          <w:sz w:val="20"/>
          <w:lang w:val="en-US" w:eastAsia="en-US" w:bidi="ar-SA"/>
        </w:rPr>
        <w:cr/>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she says she may have worked full-time in a non-unionized management or administrative position </w:t>
      </w:r>
      <w:r>
        <w:rPr>
          <w:rFonts w:ascii="arial" w:eastAsia="arial" w:hAnsi="arial" w:cs="arial"/>
          <w:color w:val="000000"/>
          <w:sz w:val="20"/>
          <w:u w:val="single"/>
          <w:lang w:val="en-US" w:eastAsia="en-US" w:bidi="ar-SA"/>
        </w:rPr>
        <w:t>and also</w:t>
      </w:r>
      <w:r>
        <w:rPr>
          <w:rFonts w:ascii="arial" w:eastAsia="arial" w:hAnsi="arial" w:cs="arial"/>
          <w:color w:val="000000"/>
          <w:sz w:val="20"/>
          <w:lang w:val="en-US" w:eastAsia="en-US" w:bidi="ar-SA"/>
        </w:rPr>
        <w:t xml:space="preserve"> in the OR on a casual basis at either a private facility or a hospital in a different health authority, starting six months into her non-unionized position in June 2013 and continuing with an average of eight hours per week in the OR. Assuming she would have continued to work eight hours per week to the date of the trial, which is five years or 260 weeks, and that she would have continued to earn $35.52 per hour, her income loss and lost opportunity to earn income is alleged to be $73,881.60.</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Ms. Ferguson says she may have continued in her full-time administrative position for two years, followed by a return to full-time OR nursing in January 2015. Given her experience and leadership skills, Ms. Ferguson says she would likely have returned to the OR as a Clinical Nurse Coordinator (or equivalent position) in January 2015, which is the highest level an OR nurse can obtain while maintaining the ability to work on-call, in which case her average hourly rate for 2015, 2016 and 2017 would have been $41.64 per hour. In addition, while in this position, Ms. Ferguson says she would have worked on-call, worked some overtime, and worked shifts which earned premiums, such as statutory holidays. Thus, in addition to her regular hours of work, she would likely have been paid the equivalent of working 16 extra hours per week (which may be accomplished by being on-call but not attending at work) and working an additional shift or so each week, resulting in an average annual salary of $116,939.16 and making her loss during this time $45,908.95.</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Ms. Ferguson says that she may have worked as a Quality and Safety Leader for two years while also working in the OR on a casual or part-time basis starting in June 2013, and then would have worked on a full-time basis as a travel nurse starting in January 2015. Assuming she would have earned an average of $52.00 per hour, and would have worked approximately 54 hours per week and taken three weeks of unpaid vacation between postings, Ms. Ferguson says she would have earned an annual salary of approximately $137,592.00, making her loss between January 2015 and June 2018 $118,193.89.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[80] The plaintiff is claiming $100,000 for past loss of earning capacity.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[81] The defendant's main position with respect to Ms. Ferguson's income loss claims is that her career history indicates that she did not work substantial overtime as an OR nurse, and that the accident did not change her career trajectory, which he says was always towards less overtime and more management positions. The defendant therefore says that Ms. Ferguson is not entitled to any damages for past or future income loss as a result of her loss of opportunity to earn overtime and premium pay as a unionized operating room nurse or travel nurse. With respect to past wage loss, the defendant says that Ms. Ferguson is entitled to $20,000 at most.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[82] Specifically, the defendant points to a review of Ms. Ferguson's timesheets as a nurse in Florida, which do not indicate an excessive amount of overtime. In addition, the defendant points to the fact that the plaintiff held two positions at the Florida Hospital that were "management" positions in that she was promoted to positions where she was supervising other nurses. I note that these were not positions of management in the sense used in British Columbia to distinguish between unionized and non-unionized nursing related positions, but would more generally be called "leadership" positions within the nursing profession, and were still patient care positions where overtime could be 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[83] The evidence also establishes that when Ms. Ferguson moved to BC from Florida, she found that her orientation training to work as an OR nurse at BC Children's Hospital was not challenging or stimulating, and that she was used to much greater challenges in her roles in Florida. While she was still in orientation, she was strongly encouraged to apply for a two-year management position as Quality and Safety lead. This was a "management" position in the true sense, in that it is an exempt supervisory position. Ms. Ferguson was in training for the position by November 2012 and started as Quality and Safety Manager on December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[84] Within five months of being in the quality and safety management position, and after the accident, Ms. Ferguson was offered a further promotion to Program Manager of Surgical Services for a temporary, one-year term from October 2013 to October 2014. She later moved back to her quality and safety management position, before being offered the temporary position of C&amp;W Redevelopment Project Clinical Lead of Surgical Services where she was part of the management team preparing for the construction of a new Children's Hospital. Finally, the plaintiff applied for and was hired as Program Manager of Surgical Services and Outpatient Clinics at the Brockville Hospital in Ontario in 2017. In that role she is doing some of the work that a director of a hospital would ordinarily do. The evidence establishes that she chose to apply for and pursue that opportunity because it is close to her parents' home in Ontario, and was able to secure that position despite the lack of a master's degree, which would ordinarily be required. The defendant says that Ms. Ferguson's choice to pursue this opportunity would have occurred regardless of the accident, and makes her other proposed career scenarios less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[85] Throughout her time in all of these management positions Ms. Ferguson has received glowing performance reviews and salary increases. Despite Ms. Ferguson's evidence regarding her personal struggles to complete her work, there is no objective or external evidence that she is unable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[86] On the basis of this evidence, the defendant says that Ms. Ferguson would have continued in management regardless of the accident, and would not have returned to or sought out unionized OR nursing positions; nor can it be predicted that she would have taken on significant paid overtime, premium or on-call work had she returned to OR nursing.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[87] With respect to the suggestion that Ms. Ferguson could have worked as an OR nurse at an equivalent of 54 hours per week, the defendant says that this would essentially require to her to work one-and-a-half positions. He says that these hours are not sustainable on a consistent basis, and indeed the plaintiff has no record of sustaining this extent of overtime shifts in her previous role as an OR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[88] Furthermore, the defendant says that it is highly unlikely that Ms. Ferguson would have sought out OR work in addition to her administrative and management work regardless of the accident. There is no evidence of any other nurses in management positions doing so, and Ms. Ferguson would not have been entitled to any of the overtime premiums for taking on this type of shift work, nor would she have had the seniority to take on premium shifts such as weekends and holidays.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[89] Finally, the defendant says that Ms. Ferguson's potential for travel nursing is significantly overstated, and that the wages paid for travel nursing are not as lucrative as they appear, as they do not include the same benefits, including pension benefits, that staff nurses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[90] The defendant says that Ms. Ferguson managed to increase her income and hours of work steadily and continuously after the accident, and that the accident would not have interfered with that progression. Certainly the evidence establishes that she has continued to earn more each year, including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[91] The defendant says that Ms. Ferguson's past work behaviour is the best predictor of her future and any award should be based on her continuing to work her pre-accident hours. The defendant relies on </w:t>
      </w:r>
      <w:r>
        <w:rPr>
          <w:rFonts w:ascii="arial" w:eastAsia="arial" w:hAnsi="arial" w:cs="arial"/>
          <w:i/>
          <w:color w:val="000000"/>
          <w:sz w:val="20"/>
          <w:lang w:val="en-US" w:eastAsia="en-US" w:bidi="ar-SA"/>
        </w:rPr>
        <w:t>McCarthy v. Davies</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2014 BCSC 1498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[20] Compensation for past loss of earning capacity is to be based on what the plaintiff would have, not could have, earned but for the injury that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and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[21]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plaintiff is entitled to recover damages for only her past net income loss. In exercising this discretion, I must keep in mind that the plaintiff is to be put back in the position she would have been in had the accident not occurred: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paras. 185-186.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[92] The plaintiff need not establish earnings loss on a balance of probabilities - since what would have happened between the date of the accident and prior to the trial is essentially hypothetical, as are predictions regarding future losses. As stated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[22] 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[93] With respect to Ms. Ferguson's first suggested career path, I am not convinced that there is a real and substantial possibility that Ms. Ferguson would have been able to reduce her administrative nursing hours in 2013 or 2014 sufficiently to take on extra shifts OR nursing shifts in another health authority. No examples of nurses in administrative positions doing so were provided, and, in any event, I find that Ms. Ferguson's tendency toward wanting to excel in whatever position she was in would militate against her ability to cut down on the overtime in her administrative position in order to take on these extra shifts. The evidence from other nurses in similar administrative positions is that the work always exceeds the hours available, and was never less than 50 hours a week. While it is possible Ms. Ferguson would have been more efficient but for the accident and her related sleep and health issues, overall I do not consider her taking on a second job at another health authority to be a real possibility on the evidence. After she moved to Brockville, this would have been even more unlikely given that she now has more responsibilities, and a much greater distance to other health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[94] I find that there was a real and substantial possibility that Ms. Ferguson would have completed her work in Quality and Safety and moved back to an OR nursing position at a higher wage level while taking on on-call work and overtime in or about 2015. I also find that there was a real potential for that course of events to have been more lucrative, and I find there is a strong likelihood that she would have worked hours similar to what she worked after the accident (50 hours or more per week). I also accept the evidence that a nurse moving back and forth between unionized OR nursing and management positions is often able to leverage her hourly wage to ensure that her salary is not diminished and that the management positions provide an overall increase in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[95] The defendant would have me rely on the paid overtime hours Ms. Ferguson clocked in the years leading up to the accident, which he says were not significant, rather than the hours she worked after the accident. In this regard, I find that Ms. Ferguson regularly worked additional shifts that were not always clocked in during her nursing training in Florida, and that she generally worked more than 37-40 hours a week, though not the equivalent of 50% more. She also applied herself to her part-time studies for significant periods of her development as a nurse prior to the accident while also working. I find that her orientation period at BC Children's Hospital in the months leading up to the accident is not indicative of the amount of overtime she was likely to take on in future years, in part because on-call and overtime work were not permitted for the majority of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[96] Furthermore, I find that in the two months leading up to the accident, and since the accident, Ms. Ferguson has generally worked over 50 hours per week in her nursing related managerial positions, despite the fact that there is no overtime compensation for these additional hours. Although OR nursing and management nursing present different physical demands, I accept Ms. Ferguson's evidence that OR nursing was also more energizing and compelling for her, such that I do not find that she would have worked a significantly lower number of hours had she been able to continue in OR nursing positions prior to the trial, or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[97] I also find that there is sufficient evidence to establish that there are significant OR nursing opportunities in BC, Ontario and other parts of North America, including requirements to take on on-call work and significant opportunities to perform overtime work. This includes Ms. Ferguson's own evidence of available nursing positions in Brockville,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[98] In order to support an average annual salary of $116,939.16, the plaintiff relies on records published by the BC Provincial Health Services Authority ("PHSA") showing the salary of all employees earning wages of over $75,000 annually in the years leading up to the trial. The defendant objects to these records on the basis that they constitute hearsay evidence with respect to any inferences that may be drawn from them regarding Ms. Ferguson's own potential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[99] I find that these records are admissible as statistical evidence of salaries within the PHSA for the years stated, but I note that their usefulness is limited. They do not show average or even mean salaries, only salaries above $75,000. In addition, with respect to the specific entries on the records, it is not possible to glean from the record itself how the wages were achieved. Nevertheless, these records, together with the evidence of persons who supervised some of the nurses listed on the records, establish that OR nurses can earn substantially above the stated base wage in the collective agreement. I reject the plaintiff's proposition that $116,000 is at the lower end of the 2016-2017 incomes of PHSA nurses, but I do accept that this was an achievable wage for an experienced OR nurse in BC who worked on call, premium and overtime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[100] Overall, I consider that there was a real and substantial possibility that but for the accident Ms. Ferguson would have returned to OR nursing in 2015 upon completion of her term as a Quality and Safety Lead, and that she likely would have been able to leverage her experience in that leadership position to be placed at a higher wage rate averaging $41 per hour between 2015-2017. I find that she would likely have been paid for the equivalent of an extra paid shift each week, through a combination of on-call hours, premium shift rates and straight overtime, for which she would have earned a multiplied factor of the base hourly rate. Furthermore, I find that if she again returned to management roles during this time, she would have had the advantage of negotiating a higher base salary based on any salary she was earning as an OR nurse, thereby generally elevating her overall earning capacity and real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[101] With respect to Ms. Ferguson's position that she may have taken on a position as a travel nurse in 2015 based on Ms. Ferguson's own evidence I do not find this to be a real and substantial possibility for this time period. Ms. Ferguson's evidence was that she looked forward to taking on this opportunity at some point, but not until she had cemented her knowledge and experience in Canadian and BC operating rooms. I have already found that it was very unlikely that she would have taken on OR work while performing her demanding Quality and Safety position. The timeframe for her to have established herself in the operating room sufficiently to begin travel nursing prior to her move to Ontario in 2017 is too slim to give weight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[102] Finally, I must consider the chance that Ms. Ferguson would have been tempted to take the same or a similar career path to the one she ultimately did take, as the defendant suggests. This involved a steady increase in her salary, although essentially no compensation for the overtime that she worked. The opportunities that were presented to her to take on managerial positions would have undoubtedly been available in the absence of the accident, and did have financial and career related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[103] While this possibility cannot be discounted entirely, Ms. Ferguson was attracted to work in BC at least in part by the overtime rates, hourly minimums and rate premiums of unionized OR nursing in BC. Furthermore, I find that she deeply missed the work she performed in the OR during this time. I therefore consider it unlikely that she would have entirely forgone the opportunity to do this work between 2013 and 2018, and at the very least, would have been in a position to work in the union environment for a number of years and to improve her salary position in relation to any other management positions that she ultimately may have taken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[104] Nevertheless, the substantial salary she has made in her administrative positions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[105] Taking into account all of the above factors, I would award Ms. Ferguson $35,000 for loss of past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[106] Ms. Ferguson's main position is that OR nurses have a higher earning potential than the vast majority of nurses working in excluded management or administrative positions, through their ability to work overtime, on-call, and to collect premiums for working weekend, holiday and evening shifts. Furthermore, OR nurses have much greater job opportunities due to a critical shortage of OR nurses in Canada and the USA which has persisted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[107] With respect to her loss of future earning capacity, Ms. Ferguson argues that she had two likely future career paths ahead of her that she would have pursued but for the accident:</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career path, she would have continued working full-time in a non-unionized management position for a time while working in the OR on a casual or part-time basis. Assuming that she would have continued to earn $102,000.00 until retirement at age 67 in her current management role, and taken on an average of three to four shifts per month in the OR on a casual basis, and assuming BC wage grids for OR nurses applied and that she would be at the top level of experience, Ms. Ferguson says her lost capacity to earn is approximately $20,000.00 annually.</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second career path, which Ms. Ferguson says is the most likely she would have taken but for the accident, she would have worked full-time in the OR in a long-term permanent position or as a travel nurse. Given her experience and leadership skills, she says she would most likely have worked as a Clinical Nurse Coordinator (or equivalent position) and would have earned $51.24 per hour (at current rates). In this position, Ms. Ferguson could have worked on-call, worked some overtime, and worked shifts which earned premiums, such as statutory holidays. Thus, in addition to her regular hours of work, she would likely have been paid the equivalent of 16 extra hours per week (without necessarily working those hours). This equates to being paid for approximately 54 hours per week in total. At current rates, Ms. Ferguson's annual salary in this second scenario exceeds $140,000.00. Relative to her current management salary, she argues she is therefore losing the opportunity to earn approximately $40,000.00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[108] Ms. Ferguson states that she would have stopped taking significant overtime in the OR at approximately age 60-62 due to the physical demands of OR nursing. In her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Ms. Ferguson testified that prior to the accident, she planned to work full-time as an OR nurse until at least age 60, and then to gradually stop taking overtime and on-call shifts. She planned to work until she no longer could. At that point, she may have continued in the OR but worked fewer overtime and on-call hours, found more lucrative but short term travel nursing assignments, or sought out a full-time management or administrative position until she retired at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[109] Ms. Ferguson says two other factors to consider in assessing her diminished earning capacity include:</w:t>
      </w:r>
      <w:r>
        <w:rPr>
          <w:rFonts w:ascii="arial" w:eastAsia="arial" w:hAnsi="arial" w:cs="arial"/>
          <w:sz w:val="20"/>
          <w:lang w:val="en-US" w:eastAsia="en-US" w:bidi="ar-SA"/>
        </w:rPr>
        <w:cr/>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 and substantial possibility that she will be off work for an extended time following shoulder surgery, and</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 and substantial possibility that she will retire earlier, or reduce her hours to a part-time work week, because of her continuing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[110] Given all of this, the plaintiff says a mathematical calculation is helpful, but not determinative. Instead, a global capacity approach - with consideration to the illustrations above - is the most practical way to assess value of Ms. Ferguson's future loss of capacity. The plaintiff submits the following cases are illustrative of the global capacity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[111] In </w:t>
      </w:r>
      <w:r>
        <w:rPr>
          <w:rFonts w:ascii="arial" w:eastAsia="arial" w:hAnsi="arial" w:cs="arial"/>
          <w:i/>
          <w:color w:val="000000"/>
          <w:sz w:val="20"/>
          <w:lang w:val="en-US" w:eastAsia="en-US" w:bidi="ar-SA"/>
        </w:rPr>
        <w:t>Lauriente v. Schoonhoven</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2017 BCSC 2246</w:t>
        </w:r>
      </w:hyperlink>
      <w:r>
        <w:rPr>
          <w:rFonts w:ascii="arial" w:eastAsia="arial" w:hAnsi="arial" w:cs="arial"/>
          <w:color w:val="000000"/>
          <w:sz w:val="20"/>
          <w:lang w:val="en-US" w:eastAsia="en-US" w:bidi="ar-SA"/>
        </w:rPr>
        <w:t>, a case involving an emergency room nurse who suffered chronic headaches and depression as a result of two car accidents, the court took into account the positive and negative contingencies, including the possibility of improvement, the chance of early retirement and the potential need to reduce her workload further, and awarded $450,000 for her diminished ability to earn income as a result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[112] In </w:t>
      </w:r>
      <w:r>
        <w:rPr>
          <w:rFonts w:ascii="arial" w:eastAsia="arial" w:hAnsi="arial" w:cs="arial"/>
          <w:i/>
          <w:color w:val="000000"/>
          <w:sz w:val="20"/>
          <w:lang w:val="en-US" w:eastAsia="en-US" w:bidi="ar-SA"/>
        </w:rPr>
        <w:t>Young v. Insurance Corp. of British Columbia</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2018 BCSC 138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the court accepted that the plaintiff was incapable of fulfilling the normal requirements of the job of a registered psychiatric nurse such as sustained sitting or standing, and would not likely be able to work full-time. The court calculated the plaintiff's loss of future income based on the assumption that she is likely to return to full-time employment in the future, albeit with an annual income lower than that of a psychiatric nurse, and came to a figure of $800,000.00.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[113] Overall, Ms. Ferguson says that a fair award for her diminished future earning capacity is $300,000.00.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[114] The defendant essentially takes the same position for future earning capacity as he does for past earning losses. He says that Ms. Ferguson's suggested future career paths are not realistic, and that her past pre-accident work history indicates that she would have most likely pursued the same management positions that she ultimately accepted and excelled in, and where her salary has continued to increase. The defendant's position on damages under this head is that nothing should be awarded, or that if there is any award, it should be less than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[115] With respect to the suggestion that Ms. Ferguson would continue in management but would have worked extra shifts, the defendant says that this is made even more unlikely by her move to Brockville, Ontario, where the next nearest health authority is over an hour away. He also says that this is unlikely given the hourly demands of her current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[116] Finally, the defendant says that if the plaintiff is entitled to any award, it should be extremely minor on the basis that she has voluntarily moved to a smaller community, her life circumstances have changed in the sense that she wants to be close to her parents, and that she is spending more time with her family. She is also now pursuing a master's degree, which requires approximately 20 hours of her attention per week. Her ability to work overtime or take on other shifts is therefore limited given her family responsibilities, her educational and recreational ambitions, and her requirements to cook, clean and live independently.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[117] A claim for loss of future earning capacity raises two key questions: 1) has the plaintiff's earning capacity been impaired by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The plaintiff must establish that there is a real and substantial possibility of a future event leading to an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[118]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[119]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[120] There are two possible approaches to assess loss of future earning capacity: the "earnings approach" and the "capital asset approach". Both approaches are correct. The "earnings approach" will generally be more useful when the loss is easily measurable: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[121]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 Gilbert v. Bottle</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[122]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 and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and 56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[123] Though the capital asset approach is not a "mathematical calculation", I must still set out the factual basis of the award: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[124]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[125] Furthermore, increased earnings and efforts to mitigate the loss will not preclude an award. In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Justice Southin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[126] I find Ms. Ferguson's first proposed career path to be highly unlikely, such that it does not amount to a real and substantial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[127] I find that her second suggested career path wherein she would return to OR nursing for some period of time to be very likely, even if not for the entire period of time she suggests.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[128] I accept that there are ample OR positions available in BC, and even in Brockville, where Ms. Ferguson currently resides. In Ontario, the nursing wages stated in the collective agreements are approximately 5-10% less per hour than in BC for an experienced nurse, though I find that Ms. Ferguson was likely to continue to move to find new and lucrative opportunities as she has throughout her nursing career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[129] In addition to this probable loss in actual income, I must also consider Ms. Ferguson's broader loss in terms of her ability to access operating room nursing positions. I find that this has rendered her less capable overall of earning income from this broader range of employment, has made her less marketable or attractive as a potential employee; and that she has lost the ability to take advantage of job opportunities in a high demand field that would otherwise have been open to her. Finally, there is no question that Ms. Ferguson considers herself less valuable as a person capable of earning income and providing direct care to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[130] This is therefore an assessment and not a calculation. Overall, I consider that Ms. Ferguson's financial losses amount to approximately $12-15,000 per year going forward in terms of potential salary differentials. Her losses of opportunity to move around as a travel nurse, or to take permanent OR nursing positions, are also a real loss, to which I would ascribe a value of approximately 15% of her current salary. These amounts are roughly equivalent and confirm the appropriateness of an award in this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[131] I would ascribe this loss to her for a period of an additional 15 years, after which I find that Ms. Ferguson was so likely to have found herself squarely in a management position that ascribing OR nursing wages and opportunities to her would not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[132] Overall, I would award Ms. Ferguson $225,000 in damages for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[133] Ms. Ferguson seeks damages for loss of housekeeping capacity as a distinct head of damage separate and apart from her claims for the cost of housekeeping assistance as a part of her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[134] Ms. Ferguson and Mr. Muha testified that a very significant reduction in her housekeeping activities began immediately after the accident. Ms. Ferguson then gradually returned to contributing to the household chores over the course of approximately one year. Since she began living alone in 2014 she has taken on much of the housekeeping herself again, incorporating pacing strategies, but not deep cleaning. Prior to the accident Ms. Ferguson did the overwhelming majority of the outdoor chores when she lived in a home with a yard. She enjoyed gardening and did not shy away from heavier yard work, as well as routine planting and weeding. Since moving to Ontario in 2017, she has been unable to attend to routine yard maintenance and gardening that she was previously able to perform, and that she enjoyed.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[135] Ms. Ferguson claims $18,000.00, which is approximately $1,000.00 per year, for future loss of housekeeping capacity.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[136] The defendant addresses this claim as an element of Ms. Ferguson's damages for costs of future care for housework assistance, but even there says that the claim is not compensable as pecuniary damages, but is better dealt with, if at all, as a claim for non-pecuniary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[137] Damages for loss of housekeeping capacity are conceptually distinct from other heads of damage and this award may be given both prospectively and retrospectively.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[138] In </w:t>
      </w:r>
      <w:r>
        <w:rPr>
          <w:rFonts w:ascii="arial" w:eastAsia="arial" w:hAnsi="arial" w:cs="arial"/>
          <w:i/>
          <w:color w:val="000000"/>
          <w:sz w:val="20"/>
          <w:lang w:val="en-US" w:eastAsia="en-US" w:bidi="ar-SA"/>
        </w:rPr>
        <w:t>McTavish v. MacGillivray et al.</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the Court of Appeal discussed loss of housekeeping capacity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In my view, when housekeeping capacity is lost, it is to be remunerated. When family members by their gratuitous labour replace costs that would otherwise be incurred or themselves incur costs, their work can be valued by a replacement cost or opportunity cost approach as the case may be. That value provides a measure of the plaintiff's loss. Like the trial judge I would prefer to characterize such compensation as general damages assessed in pecuniary terms, reserving special damages for those circumstances where the plaintiff actually spent money or incurred a monetary liability, although I do not wish to state a settled view on that question in the absence of full submissions as to the consequences of the distinction,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[139] Madam Justice Kirkpatrick affirmed that the law in respect of loss of housekeeping capacity is conceptually distinct from costs of care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 67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I understand the principle, it is the loss of a capacity - an asset - that is compensated. Accordingly, because the award reflects the loss of a personal capacity, it is not dependent upon whether replacement housekeeping costs are actually incurred. Damages for the cost of future care serve a different purpose from awards for loss of housekeeping capacity. Unlike loss of housekeeping capacity awards, damages for the cost of future care are directly related to the expenses that may reasonably be expected to be required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22). ...</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[140] While I agree that loss of housekeeping capacity is a distinct head of damages, there is significant overlap in the plaintiff's claims in this regard with her claims for cost of future care. There was approximately one year, on the evidence, when Ms. Ferguson required the assistance of her then husband to assist with housekeeping that she had previously done but was unable to do. After that date, the evidence is that she lived independently, and was able to do much of the housekeeping for herself without any assistance in a smaller apartment. When she moved to Brockville and her larger home with a yard approximately one year before trial, she began to incur additional expenses. However, she continues to do her own cleaning, cooking, and other housekeeping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[141] While the loss of the ability to perform one's own housekeeping is a loss in and of itself, in this case Ms. Ferguson also claims direct compensation for these costs going forward as an aspect of her claim for cost of future care. During the one year where she was unable to perform this work, she had unpaid help to replace her own capacity. I would award her $1,000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[142] The remaining claims with respect to housekeeping and yard work properly fall under claims for cost of future care in this case, as they are claims for work that her healthcare providers have recommended that she seek assistance with, despite the fact that she does some of them herself already. I will address these under the heading of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[143] The claim for cost of future care is one of the areas of largest contention in this case, with the plaintiff seeking to recover $215,000 and the defendant suggesting that the award should be less than $8,000.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[144] The plaintiff relies primarily on the report of the occupational therapist, Ms. Ditson, together with additional recommendations by Ms. Ferguson's family doctor, Dr. Parhar.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[145] These recommendations include costs for items such as heat pads ($80), supportive shoes ($1500), medications ($31,550) and monovisk injections into her knee ($7,900). They also include costs for ongoing therapies, including physiotherapy for nine sessions on average per year to the age of 80 ($15,220), massage therapy sessions once every three to four weeks to the age of 80 ($27,060), and ergonomic assessment of Ms. Ferguson's workstation ($200-$400 plus the cost of ergonomic equipment), osteopathy services in the short term pending an appropriate physiotherapist being located ($500), and an allowance for some psychological services ($900).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[146] Ms. Ferguson seeks some recovery for the costs of her gym membership. She recognizes that she has had a long history of gym attendance as a recreational activity prior to the accident, but says that the accident now requires her to attend the gym as part of her rehabilitation, rather than simply for recreational purposes, and requires she attend a gym with a greater accommodation of her needs. She argues that the defendant should make a contribution towards this expense. Her current gym fees are $600 to $700 per year, and the cost of consulting with the kinesiologist is approximately $75 per session. She seeks a total contribution from the defendant of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[147] Ms. Ferguson also seeks compensation for the possibility that she may undertake shoulder surgery in the future, as recommended by Dr. Zarkadas. Ms. Ferguson has no immediate plans to pursue the surgery but she is open to further consideration on the basis of how her shoulder injury progresses. If she were to pursue the surgery she would likely require post-operative physiotherapy treatment, occupational therapy, assistive devices, medication for healing and pain management, personal care assistance, some additional household assistance, and transportation assistance. Ms. Ferguson seeks an additional $10,000 to cover this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[148] Finally, these recommendations include an allowance for two hours per week of indoor housekeeping assistance to the age of 80 at approximately $120,000. Both Ms. Ditson and Dr. Parhar recommend yard work and maintenance assistance. Dr. Parhar recommends six days per year of seasonal cleaning assistance for heavier household chores both inside and outside the home. Ms. Ditson recommends assistance with a broader range of outdoor tasks, including lawn mowing, gutter cleaning, weeding, raking leaves, planting bed preparation, pruning and snow removal. Based on Ms. Ditson's recommendations, the plaintiff is seeking $2,000 a year to the age of 65 for this work and an additional $750 per year thereafter to the age of 82 recognize that Ms. Ferguson would have required some assistance in her later years with these tasks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[149] I note that the plaintiff is not seeking the full costs of all of the recommended items or therapies, and has generally sought recovery at the lower end of these recommendations, or sought contribution rather than full indemnity in a number of instances in her itemized claims above. She furthermore claims that, although these itemized amounts would amount to approximately $250,000 in future care costs, the total that she is seeking, taking into account the cost of future care, is a global assessment of $215,000.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[150] Ms. Ferguson says that the evidence shows that prior to the accident she was an active gardener, and did most of the housework, cleaning work and yard work. Although she lived in an apartment at the time of the accident and until 2017, prior to that date she had lived in homes with significant yards, been an active gardener, and had regularly shoveled snow while living in Ontario. She says that she would have continued to do even heavy cleaning and yard work were it not for the accident, and that she would have continued these activities until her mid 60s.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[151] The defendant argues that Ms. Ferguson's future care requirements are limited to exercise and ongoing strengthening at most. He says that she has already received extensive instruction from a physiotherapist and kinesiologist and can now pursue that physical training without further supervision.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[152] The defendant also says that the future care requirements should be limited to a much shorter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[153] With respect to the specific items recommended by the occupational therapist and sought by Ms. Ferguson, the defendant objects to any payment for the heat pad on the basis that Ms. Ferguson already has one and does not require regular replacement of it. The defendant objects to the contribution towards more supportive orthopedic shoes on the basis that this would have been required in any event as a result of the plaintiff's development of plantar fasciitis in 2016, and that no ongoing requirements arise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[154] With respect to the costs of medication, the defendant relies on coverage by her benefits plan as reflected in her special damages claim. He says that as a result, minimal recovery should be awarded for this, or in the alternative the most that should be awarded for prescription and non-prescription medicines is $5,000. They say the expert medical evidence does not support continued Monovisc injections and no award should be made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[155] With respect to ongoing therapeutic services, the defendant submits that there is no ongoing need for psychological or counselling services. He notes that osteopathy services have not been specifically recommended, and says that no ergonomic assessment has yet to be done and it is unlikely that she will do so in the future. The defendant asserts that Ms. Ferguson's employer would be able to pay for this in any event. With respect to massage therapy, the defendant says that this is not a curative therapy and is generally not recommended by the doctors for this purpose. It is only recommended by Dr. Parhar to relieve severe exacerbation of symptoms. Overall, the defendant says that the extent of the plaintiff's current use of massage therapy is excessive and is driven more by her personal interest, and that more active therapies should be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[156] The defendant is prepared to support a small amount for physiotherapy over the next six months for a total of $745, but says that no ongoing or indefinite physiotherapy is recommended or required. The defendant is also prepared to contribute to the cost of gym membership, which the defendant continues to submit is the main therapy required by the defendant, at a cost of $600 to $2,000 for a period of one to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[157] With respect to the contingency costs of surgery, the defendant takes the position that no surgery is necessary, and that in any event on the evidence Ms. Ferguson is unlikely to pursue this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[158] With respect to Ms. Ferguson's claim for housekeeping costs, the defendant notes that the plaintiff was living in a 1,000 square-foot apartment for the year following the accident and her husband was able to assist her with housekeeping during this time. In 2014 she moved into a rented 600 square-foot apartment on her own where she was capable of preparing her own meals and keeping her small apartment tidy and clean. When she moved to Ontario in the spring of 2017, she purchased of two-story home on a half-acre lot with a long driveway. In her current situation she does and is able to cook for herself, go grocery shopping, clean the kitchen and countertops, vacuum the house, sweep the bathroom floors, and do bathroom cleaning that she is able to do standing up. With respect to yard maintenance, the defendant says that there is no evidence that she is unable to mow her own lawn, the extent of any gardening that she currently does, and that much of the yard and maintenance work she claims is work that would ordinarily be contracted out. She is generally independent in her activities of daily living. The defendant objects to any payment for housekeeping costs, but specifically payments related to her larger property that she was moved into since 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[159] The defendant relies on the case of </w:t>
      </w:r>
      <w:r>
        <w:rPr>
          <w:rFonts w:ascii="arial" w:eastAsia="arial" w:hAnsi="arial" w:cs="arial"/>
          <w:i/>
          <w:color w:val="000000"/>
          <w:sz w:val="20"/>
          <w:lang w:val="en-US" w:eastAsia="en-US" w:bidi="ar-SA"/>
        </w:rPr>
        <w:t>Travis v. Kwon</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 xml:space="preserve">, for the proposition that housekeeping assistance is not medically justified and is better dealt with as non-pecuniary damages. The defendant also relies on </w:t>
      </w:r>
      <w:r>
        <w:rPr>
          <w:rFonts w:ascii="arial" w:eastAsia="arial" w:hAnsi="arial" w:cs="arial"/>
          <w:i/>
          <w:color w:val="000000"/>
          <w:sz w:val="20"/>
          <w:lang w:val="en-US" w:eastAsia="en-US" w:bidi="ar-SA"/>
        </w:rPr>
        <w:t>Friesen v. Pretorius Estate</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(1997) 37 B.C.L.R. (3d) 255</w:t>
        </w:r>
      </w:hyperlink>
      <w:r>
        <w:rPr>
          <w:rFonts w:ascii="arial" w:eastAsia="arial" w:hAnsi="arial" w:cs="arial"/>
          <w:color w:val="000000"/>
          <w:sz w:val="20"/>
          <w:lang w:val="en-US" w:eastAsia="en-US" w:bidi="ar-SA"/>
        </w:rPr>
        <w:t xml:space="preserve"> (C.A.) at para. 37 for the proposition that the assessment of damages for cost of care cannot be affected by the choices of the injured person such as moving to Ontario.</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[160] The plaintiff is entitled to compensation for the cost of future care based on what is reasonably necessary to restore her to her pre-accident condition insofar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[31]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 84; and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[161] Future care costs are "justified" if they are both medically necessary and likely to be incurred by the plaintiff. The award of damages is thus a matter of prediction as to what will happen in the future. If a plaintiff has not used a particular item or service in the past it may be inappropriate to include its cost in a future care award. However, if the evidence shows that previously rejected services will not be able to be rejected in the future, the plaintiff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at paras. 55, 60 and 68-70.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[162]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[163]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Decision re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[164] The defendant's position with respect to the compensable costs of future care follows from his position that Ms. Ferguson does not suffer from any debilitating or chronic injuries sustained to her knee or neck or shoulder as a result of the accident. This position also seems to be informed by a view that all Ms. Ferguson is required to do is to lose weight. The defendant's position that no ongoing therapies are required flows from this position, which I have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[165] Nevertheless, the number of years for which Ms. Ferguson claims she will require the level of intensity of therapy that she claims is overstated on the evidence. While she has made some allowances for negative and positive contingencies in the future in terms of what services she may have required in any event, I find that the amount she seeks is higher than what she is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[166] Ms. Ferguson's most significant claim is for housekeeping at $120,000, assuming assistance two hours each week until she is 80. I find on Ms. Ferguson's evidence that she is capable of doing much of her own housework, but that deep cleaning is no longer possible for her. I further find that it is likely that she would have required assistance with deep cleaning regardless of the accident by the time she was 68. I award her $15,000 to assist with paying a cleaner a few hours each month to perform deep cleaning tasks that she cannot perform safely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[167] With respect to yard work, I find that Ms. Ferguson has been disabled from doing some of the yard work she used to enjoy doing. However, the amount of work that Ms. Ditson recommends she have done relates at least in part to her choice to purchase a home with substantial grounds. In addition, Ms. Ferguson's own evidence is that she remains able to do at least some of this work. I award Ms. Ferguson $5,000 in compensation to pay for assistance with some of the moderately strenuous work she may have done but for the accident in any house she may have moved into or may still move into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[168] I see no reason to depart from Ms. Ditson's recommendations regarding specific devices such as heating pads, and shoes with supportive insoles. The same is true of recommended therapies, including massage and physiotherapy, psychological counselling, an ergonomic assessment, and monovisc injections. I would make a global award for all of these items of $50,000 taking into account the estimated costs and frequencies of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[169] With respect to medications, Ms. Ferguson claims over $31,000 for ongoing medications based on their retail cost. However, her special damages claim strongly suggests that these costs have been covered substantially to date by her insurance. I would award $5,000 to cover any future medication costs that are not otherwise covered by her employment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[170] Ms. Ferguson seeks a total contribution from the defendant of $1,500 towards the costs of her gym membership. This is within the range that the defendant agreed is appropriate and I make that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[171] With respect to future potential shoulder surgery and recovery time and costs, I agree with the defendant that on Ms. Ferguson's own evidence she is not likely to agree to this surgery. However, I consider that she may yet be persuaded or required to do so. Taking into account the contingency that she may not pursue surgery, and the substantial awards for related therapies that she are already anticipated, I limit this award to $2,500.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[172] Ms. Ferguson seeks $22,611.77 in special damages covering numerous items since the accident, including medication, a contribution to her gym membership, massage therapy, physiotherapy and kinesiology, lawn care and maintenance, osteopathy consultations, a back support, mileage, parking, rental care and taxi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[173] The defendant objects to some but not all of these claims, most particularly the extent of the costs sought with respect to rental vehicles and taxis, yard maintenance, and the extent of her massage and physiotherapy. However, he agrees to the costs of the psychologist, medications, a significant portion of the mileage and parking, and the costs of various fitness endeavours and devices. He says that the costs of these items should be awarded in the amount of $20,375.85.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[174] It is well established that an injured person is entitled to recover the reasonable out-of-pocket expenses he or she incurred as a result of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[175]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[176] I agree with the defendant that the plaintiff's claims for rental vehicles costs is overstated, and includes some costs that were not necessary for her transportation or rehabilitation. I would still award a significant portion of this amount, however. I also agree with the defendant that the tree removal costs claimed by Ms. Ferguson for her new home are beyond what the defendant should be required to bear as a result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[177] Taking all of the above into account, I award Ms. Ferguson $20,900 in special costs, excluding her educational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Education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[178] The more difficult issue is Ms. Ferguson's claims for the costs of her master's degree. Ms. Ferguson states that in order to stay competitive in the marketplace at the management level of nursing, she is required to work toward, and ultimately obtain, a master's degree in nursing. She has been undertaking such a degree on a part-time remote basis from George Washington University in the United States while pursuing her full-time employment. She says she would not have undertaken this program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[179] The cost of this program is in US dollars but the amounts in Canadian dollars that she has incurred to date are approximately $32,500 in tuition and another $150 in textbooks. She is required to complete seven more classes to obtain her degree at approximately $4,500 Canadian per class for a total of $31,500 and further tuition. She anticipates another $200 will be required for further textbooks.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[180] Her current job requirement would ordinarily require a master's degree, and her employers have considered it important that she is pursuing that degree. A master's degree is generally a requirement for most managerial or administrative nursing positions. Although Ms. Ferguson has qualified for a number of positions to date without having obtained such a degree, I find on the evidence that to be competitive in the area of administrative nursing roles, a master's degree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[181] The defendant says that this is a not a legitimate expense with respect to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[182] In addition, he says that the defendant should not be required to both pay for a master's program and pay future wage loss on the basis of Ms. Ferguson continuing to work as an OR nurse with substantial overtime. He says that these positions are inconsistent and had the plaintiff stayed on as an OR nurse she would not have had to obtain her master's degree. If the plaintiff stayed in nursing management, she would have had to obtain a master's degree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[183] I find that it is likely that Ms. Ferguson would have pursued a master's degree, though unlikely she would have done so until her late 50's were it not for the accident. The accident required her to become more competitive in the narrower field of management opportunities much sooner than would otherwise have been required. I also find that the defendant has benefited from Ms. Ferguson's ambitious plan to pursue that degree while continuing to work full-time, and that her pursuit of a master's degree at this time has assisted her in obtaining and maintaining her current management job and salary. This has led to a significant mitigation of Ms. Ferguson's losses, from which the defendant has benefitted. Although Ms. Ferguson's claim is for amounts greater than a management salary in the near future on the basis of overtime work of an OR nurse, the awards I have made in this case take into account the substantial salary she has made in her management positions to date and is likely to continue to make. I also find that while mitigating her losses in terms of the abundance and flexibility of nursing work she would otherwise have been qualified to do, the master's degree does not completely restore the breadth of those opportunities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[184] The costs of retraining are generally recoverable as damages against the defendant, particularly where those costs will benefit the defendant in the longer term in relation to pecuniary claims for past and future wage losses, as well as non-pecuniary damages. In </w:t>
      </w:r>
      <w:r>
        <w:rPr>
          <w:rFonts w:ascii="arial" w:eastAsia="arial" w:hAnsi="arial" w:cs="arial"/>
          <w:i/>
          <w:color w:val="000000"/>
          <w:sz w:val="20"/>
          <w:lang w:val="en-US" w:eastAsia="en-US" w:bidi="ar-SA"/>
        </w:rPr>
        <w:t>S.R. v. Trasolini</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2013 BCSC 1135</w:t>
        </w:r>
      </w:hyperlink>
      <w:r>
        <w:rPr>
          <w:rFonts w:ascii="arial" w:eastAsia="arial" w:hAnsi="arial" w:cs="arial"/>
          <w:color w:val="000000"/>
          <w:sz w:val="20"/>
          <w:lang w:val="en-US" w:eastAsia="en-US" w:bidi="ar-SA"/>
        </w:rPr>
        <w:t>, Madam Justice Ballance held that the cost of reasonable retraining, incurred prior to trial, could be compensated under the heading of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[219] The law has long-recognized the cost of reasonable retraining to be a proper element of recovery under future loss: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(1991), (BC CA), </w:t>
      </w:r>
      <w:hyperlink r:id="rId413" w:history="1">
        <w:r>
          <w:rPr>
            <w:rFonts w:ascii="arial" w:eastAsia="arial" w:hAnsi="arial" w:cs="arial"/>
            <w:i/>
            <w:color w:val="0077CC"/>
            <w:sz w:val="20"/>
            <w:u w:val="single"/>
            <w:shd w:val="clear" w:color="auto" w:fill="FFFFFF"/>
            <w:lang w:val="en-US" w:eastAsia="en-US" w:bidi="ar-SA"/>
          </w:rPr>
          <w:t>53 B.C.L.R. (2d) 44</w:t>
        </w:r>
      </w:hyperlink>
      <w:r>
        <w:rPr>
          <w:rFonts w:ascii="arial" w:eastAsia="arial" w:hAnsi="arial" w:cs="arial"/>
          <w:color w:val="000000"/>
          <w:sz w:val="20"/>
          <w:lang w:val="en-US" w:eastAsia="en-US" w:bidi="ar-SA"/>
        </w:rPr>
        <w:t xml:space="preserve"> at 59 (C.A.); </w:t>
      </w:r>
      <w:r>
        <w:rPr>
          <w:rFonts w:ascii="arial" w:eastAsia="arial" w:hAnsi="arial" w:cs="arial"/>
          <w:i/>
          <w:color w:val="000000"/>
          <w:sz w:val="20"/>
          <w:lang w:val="en-US" w:eastAsia="en-US" w:bidi="ar-SA"/>
        </w:rPr>
        <w:t>Power v. Carswell</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2011 BCSC 1672</w:t>
        </w:r>
      </w:hyperlink>
      <w:r>
        <w:rPr>
          <w:rFonts w:ascii="arial" w:eastAsia="arial" w:hAnsi="arial" w:cs="arial"/>
          <w:color w:val="000000"/>
          <w:sz w:val="20"/>
          <w:lang w:val="en-US" w:eastAsia="en-US" w:bidi="ar-SA"/>
        </w:rPr>
        <w:t xml:space="preserve"> at paras. 201-202. Counsel did not direct my attention to any authorities concerning recovery of that expense where it has been incurred before trial. However, I can see no principled reason to deny recovery of such cost where it is incurred prior to trial provided it is otherwise reasonable and appropriate. Given the nature of Ms. R.'s deficits brought about by the Accident and the poor outcome of her post-Accident job search, it was reasonable for her to take appropriate steps to enhance her general employability by taking those courses. Accordingly, she is entitled to compensation for that out-of-pocket cost in the amount of $3,895.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[185] In </w:t>
      </w:r>
      <w:r>
        <w:rPr>
          <w:rFonts w:ascii="arial" w:eastAsia="arial" w:hAnsi="arial" w:cs="arial"/>
          <w:i/>
          <w:color w:val="000000"/>
          <w:sz w:val="20"/>
          <w:lang w:val="en-US" w:eastAsia="en-US" w:bidi="ar-SA"/>
        </w:rPr>
        <w:t>Azuma-Dao v. MKA Leasing Ltd.</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2012 BCSC 10</w:t>
        </w:r>
      </w:hyperlink>
      <w:r>
        <w:rPr>
          <w:rFonts w:ascii="arial" w:eastAsia="arial" w:hAnsi="arial" w:cs="arial"/>
          <w:color w:val="000000"/>
          <w:sz w:val="20"/>
          <w:lang w:val="en-US" w:eastAsia="en-US" w:bidi="ar-SA"/>
        </w:rPr>
        <w:t>, the court awarded the plaintiff damages for past wage loss due to her enrolment in a teaching program to retrain, adjusted for contingencies and failure to mitigate. The plaintiff also claimed the cost of her university tuition and books under the head of special damages. The court allowed these costs ($9,288.40 for tuition and $513.45 for books), but reduced them by 50% to account for contingencies, including the "substantial possibility that she would have wished to retrain at some point in the future, even if the accident had not occurred": see para.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[186] Ms. Ferguson's retraining in this case is expensive, but no evidence was put to the court with respect to lesser alternative options for Ms. Ferguson, particularly in the context of her continued full-time work, from which the defendant significantly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[187] On the other hand, I find that Ms. Ferguson was likely to undertake a master's program in the future. She indicated that this was something her parents hoped for her, and that she contemplated doing perhaps much later in her career. I would therefore award Ms. Ferguson a portion but not all of her educational costs, to account for this expense coming a decade or more earlier in her career than it was likely to. I award Ms. Ferguson her costs to date with respect to her master's program in the amount of $32,650.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[188] Finally, with respect to her non-pecuniary losses, Ms. Ferguson is seeking damages in the range of $135,000 to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[189] She says that despite her ongoing limitations, she has carried on working as much as she can: pushing her limits, suffering setbacks, doing her master's degree courses, working longer hours to compensate for taking breaks and taking longer to complete tasks. Ms. Ferguson pushes herself at work out of necessity to complete her duties, and her hard working personality. The fact that Ms. Ferguson continues to work long hours since the accident in this case is not an indication that she is not suffering. She is a workaholic by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[190] The plaintiff refers to cases with ranges of $125-$150,000 for similar injuries and levels of impact. The lowest comparable case provided by the plaintiff is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where non-pecuniary damages in the amount of $110,000.00 were awarded to a psychiatric nurse in the context of lost earning capacity damages of $800,000. In that case, the plaintiff suffered from soft tissue injuries to her neck and back, a chronic injury to her hip and psychological injuries as a result of the motor vehicle accident. Though she had pursued all major treatments and had even had surgery, pain in her hip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[191] A number of comparable cases with awards of around $150,000 were provided, including </w:t>
      </w:r>
      <w:r>
        <w:rPr>
          <w:rFonts w:ascii="arial" w:eastAsia="arial" w:hAnsi="arial" w:cs="arial"/>
          <w:i/>
          <w:color w:val="000000"/>
          <w:sz w:val="20"/>
          <w:lang w:val="en-US" w:eastAsia="en-US" w:bidi="ar-SA"/>
        </w:rPr>
        <w:t>Gulati v. Chan</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2015 BCSC 431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Redmond v. Krider</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2015 BCSC 178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Risling v. Riches-Glazema</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2016 BCSC 2423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[192] The defendant submits that the reasonable range of non-pecuniary damages is $75,000 to $80,000. The defendant relies on a number of cases which it says related to similar soft tissue injuries where the awards were in this range, including </w:t>
      </w:r>
      <w:r>
        <w:rPr>
          <w:rFonts w:ascii="arial" w:eastAsia="arial" w:hAnsi="arial" w:cs="arial"/>
          <w:i/>
          <w:color w:val="000000"/>
          <w:sz w:val="20"/>
          <w:lang w:val="en-US" w:eastAsia="en-US" w:bidi="ar-SA"/>
        </w:rPr>
        <w:t>Jorgenson v. Coonce</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2013 BCSC 158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Owen v. Peljhan</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2017 BCSC 423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Kuras v. Repo</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2014 BCSC 1634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Park v Tagonski</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2015 BCSC 555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[193]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[194]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4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 </w:t>
      </w:r>
      <w:hyperlink r:id="rId289"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[195] The assessment of non-pecuniary damages is necessarily influenced by the individual plaintiff's personal experiences in dealing with his or her injuries and their consequences: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[196] I find on all the evidence that Ms. Ferguson's injuries have resulted in chronic, persistent, disabling pain which continues to impact her. The life she has ahead of her is not likely to be as enjoyable as a result of the accident and the injuries that continue to affect her - causing pain, discomfort, sleep disruption, loss of self esteem, limiting her recreational activities, causing her to take medication that may compromise her long term health, diverting time and energy to attend therapy, causing her to have less energy to engage in activities outside of work, and causing her stress and anxiety about her future. Most significantly, the accident has forced her to abandon the operating room. This has affected her identity as a capable and significant contributor to the direct care of patients, and has led her to question her own worth. While she still identifies as a nurse, and continues to wear her scrubs years after the accident even in her management roles, her sense of loss in this regard is acute and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[197] I would note in this case in particular that Ms. Ferguson's stoicism and perseverance in working through her pain has undoubtedly reduced her financial losses. I do not find, however, that it suggests that she is any less in pain, or less emotionally affected by the loss. To the contrary, I find that she has worked harder to make up for any lag in her physical or mental abilities caused by the accident and her ongoing symptoms and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[198] In these circumstances, I find that her non-pecuniary losses are particularly significant and require compensation. I award $140,000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[36] In summary, the defendant is required to pay Ms. Ferguson damages in the following amounts:</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 Pecuniary Damages: $140,000</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 $35,000</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 $225,000</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 $1,000</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 $79,000</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including education expenses: $53,550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[199] The plaintiff is entitled to court order interest, in accordance with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She is also entitled to her costs at the usual scale, subject to the existence of any offers or other matters that I have not been made aware of. Should the parties require direction with respect to either of these matters, they may make arrangements with court scheduling within 30 days of the release of these reasons to appear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MARZARI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2" style="position:absolute;z-index:2518241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Ho v. Hoogbruin (c.o.b. Hoogbruin and Co.), [2005] B.C.J. No. 1366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Sinclair Prowse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14 and November 24, 2003; and March 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April 15,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S004124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1366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897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140 A.C.W.S. (3d) 176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B.C.T.C. 897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Susana Ho and Susan and Kay Holdings Ltd., plaintiffs, and Michael R. Hoogbruin O/A Hoogbruin and Company and Michael R. Hoogbruin Professional Law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3"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1" w:name="Keywords_13"/>
      <w:bookmarkEnd w:id="111"/>
      <w:r>
        <w:rPr>
          <w:rFonts w:ascii="arial" w:eastAsia="arial" w:hAnsi="arial" w:cs="arial"/>
          <w:b/>
          <w:color w:val="000000"/>
          <w:sz w:val="20"/>
          <w:lang w:val="en-US" w:eastAsia="en-US" w:bidi="ar-SA"/>
        </w:rPr>
        <w:t>Civil procedure — Judgments and orders — Amendment, rescission and variation — Matters not adjudicated.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2" w:name="Case Summary_12"/>
            <w:bookmarkEnd w:id="1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the applicant Sheddy's entitlement to a reconsideration of an application dismissing Ho's action against the defendant lawyer and law firm. The action was dismissed on the basis that all of the claims had already been settled. The lawyer and firm were awarded special costs against Sheddy, counsel for the plaintiff Ho, personally because Sheddy had settled the claims, contrary to Ho's instructions, failed to advise Ho that the claims were settled, and pursued the settled claims in the action. Sheddy had not appeared as counsel for Ho at the application because of his potential to be a material witness, although he remained the solicitor on record. He prepared his own affidavits in response to the application and gave the agent representing Ho at the application comments regarding the written submissions. He was present in the courtroom for most of the hearing.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3" w:name="Holdings of Court_9"/>
            <w:bookmarkEnd w:id="11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Sheddy was given fair notice of the application and the orders in it, including the order of special costs against him personally. He was given sufficient notice to provide him with a reasonable opportunity to be heard. The evidence fell short of showing that there was any evidence or argument pertaining to Sheddy that was not addressed at the application hearing or that Sheddy did not attend the hearing. Sheddy was not entitled to a reconsideration.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4" w:name="Legislation Cited_7"/>
      <w:bookmarkEnd w:id="1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4"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Rule 52(4), Rule 52(5), Rule 52(12.3), Rule 57(37), Rule 57(38), Rule 57(39)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Legal Profession Act, </w:t>
      </w:r>
      <w:hyperlink r:id="rId470" w:history="1">
        <w:r>
          <w:rPr>
            <w:rFonts w:ascii="arial" w:eastAsia="arial" w:hAnsi="arial" w:cs="arial"/>
            <w:i/>
            <w:color w:val="0077CC"/>
            <w:sz w:val="20"/>
            <w:u w:val="single"/>
            <w:shd w:val="clear" w:color="auto" w:fill="FFFFFF"/>
            <w:lang w:val="en-US" w:eastAsia="en-US" w:bidi="ar-SA"/>
          </w:rPr>
          <w:t>S.B.C. 1998, c. 9 s. 65</w:t>
        </w:r>
      </w:hyperlink>
      <w:r>
        <w:rPr>
          <w:rFonts w:ascii="arial" w:eastAsia="arial" w:hAnsi="arial" w:cs="arial"/>
          <w:color w:val="000000"/>
          <w:sz w:val="20"/>
          <w:lang w:val="en-US" w:eastAsia="en-US" w:bidi="ar-SA"/>
        </w:rPr>
        <w:t>(3)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5" w:name="Counsel_21"/>
      <w:bookmarkEnd w:id="1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5"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Defendants: C.L. Forth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Mr. Sheddy: G. Turriff,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6" w:name="Judgment_21"/>
      <w:bookmarkEnd w:id="116"/>
      <w:r>
        <w:pict>
          <v:line id="_x0000_s1116"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7" w:name="SINCLAIR PROWSE J."/>
            <w:bookmarkEnd w:id="117"/>
            <w:r>
              <w:rPr>
                <w:rFonts w:ascii="arial" w:eastAsia="arial" w:hAnsi="arial" w:cs="arial"/>
                <w:b/>
                <w:color w:val="000000"/>
                <w:sz w:val="30"/>
                <w:lang w:val="en-US" w:eastAsia="en-US" w:bidi="ar-SA"/>
              </w:rPr>
              <w:t>SINCLAIR PROWSE J.</w:t>
            </w:r>
          </w:p>
        </w:tc>
      </w:tr>
    </w:tbl>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8, 2002, pursuant to a Rule 18A (Rules of Court) application, I dismissed this action. Specifically, I concluded that all of the claims in this action had already been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Moreover, I awarded the Defendants the costs of this action, those costs to be paid by Lee Murray Sheddy personally and to be assessed as special costs. (Mr. Sheddy is, and has at all material times been, counsel for the Plaintiffs). This unusual order was made against him because I found that he had settled these claims on behalf of the Plaintiffs (although that was contrary to their instructions), and that having settled the claims he not only failed to advise the Plaintiffs of that fact, but he pursued these settled claims on their behalf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hearing pertained to a Notice of Motion filed by Mr. Sheddy in which he seeks a reconsideration of the Rule 18A application, an order that the previous orders be set aside and the Rule 18A application dismissed, and an order that he be added as a party to this action. (The Plaintiffs declined to participate in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was agreed by Mr. Sheddy and the Defendants that Mr. Sheddy's application for a reconsideration of the Rule 18A application be heard first. This Judgment pertains to that application. That is, his application that he is entitled to a reconsideration. If he is granted that relief, the actual reconsideration will be addressed at a future hearing.</w:t>
      </w:r>
      <w:r>
        <w:rPr>
          <w:rFonts w:ascii="arial" w:eastAsia="arial" w:hAnsi="arial" w:cs="arial"/>
          <w:sz w:val="20"/>
          <w:lang w:val="en-US" w:eastAsia="en-US" w:bidi="ar-SA"/>
        </w:rPr>
        <w:cr/>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the orders pertaining to the dismissal of this action and the special costs have already been entered, Mr. Sheddy's application for a reconsideration is made pursuant to Rules 52(12.3), 57(39), 52(4) and 52(5).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Though Mr. Sheddy clearly has the necessary standing to make an application under these Rules as far as the special costs order is concerned, it is questionable whether he has the necessary standing to seek a reconsideration of the dismissal of the action order as he is not a person affected by this order as required by Rule 52(12.3), nor is he a party to the application for it as required by Rules 52(4)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Despite this concern, for reasons which will be apparent subsequently in this Judgment, I decided to approach this application assuming that Mr. Sheddy had the required status to bring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Having made this assumption, to succeed in this application Mr. Sheddy must prove that he was not given notice of this application, and thereby he did not have the opportunity to respond to it contrary to Rules 52(12.3) and 57(39) or, alternatively, that though given notice, through no fault of his own, and for all practical purposes, he did not attend the hearing and therefore evidence and submissions were not made on his behalf contrary to Rule 52(4)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Therefore, the issues to be addressed are:</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Sheddy has proven that he was not given notice of the applications to be made in the Rule 18A hearing, or alternatively,</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he was given notice, whether he has proven that through no fault of his own, and for all practical purposes, he did not attend the hearing and therefore no evidence and submissions were made on his behalf.</w:t>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To put these issues in context, the Defendants (a lawyer and his law firm) provided legal services to the Plaintiffs in a matrimonial action that settled in 1998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Following that settlement the Plaintiffs taxed the Defendants' accounts. To address the issues raised in that taxation, both parties secured expert opinions on the accounts rendered. In the report prepared for the Plaintiffs, the expert opined that there may well be "wasted costs" included in the Defendants'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 this opinion raised the possible issue that the Defendants had been negligent in their representation of the Plaintiffs, the Defendants contacted their liability insurer and Gordon R. Johnson was retained to act for them. Mr. Johnson then assumed conduct of the defence of the Defendants on the taxation matter, as well as representing them regarding the possible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Throughout the taxation matter, the Plaintiffs had retained Mr. Sheddy to act for them. After receiving the expert opinion raising the issue of wasted costs, on the Plaintiffs' instructions, Mr. Sheddy prepared a Writ of Summons and Statement of Claim to commence an action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These are the pleadings in the present action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Although drawn, these pleadings were not filed at that time, nor were the Defendants advised of their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Days before the taxation hearing was to begin, Mr. Johnson and Mr. Sheddy (purportedly on behalf of their respective clients) reached a settlement. That settlement was finalized at the beginning of February 2001 when the parties exchanged releases and the Defendants paid the Plaintiffs $55,100.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Several months after that, namely in July 2001, the Plaintiffs filed and served the pleadings and thereby commenced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(This filling and service was done about a year after the pleadings had been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October 2001, the Defendants filed and served their Statement of Defence. In this document, they contended that the Plaintiffs were estopped from bringing this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because they had settled all of these claims, as well as the taxation claims in February 2001. In their Statement of Defence, the Defendants also sought an order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Statement of Defence was served upon Mr. Sheddy as he was (and has remained throughout) the counsel of record for the Plaintiffs in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At the time that the Defendants served the Statement of Defence on Mr. Sheddy, they sent him a letter advising him that they intended to bring a Rule 18A application seeking the dismissal of the action on the basis that the matter was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response to this covering letter, Mr. Sheddy retained Mr. LeDressay to act as counsel in the Rule 18A application should it proceed. (As he was the person who had negotiated the settlement on behalf of the Plaintiffs and prepared the Plaintiffs' Release, Mr. Sheddy appreciated that he would be a material witness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LeDressay described the arrangement that he had with Mr. Sheddy in a letter that he wrote to counsel for the Defendants dated December 11, 2001. In that letter, he advised them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Sheddy has retained me as his agent to speak to the summary trial application on the release referred to in your letter of October 22, 2001 to Mr. Sheddy. Please forward the summary materials to me when they are ready. I will not be filing a Notice of Change of Solicitor as I am only acting as Mr. Sheddy's agent for purposes of speaking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Sheddy wrote to counsel for the Defendants on the same day (that is December 11, 2001) advising them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have received instructions to retain Daniel LeDressay to address the Rule 18A Application regarding the Release.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Kindly direct your material to his office ... We would, of course, appreciate that you copy our office with any correspondence and materials that you send to Mr. LeDressay.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should add that his office is retained solely to deal with the Release issue and your Application on that narrow premise.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few days later, namely on December 18, 2001, Mr. LeDressay wrote to Mr. Sheddy confirming their arrangement. In particular,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Thank you for retaining me to act as </w:t>
      </w:r>
      <w:r>
        <w:rPr>
          <w:rFonts w:ascii="arial" w:eastAsia="arial" w:hAnsi="arial" w:cs="arial"/>
          <w:color w:val="000000"/>
          <w:sz w:val="20"/>
          <w:u w:val="single"/>
          <w:lang w:val="en-US" w:eastAsia="en-US" w:bidi="ar-SA"/>
        </w:rPr>
        <w:t>your</w:t>
      </w:r>
      <w:r>
        <w:rPr>
          <w:rFonts w:ascii="arial" w:eastAsia="arial" w:hAnsi="arial" w:cs="arial"/>
          <w:color w:val="000000"/>
          <w:sz w:val="20"/>
          <w:lang w:val="en-US" w:eastAsia="en-US" w:bidi="ar-SA"/>
        </w:rPr>
        <w:t xml:space="preserve"> agent in the above noted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confirm the following: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w:t>
      </w:r>
      <w:r>
        <w:rPr>
          <w:rFonts w:ascii="arial" w:eastAsia="arial" w:hAnsi="arial" w:cs="arial"/>
          <w:color w:val="000000"/>
          <w:sz w:val="20"/>
          <w:u w:val="single"/>
          <w:lang w:val="en-US" w:eastAsia="en-US" w:bidi="ar-SA"/>
        </w:rPr>
        <w:t>you</w:t>
      </w:r>
      <w:r>
        <w:rPr>
          <w:rFonts w:ascii="arial" w:eastAsia="arial" w:hAnsi="arial" w:cs="arial"/>
          <w:color w:val="000000"/>
          <w:sz w:val="20"/>
          <w:lang w:val="en-US" w:eastAsia="en-US" w:bidi="ar-SA"/>
        </w:rPr>
        <w:t xml:space="preserve"> have retained me to act on </w:t>
      </w:r>
      <w:r>
        <w:rPr>
          <w:rFonts w:ascii="arial" w:eastAsia="arial" w:hAnsi="arial" w:cs="arial"/>
          <w:color w:val="000000"/>
          <w:sz w:val="20"/>
          <w:u w:val="single"/>
          <w:lang w:val="en-US" w:eastAsia="en-US" w:bidi="ar-SA"/>
        </w:rPr>
        <w:t>your</w:t>
      </w:r>
      <w:r>
        <w:rPr>
          <w:rFonts w:ascii="arial" w:eastAsia="arial" w:hAnsi="arial" w:cs="arial"/>
          <w:color w:val="000000"/>
          <w:sz w:val="20"/>
          <w:lang w:val="en-US" w:eastAsia="en-US" w:bidi="ar-SA"/>
        </w:rPr>
        <w:t xml:space="preserve"> behalf in the above noted matter;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my fees will be charged at an hourly rate of ....;</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w:t>
      </w:r>
      <w:r>
        <w:rPr>
          <w:rFonts w:ascii="arial" w:eastAsia="arial" w:hAnsi="arial" w:cs="arial"/>
          <w:color w:val="000000"/>
          <w:sz w:val="20"/>
          <w:u w:val="single"/>
          <w:lang w:val="en-US" w:eastAsia="en-US" w:bidi="ar-SA"/>
        </w:rPr>
        <w:t>you</w:t>
      </w:r>
      <w:r>
        <w:rPr>
          <w:rFonts w:ascii="arial" w:eastAsia="arial" w:hAnsi="arial" w:cs="arial"/>
          <w:color w:val="000000"/>
          <w:sz w:val="20"/>
          <w:lang w:val="en-US" w:eastAsia="en-US" w:bidi="ar-SA"/>
        </w:rPr>
        <w:t xml:space="preserve"> will also be charged for all reasonable disbursements incurred on </w:t>
      </w:r>
      <w:r>
        <w:rPr>
          <w:rFonts w:ascii="arial" w:eastAsia="arial" w:hAnsi="arial" w:cs="arial"/>
          <w:color w:val="000000"/>
          <w:sz w:val="20"/>
          <w:u w:val="single"/>
          <w:lang w:val="en-US" w:eastAsia="en-US" w:bidi="ar-SA"/>
        </w:rPr>
        <w:t>your</w:t>
      </w:r>
      <w:r>
        <w:rPr>
          <w:rFonts w:ascii="arial" w:eastAsia="arial" w:hAnsi="arial" w:cs="arial"/>
          <w:color w:val="000000"/>
          <w:sz w:val="20"/>
          <w:lang w:val="en-US" w:eastAsia="en-US" w:bidi="ar-SA"/>
        </w:rPr>
        <w:t xml:space="preserve"> behalf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About a month later, on January 11, 2002, Mr. Sheddy wrote to the Defendants' counsel (copying Mr. LeDressay) advising them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some time since we informed your office of the fact that we are prepared to accept your Rule 18A documents to seek a dismissal of the above noted action. We also informed you that Mr. LeDressay's office has been retained to represent </w:t>
      </w:r>
      <w:r>
        <w:rPr>
          <w:rFonts w:ascii="arial" w:eastAsia="arial" w:hAnsi="arial" w:cs="arial"/>
          <w:color w:val="000000"/>
          <w:sz w:val="20"/>
          <w:u w:val="single"/>
          <w:lang w:val="en-US" w:eastAsia="en-US" w:bidi="ar-SA"/>
        </w:rPr>
        <w:t>Ms. Ho</w:t>
      </w:r>
      <w:r>
        <w:rPr>
          <w:rFonts w:ascii="arial" w:eastAsia="arial" w:hAnsi="arial" w:cs="arial"/>
          <w:color w:val="000000"/>
          <w:sz w:val="20"/>
          <w:lang w:val="en-US" w:eastAsia="en-US" w:bidi="ar-SA"/>
        </w:rPr>
        <w:t xml:space="preserve"> in such an application. ... (My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February 5, 2002, Mr. Sheddy was served by courier with the materials for this Rule 18A application. These materials included the Notice of Motion in which the Defendants sought not only a dismissal of the action, but also an order of special costs against the Plaintiffs, or, alternatively, against Mr. Sheddy personally. They also included the affidavits sworn by Mr. Johnson (counsel for the Defendants at the time of the settlement) and the Defendant, Mr. Hoogbruin.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covering letter that accompanied these documents, the Defendants' counsel explained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not provided a second copy of these documents to Mr. LeDressay, although we appreciate that it is your intention to have Mr. LeDressay speak to this application. We have sent the documents to you since you are the solicitor on the record in this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Sheddy then forwarded these documents to Mr. LeDressay. Mr. Sheddy attested that he did not read these documents before sending them and that therefore he was not aware of the alternative application for special costs until late February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some point prior to February 12, 2002, however, Mr. Sheddy must have reviewed the Rule 18A materials and thereby became aware of all of the relief sought, as he prepared the first draft of the first affidavit that he swore in the Rule 18A application. This affidavit was a response to the attestations made in the affidavits of the Defendant, Mr. Hoogbruin, and Mr. Johnson regarding the nature of the settlement and the breadth of the release. (As was touched upon earlier, the settlement negotiations were conducted between Mr. Johnson and Mr. Sheddy. Mr. Sheddy would have had to participate in the preparation of this affidavit as he is the only person in a position to answer Mr. Johnson's attestations).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receiving the draft of this first affidavit, Mr. LeDressay made some revisions which he discussed with Mr. Sheddy. The final draft was then prepared by Mr. LeDressay. Mr. Sheddy swore it on February 12,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end of February 2002, Mr. Hoogbruin swore a second affidavit - this one in response to Mr. Sheddy's affidavit. Mr. Sheddy was provided with a copy of this affidavit because he subsequently forwarded a copy of it to Mr. LeDressay along with written comments pertaining to some of the contents. He also suggested to Mr. LeDressay that he (Mr. Sheddy) swear a second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was about this time that Mr. LeDressay met with the Plaintiff, Ms. Ho, and discussed the manner with her and drew her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LeDressay then drafted a second affidavit for Mr. Sheddy, founded on the comments that Mr. Sheddy wanted to make in response to Mr. Hoogbruin's second affidavit. This draft was forwarded to Mr. Sheddy who, in turn, returned it to Mr. LeDressay with further comments. Incorporating those comments, Mr. LeDressay drew up the final draft of Mr. Sheddy's second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Though Mr. Sheddy attested in his affidavit filed in the reconsideration hearing that both of his affidavits in the Rule 18A application were drawn by Mr. LeDressay, and that he (Mr. Sheddy) "did not prepare or swear any Affidavit for myself", the evidence proved that although he may not have typed the final draft of either of his affidavits, he actively participated in their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Both counsel for the Defendants and Mr. LeDressay prepared and exchanged written submissions prior to the Rule 18A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LeDressay consulted with Mr. Sheddy when preparing his submission. In particular, he forwarded him a draft of it. During the preparation for the Rule 18A application, Mr. Sheddy sought Mr. LeDressay's advice regarding the application for special costs against him personally. Mr. LeDressay did some legal research on this issue, but concluded that there was little risk that such an order would be made given the position of both Mr. Sheddy and the Plaintiffs that this was a restricted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Sheddy was provided with a copy of the Defendants' written submissions immediately after it was delivered to Mr. LeDressay on May 23, 2002. (This was a week before the hearing). This document included the Defendants' submission regarding the order for special costs, and in particular, their submission pertaining to their alternative application that that order for special costs be paid by Mr. Sheddy personally. Mr. Sheddy provided to Mr. LeDressay written comments regarding these submissions and his recommendation as to the appropriate response to be made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Rule 18A application took place over a two day period, namely, May 30 and 31,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was set out in their materials and submissions, the position of the Defendants in the Rule 18A application was that throughout their instructions to their lawyer (Mr. Johnson) had been that if there was to be a settlement it was to be a settlement of all the other possible claims arising from the matrimonial action - which included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as well as the taxation claims; that the settlement was a settlement of all of these claims; that the release provided by the Plaintiffs was a general release covering all of these claims; that as all of the claims in the present action had been settled, this action should be dismissed; and that as this settlement occurred months before the Statement of Claim was filed and served, the conduct of the Plaintiffs in pursuing these settled claims was reprehensible and called for an order of special costs - those costs to be paid by the Plaintiffs, if the fault lay with them or, alternatively, by Mr. Sheddy personally, if the fault lay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position of the Plaintiffs, on the other hand, as disclosed in the affidavit of Ms. Ho and the affidavits of Mr. Sheddy, was that Ms. Ho's instructions throughout were that any settlement was to be restricted to the taxation matter; that that was the settlement reached by Mr. Sheddy with Mr. Johnson; that as a consequence of this limited settlement the Plaintiffs were entitled to bring these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that the Defendants' Rule 18A application should be dismissed; that there was no basis on which to order special costs either against the Plaintiff or Mr. Sheddy; and that the costs of the Rule 18A application should be awarded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the commencement of the Rule 18A hearing, Mr. LeDressay introduced himself as the counsel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By agreement of the parties, all of the affiants (which included Mr. Sheddy) attended for cross-examination. There was an order for the exclusion of witnesses. Because Mr. Sheddy and Mr. Johnson were not parties, they were excluded from the Courtroom.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(Ms. Ho) was the first witness. (Not only did she testify on her own behalf, but also as the representative of the corporate Plaintiff). After she completed her testimony, Mr. Sheddy was called as a witness. Thereafter, Mr. Sheddy was at liberty to remain in the Courtroom for the remainder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present hearing, Mr. LeDressay testified that it was his recollection that although Mr. Sheddy may have left the Rule 18A hearing for brief periods, he was present for all of the testimony, apart from the testimony of Ms. Ho and for the final submissions of counsel, submissions which included the application for special costs against the Plaintiffs, or, alternatively, against Mr. Sheddy. (The reference to the testimony of Mr. LeDressay pertains to the evidence that he gave when being cross-examined on his affidavits in the present hearing. Mr. Sheddy was also cross-examined on the affidavits that he tendered in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Though present at this previous hearing, Mr. Sheddy did not seek to ask any questions, or to make additional submissions, nor was he invited to do so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LeDressay approved the order (arising from my decision on the Rule 18A application) as to form. He did not consult with Mr. Sheddy prior to doing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LeDressay sent his account for his services to Mr. Sheddy, not to the Plaintiffs, because he viewed Mr. Sheddy rather than the Plaintiffs as his client. It was Mr. Sheddy from whom he took instructions and from whom he sought instructions. Though Mr. LeDressay did meet with the Plaintiff (Ms. Ho) on one occasion; did prepare her affidavit; and did explain the proceedings to her, he viewed her as a witness in the proceedings rather than as his client.</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was set out at the beginning of these Reasons for Judgment, Mr. Sheddy contends that he is entitled to a reconsideration of the Rule 18A application because he was not given notice of it contrary to Rule 52(12.3) and/or Rule 57(39) or, alternatively, because through no fault of his own, although notified, and for all practical purposes, he was not in attendance at the Rule 18A hearing as evidence and submissions were not made on his behalf contrary to Rules 52(4) and (5).</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Sheddy's Applications Under Rule 52(12.3) And/Or Rule 57(39)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Rule 52(12.3) provides that "on application of a person affected by an order made without notice, the court may vary or set aside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Rule 57(39) provides that "an order against a solicitor under subrule (37) or (38) shall not be made unless the solicitor is present or has been given notice". Subrule (37) permits the Court to order that a solicitor be personally responsible for the payment of costs that his or her client have been ordered to pay to another party. Subrule (38) permits the Court, after making an order under subrule (37), to refer the matter to the registrar to conduct an inquiry or to file a report with recommendations, or, alternatively, to fix the costs with or without reference to the tariff in Appendix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Sheddy submits that he is entitled to a reconsideration of the Rule 18A application because he was not given notice of it as he was not personally served with the materials. Rather, the materials were couriered to him as the counsel of record for the Plaintiffs, not as an independent party against whom relief was sought. This type of notification, Mr. Sheddy argues, does not constitute notice for purposes of these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Sheddy's interpretation of the notice provision is too narrow. If the intention of these rules was that personal service was required to meet the notice provision, the rule would have specified that requirement.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Because these rules simply refer to notice, I am satisfied that the meaning to be attributed to notice is the meaning that it was given at common law - namely, fair notice: Abraham v. Jutsun, [1963] 2 All E.R. 402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Therefore, to prove that he is entitled to a reconsideration of the Rule 18A application pursuant to these rules, Mr. Sheddy must establish that he was not given fair notice. That is, he was not given sufficient notice to provide him with a reasonable opportunity to be heard on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was just touched upon, the Rule 18A Notice of Motion and the initial affidavits were all delivered to Mr. Sheddy's office. Though Mr. Sheddy attested that he did not review them before forwarding them to Mr. LeDressay, he certainly had the opportunity to do so. Moreover, he must have reviewed them to the extent that he knew that they pertained to a Rule 18A application because he forwarded them to Mr. LeDressay. (As was set out under the Background Circumstances portion of this Judgment, Mr. Sheddy was advised by counsel for the Defendants in a covering letter accompany the Statement of Defence that the Defendants intended to bring a Rule 18A application seeking the dismissal of the action on the basis that the claims had already been settled. Mr. Sheddy recognized immediately that he would be a material witness as he had negotiated that settlement on behalf of the Plaintiffs and had prepared their release. It was because he recognized his role if such an application was made that he contacted and retained Mr. Le Dressay).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Even if Mr. Sheddy just reviewed the Rule 18A documents in a cursory fashion, it was not because he did not have the opportunity to review them more thoroughly. Rather, for whatever reason, he chose not to review them in any depth.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Regardless of the degree to which he examined these documents initially, within days Mr. Sheddy did review them thoroughly enough that he was able to prepare the first draft of his first affidavit which was a response to the affidavits provided by the Defendants. That he would be so directly involved is in keeping with the allegations made in the Rule 18A application - namely, that he had settled these claims on behalf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Although the evidence was unclear as to whether Mr. Sheddy participated in the drafting of Ms. Ho's affidavit, he certainly played an active role in the evidence to be presented in this hearing and to the arguments to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was already touched upon, Mr. Sheddy prepared the first draft of his first affidavit. Further, although he may not have drafted the second affidavit, it was drawn on his instructions, and he advised Mr. LeDressay as to the evidence that was to be included in it. (Mr. Sheddy's affidavits were done to respond to the assertions made in the affidavits tendered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far as the argument and submissions were concerned, Mr. Sheddy reviewed and commented on the written arguments prepared by Defendants, and on the one prepared by Mr. LeDressay.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Although Mr. Sheddy attested that he did not read the Rule 18A Notice of Motion, and that he therefore was unaware of the alternative special costs application made against him until advised of it by Mr. LeDressay in late February 2002 (three months before the application was heard), the evidence proved that he specifically discussed this application with Mr. LeDressay and that, as a consequence, Mr. LeDressay did legal research pertaining to the application, concluding that, given the evidence of both Ms. Ho and Mr. Sheddy, that the settlement was restricted to the taxation matter, and there was little or no risk of a cost order of any kind being made against either one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addition, the application for special costs against Mr. Sheddy was specifically addressed in these written arguments. In particular, in para. 14 of the Plaintiffs' submission Mr. LeDressay addressed this application and submitted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conduct of Mr. Sheddy was simply to zealously represent his client's interest in accordance with his instructions. Nothing in Mr. Sheddy's conduct can be said to be reprehensible or amounting to an abuse of the process of the court so as to attract costs personally against Mr. Sheddy.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To summarize, throughout the Defendants couriered all of the Rule 18A materials to Mr. Sheddy as he is (and has been) the counsel of record for the Plaintiffs: that he was the person from whom Mr. LeDressay took his instructions on this application; that he actively participated in the preparation of the evidence to be tendered in response to the Defendants' evidence and in the preparation of the submission to be made in response to the Defendants' submissions; that he gave both affidavit and oral testimony at the proceeding; and that, with the exception of the presentation of Ms. Ho's oral evidence, he was present throughout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Given all of these circumstances, I am satisfied that Mr. Sheddy was given fair notice as to Rule 18A application and the orders in it (including the order of special costs against him personally). Having reached this conclusion, Mr. Sheddy has failed to prove that he is entitled to a reconsideration of the Rule 18A application pursuant to Rule 52(12.3) and/or Rule 57(39). Consequently, the applications under these rules are dismissed.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Mr. Sheddy Pursuant to Rule 52(4)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Rule 52(4) and (5) provides that: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party to an application fails to attend, whether on the return of the application or at the time appointed for the consideration of the matter, the court may proceed if, considering the nature of the case, it thinks it expedient to do so, and may require evidence of service it thinks necessary.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has proceeded under subrule (4), the proceeding shall not be reconsidered unless the court is satisfied that the party failing to attend was not guilty of wilful delay or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are two questions to be addressed in this application, namely:</w:t>
      </w:r>
      <w:r>
        <w:rPr>
          <w:rFonts w:ascii="arial" w:eastAsia="arial" w:hAnsi="arial" w:cs="arial"/>
          <w:sz w:val="20"/>
          <w:lang w:val="en-US" w:eastAsia="en-US" w:bidi="ar-SA"/>
        </w:rPr>
        <w:cr/>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Sheddy has proven that, for all practical purposes, he did not attend the hearing (that is, evidence was not tendered nor were submissions made on his behalf); and</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whether he has proven that that failure was not the result of any wilful delay or default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respect to the question as to whether Mr. Sheddy, for all practical purposes, did not attend the Rule 18A hearing, Mr. Sheddy argues that there was a conflict of interest between himself and the Plaintiffs and that therefore he should have had counsel of his own. Because of this conflict of interest and the fact that he did not have counsel of his own, evidence and submissions were not tendered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As far as a conflict of interest is concerned, it is questionable whether Mr. Sheddy's interests did in fact conflict with those of the Plaintiffs. That is, as far as the substantive defence was concerned, both Mr. Sheddy and the Plaintiffs (as represented by Ms. Ho) attested that the settlement was restricted to the taxation matter and that therefore there was no merit to the Defendants' defence. On the special costs application, they contended that the settlement was restricted to the taxation claims; that the Plaintiffs therefore were not precluded from pursuing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that neither the Plaintiffs nor Mr. Sheddy had conducted themselves in a manner calling for an order of special costs; that the Rule 18A application should be dismissed; and that costs should be awarded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If, however, there was a conflict of interest, the evidence falls short of showing that there was any evidence or argument pertaining to Mr. Sheddy that was not addressed. Although Mr. LeDressay introduced himself at the beginning of the Rule 18A application as the counsel for the Plaintiffs in the hearing of the application, the evidence shows that Mr. LeDressay viewed Mr. Sheddy as his client, not the Plaintiffs. It was Mr. Sheddy who retained him; it was Mr. Sheddy from whom he took instructions on the application; and it was Mr. Sheddy to whom he sent his account for services rendered. Moreover, he did legal research pertaining to the application for special costs against Mr. Sheddy personally and made submissions on his behalf on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This relationship and its focus on Mr. Sheddy are not surprising given the issues raised in the Rule 18A application. The Plaintiffs (that is, Ms. Ho) was very much a peripheral witness. She could not attest as to the settlement that was actually negotiated as she did not directly participate in those negotiations. Rather, she could only attest to the settlement instructions that she gave to Mr. Sheddy.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Although Mr. Sheddy contends in this hearing that an alternative argument pursuant to s. 65(3) of the Legal Profession Act,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xml:space="preserve">, should have been made, this argument was addressed to the extent that Mr. LeDressay attested that he considered it, but concluded that this provision was not applicable to the facts of this case. (This section of the Legal Profession Act provides that a lawyer cannot enter into a fee agreement with a client that includes a provision that the client will not hold the lawyer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that the lawyer is relieved from responsibility to which the lawyer would otherwise be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Given the fact that he had a material role in this application, that he actively participated in the preparation of his own affidavits as well as the submissions to be made, that legal research and arguments pertaining to costs were made on his behalf, that the alternative argument pertaining to validity of the settlement under the Legal Profession Act was explored and considered, and that he was present in the Courtroom throughout most of the hearing, the evidence falls short of proving that, for all practical purposes, Mr. Sheddy did not attend the hearing and, in particular, that evidence and submissions were not made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However, if I am wrong, and Mr. Sheddy, for all practical purposes, did not attend the hearing, the evidence fell short of establishing that that failure was not the result of wilful delay or default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To prove this element, Mr. Sheddy must show that this failure to make submissions, and/or to present evidence, was inadvertent - not purposeful, deliberate, or intentional: British Columbia Telephone Co. v. Quality Industries, </w:t>
      </w:r>
      <w:hyperlink r:id="rId471" w:history="1">
        <w:r>
          <w:rPr>
            <w:rFonts w:ascii="arial" w:eastAsia="arial" w:hAnsi="arial" w:cs="arial"/>
            <w:i/>
            <w:color w:val="0077CC"/>
            <w:sz w:val="20"/>
            <w:u w:val="single"/>
            <w:shd w:val="clear" w:color="auto" w:fill="FFFFFF"/>
            <w:lang w:val="en-US" w:eastAsia="en-US" w:bidi="ar-SA"/>
          </w:rPr>
          <w:t>[1984] B.C.J. 2043</w:t>
        </w:r>
      </w:hyperlink>
      <w:r>
        <w:rPr>
          <w:rFonts w:ascii="arial" w:eastAsia="arial" w:hAnsi="arial" w:cs="arial"/>
          <w:color w:val="000000"/>
          <w:sz w:val="20"/>
          <w:lang w:val="en-US" w:eastAsia="en-US" w:bidi="ar-SA"/>
        </w:rPr>
        <w:t xml:space="preserve"> (C.A.). To wilfully delay or default carries with it a sense of a blameworthy action: Anderson v. Toronto-Dominion Bank </w:t>
      </w:r>
      <w:hyperlink r:id="rId472" w:history="1">
        <w:r>
          <w:rPr>
            <w:rFonts w:ascii="arial" w:eastAsia="arial" w:hAnsi="arial" w:cs="arial"/>
            <w:i/>
            <w:color w:val="0077CC"/>
            <w:sz w:val="20"/>
            <w:u w:val="single"/>
            <w:shd w:val="clear" w:color="auto" w:fill="FFFFFF"/>
            <w:lang w:val="en-US" w:eastAsia="en-US" w:bidi="ar-SA"/>
          </w:rPr>
          <w:t>(1986), 70 B.C.L.R. 267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other words, to prove this element Mr. Sheddy must establish that this failure was inadvertent on his part, and that at the very least, he was not to blame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the evidence disclosed, Mr. Sheddy had more direct knowledge regarding the substantive issue in the Rule 18A application than did Ms. Ho as he had negotiated the settlement and had drawn the release; he was the person from whom Mr. LeDressay took instructions on the Rule 18A application; he played an active and ongoing role in the preparation of the evidence to be tendered and the submissions to be made on his and the Plaintiffs' behalf in the Rule 18A hearing; and with the exception of the Plaintiff, Ms. Ho's, evidence (which was not in conflict with his), he was present throughout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If there were issues that were not addressed or evidence that was not led (and the evidence fell short of proving that either of these omissions occurred), that situation cannot be described as being inadvertent or unintentional. Rather, deliberate decisions (in which Mr. Sheddy participated) were made regarding these matters - that is, the evidence to be tendered and as to the arguments to be relied upon (including arguments that pertained to Mr. Sheddy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Given his level of involvement, Mr. Sheddy is not without blame for the failure to lead evidence and make submissions on his own behalf, if in fact that failure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Having reached these conclusions, I am not satisfied that, even if Mr. Sheddy did not, for all practical purposes, attend the Rule 18A hearing, that failure was the result of his own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This application is dismissed.</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For all of the reasons set out in this Judgment, Mr. Sheddy has not shown that he is entitled to a reconsideration of the Rule 18A application. His application is dismissed.</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the Defendants were successful on this application, Mr. Sheddy is ordered to pay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submitted that they should be granted costs and that those costs should be assessed as special costs against Mr. Sheddy. Although I did not accept Mr. Sheddy's evidence on some points, I am not satisfied that in the present application he conducted himself in such a way as to call for the reproof of the Court. Given these findings, an order for special costs would be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order will be for party and party costs, calculated at Scale 3 as this was a matter of ordinary difficulty or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SINCLAIR PROWSE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Inwest Investments Ltd. v. Canada, [2015] B.C.J. No. 1689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15, 17-18,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S-122679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1689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2015 BCSC 1375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2015 CarswellBC 2231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2015 D.T.C. 5090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255 A.C.W.S (3d) 785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[2016] 1 C.T.C. 206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48 B.L.R. (5th) 65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Inwest Investments Ltd. (As Successor to Wesbild Capital Corporation), Appellant, and Her Majesty the Queen,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(188 paras.)</w:t>
      </w:r>
    </w:p>
    <w:p>
      <w:pPr>
        <w:jc w:val="both"/>
        <w:rPr>
          <w:rFonts w:ascii="arial" w:eastAsia="arial" w:hAnsi="arial" w:cs="arial"/>
          <w:sz w:val="20"/>
          <w:lang w:val="en-US" w:eastAsia="en-US" w:bidi="ar-SA"/>
        </w:rPr>
      </w:pPr>
      <w:bookmarkStart w:id="118" w:name="Counsel_22"/>
      <w:bookmarkEnd w:id="1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8"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Al Meghji, Monica Biringer, Andrew Boyd.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 Robert Carvalho, Perry M.D. Derksen.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9" w:name="Judgment_22"/>
      <w:bookmarkEnd w:id="119"/>
      <w:r>
        <w:pict>
          <v:line id="_x0000_s1119" style="position:absolute;z-index:251732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0" w:name="S.C. FITZPATRICK J."/>
            <w:bookmarkEnd w:id="120"/>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late 2001, Wesbild Capital Corporation ("Wesbild"), was created as part of a tax plan designed to avoid millions of dollars in British Columbia corporate tax arising from a share sale. Consistent with that tax plan, Wesbild filed its tax return for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December 2011, over eight years after the filing, the Minister of National Revenue (the "Minister"), reassessed Wesbild. By that reassessment, the Minister disagreed with Wesbild as to whether the tax plan had, indeed, achieved its purpose of avoiding the provincial tax. Wesbild has appealed the reassessment to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Wesbild now brings a summary-trial application to decide the preliminary issue as to whether the Minister is statute-barred from issuing the reassessment, with the intention of avoiding a full trial on the issue of whether the filing of the 2002 tax return was "correct" or not. The Minister disputes that a summary trial is appropriate, although it is apparent that little, if any, facts are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What is principally in dispute is the proper interpretation of the statutory provision by which the Minister is barred from issuing any reassessment, save in certain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Relevant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2001, Inwest Investments Ltd. ("Inwest"), was a privately-held corporation with its headquarters in British Columbia. Inwest's controlling shareholder was Hassan Khosrowshahi.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Inwest's business was the operation of Future Shop through its controlling ownership of approximately 68.4% of the common shares of Future Shop Ltd., ("Future Shop"), which shares were listed on the Toronto Stock Exchange. Those controlling shares were held by Inwest and its wholly-owned subsidiaries, 438855 British Columbia Ltd. ("438"), 574156 British Columbia Ltd. ("574"), and Wesbild Holdings Ltd.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During the 2001 and 2002 taxation years, Randy Zien was the president and a director of Inwest, and also vice-president and corporate secretary of Future Shop. Mr. Zien is a lawyer with tax-law experience and expertise. In addition to his corporate roles, he was in-house counsel for the Inwest group of companies, and he often gave legal and tax advice to Inwest and its subsidiaries, including Wesbild.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2001, Inwest and its subsidiaries were in negotiations to sell their interest in Future Shop to Best Buy Inc. ("Best Buy"), an international retailer headquartered in the United States. In July 2001, Future Shop's board of directors agreed that it would support Best Buy's offer to purchase the Future Shop shares at a price of $17 per share. As a result, the Future Shop shares held by the Inwest companies had an accrued and unrealized capital gain of almost $354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If Inwest were to sell its Future Shop shares directly to Best Buy, half of the gain realized would have been included in Inwest's income as a taxable capital gain for both federal and British Columbia provincial tax purposes. The provincial portion of the tax would be payable under s. 2(2)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215</w:t>
      </w:r>
      <w:r>
        <w:rPr>
          <w:rFonts w:ascii="arial" w:eastAsia="arial" w:hAnsi="arial" w:cs="arial"/>
          <w:color w:val="000000"/>
          <w:sz w:val="20"/>
          <w:lang w:val="en-US" w:eastAsia="en-US" w:bidi="ar-SA"/>
        </w:rPr>
        <w:t xml:space="preserve"> (the "BC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Section 13.3 of the BC Act provides that "taxable income earned in the year in British Columbia" means taxable income earned in British Columbia as determined in accordance with the </w:t>
      </w:r>
      <w:r>
        <w:rPr>
          <w:rFonts w:ascii="arial" w:eastAsia="arial" w:hAnsi="arial" w:cs="arial"/>
          <w:i/>
          <w:color w:val="000000"/>
          <w:sz w:val="20"/>
          <w:lang w:val="en-US" w:eastAsia="en-US" w:bidi="ar-SA"/>
        </w:rPr>
        <w:t>Income Tax Regulations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C.R.C., c. 945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as promulgated by s. 124(4)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R.S.C. 1985, c. 1 (5th Supp.)</w:t>
        </w:r>
      </w:hyperlink>
      <w:r>
        <w:rPr>
          <w:rFonts w:ascii="arial" w:eastAsia="arial" w:hAnsi="arial" w:cs="arial"/>
          <w:color w:val="000000"/>
          <w:sz w:val="20"/>
          <w:lang w:val="en-US" w:eastAsia="en-US" w:bidi="ar-SA"/>
        </w:rPr>
        <w:t xml:space="preserve"> (the "Federal Act"). This tax would have arisen because Inwest had a business and, therefore, a "permanent establishment" in British Columbia, as defined in s. 400(2)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which are adopted by s. 1(1) of the BC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Not surprisingly, the management of Inwest, including Mr. Zien, set out to investigate and consider how to dispose of the Future Shop shares to Best Buy in the most tax-efficient manner and, in particular, to avoid paying British Columbia tax on the gain from the share sale.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Tax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readily apparent that Mr. Zien was the architect of the tax plan that was conceived to avoid the British Columbia corporate tax that would otherwise be payable on the sale of the Future Shop shares (the "Tax Plan"). He states that he was responsible for considering the issues, exercising his professional judgment, and making the decision to advance the position in Wesbild's 2002 tax return that it had no "permanent establishment" in British Columbia and that, therefore, no British Columbia tax was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Key to carrying out the Tax Plan was the incorporation of a company that would not have a "business" or "permanent establishment" in British Columbia, and would have non-resident directors (initially, there were only directors from outside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August 9, 2001, after the price of $17 per share had been settled, but before the formalities of the deal between Best Buy and Inwest had been completed, Wesbild was incorporated under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R.S.Y. 2002, c. 20</w:t>
        </w:r>
      </w:hyperlink>
      <w:r>
        <w:rPr>
          <w:rFonts w:ascii="arial" w:eastAsia="arial" w:hAnsi="arial" w:cs="arial"/>
          <w:color w:val="000000"/>
          <w:sz w:val="20"/>
          <w:lang w:val="en-US" w:eastAsia="en-US" w:bidi="ar-SA"/>
        </w:rPr>
        <w:t xml:space="preserve"> (the "Yukon Act"). Its shares were held by Inwest, 438 and 574. Its tax year ended on October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Inwest specifically chose to incorporate Wesbild under the Yukon Act so that non-resident directors could be appointed. Inwest appointed the following initial directors of Wesbild in August 2001:</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Edward Kotite, a resident of New York State and practicing lawyer who had been retained by Inwest from time to time;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Maryam Khosrowshahi, the sister of Hassan Khosrowshahi and a resident of Switzerland.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August 2001, Inwest, 438 and 574 transferred certain Future Shop shares to Wesbild and Holdings on a tax-deferred rollover basis and received Wesbild shares in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Inwest companies, including Wesbild, entered into a lockup agreement with Best Buy by which they agreed to tender their Future Shop shares pursuant to Best Buy's bid. On September 11, 2001, Wesbild deposited its shares with Computershare, the depositary for Best Buy's takeover bid. On November 4, 2001, Inwest, Wesbild and Holdings transferred and disposed of their respective Future Shop shares to a wholly-owned subsidiary of Best Buy Canada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November 5, 2001, Wesbild received the proceeds of sale for its shares and deposited those funds into various United States bank accounts. Wesbild invested the proceeds in a term deposit for three days, and then provided all of the funds to Inwest by way of a non-interest bearing loan. Inwest repaid a portion of the loan, and Wesbild deposited those funds with Goldman Sachs in order that Goldman Sachs could manage the funds. Various transactions later took place from the Goldman Sachs'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 result, Wesbild received $367,036,460 for its Future Shop shares and realized a capital gain of $336,209,423 in its 2002 taxation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Wesbild and Inwest readily acknowledge, in their written argument,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transactions were carefully structured and implemented so that [Wesbild] would not have a business and would therefore not have a "permanent establishment" in BC for purposes of the ... BC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that event, and according to the Tax Plan, when the sale of the Future Shop shares held by Wesbild occurred, it was expected that the gain would be subject to federal tax, but not British Columbia tax.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Events Leading to the 2002 Tax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Gordon Winston and Behzad Khosrowshahi (Hassan Khosrowshahi's son), were appointed directors of Wesbild on February 15, 2002. Behzad filed documentation that he had a Vancouver address, although Mr. Zien indicates that was a clerical error, and that he was a resident of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February 16, 2002, Maryam ceased to be a director of Wesbild. Thereafter, the directors of record were Mr. Kotite, Mr. Winston and Behzad, with Behzad appointed as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spring of 2002, Wesbild filed its T2 corporate income tax return for its first taxation year ending October 31, 2001 reporting no taxable income. Wesbild reported its major business activity as "holding company", and stated that its "Provincial or territorial jurisdiction" was in British Columbia. Mr. Zien's evidence is that the designation of jurisdiction as British Columbia was done by mistake. Mr. Kotite signed this return, which was prepared by Deloitte &amp; Touche chartered accountants.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Winston later resigned as a director of Wesbild on October 22, 2002, leaving only Mr. Kotite and Behzad on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Wesbild declared $135 million in dividends to its shareholders in late October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April 4, 2003, Wesbild filed its T2 corporate tax return for the 2002 taxation year ending October 31, 2002 (the "2002 Return"). The sale of the Future Shop shares occurred during this taxation year. The 2002 Return indicated:</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line 750, Wesbild did not indicate that it was subject to British Columbia provincial tax. The entry made by Wesbild regarding "Provincial or territorial jurisdiction" was "OC", which the parties agree stands for "Outside Canada";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Wesbild reported a taxable capital gain of $168,104,711 (for federal income tax purposes only), and reported federal income tax payable of $76,974,775.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2002 Return was signed by Henry Rutgers, a resident of Vancouver and controller for the Inwest group of companies. Mr. Rutgers signed the 2002 Return as treasurer of Wesbild, although it is acknowledged that he did not hold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effect of Wesbild's filing position under the 2002 Return was that it had no permanent establishment in Canada and, therefore, it was not liable to pay any provincial income tax on the sale of its Future Shop shares.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Reassessment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June 2, 2003, Canada Revenue Agency (the "CRA"), sent Wesbild a notice of assessment (the "Original Assessment"), confirming acceptance of Wesbild's calculation of the amount of income tax owing for its 2002 taxation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I will discuss in more detail below, the normal limitation period within which the CRA was permitted to reassess Wesbild (both for federal and provincial tax purposes), for the 2002 taxation year, expired on June 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Despite that time limitation, the 2002 Return was only identified for audit sometime in early 2008, approximately four and a-half-years after the CRA sent the Original Assessment. However, the CRA did not start the audit until October 2008, or approximately seven months after it was first identified. By November 2008, the CRA had met with Mr. Zien and obtained documentation from Inwest and Wesbild.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the audit was started, there were further delays. At one point, from 2008 and into 2010, there was little advancement in the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2010, Wesbild was dissolved under the Yukon Act and its successor is now Inwest. Accordingly, all obligations of Wesbild are now vested in Inwest. For ease of reference, I will continue to refer to the taxpayer as Wesbild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CRA's position on the reassessment was crystallized in late October 2010. Letters to the CRA in the spring of 2011, from Inwest and Wesbild's counsel, attempted to address the issues raised, but the CRA later advised, in November 2011, that it intended to reassess Wesbild.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Eventually, on December 23, 2011, more than five years after the limitation period had expired, the CRA issued a further assessment to Wesbild in respect of the 2002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basis for the reassessment was that Wesbild did have a permanent establishment in British Columbia in the 2002 taxation year, and was liable under the BC Act for corporate income tax of $23,541,650. In the course of reassessing and imposing the provincial tax, the Minister also reassessed Wesbild for federal income tax purposes to allow a 10% abatement of federal corporate income tax, which resulted in a credit of $16,813,819 to Wesbild's liability under the BC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Accordingly, the corporation notice of additional assessment, as amended to delete penalties and interest on penalties initially assessed,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BC income tax</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$ 23,541,650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Federal tax abatement credit</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($16,813,819)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 tax assessed</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$ 6,727,831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Interest on net balance</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$ 5,609,116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 assessed</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$ 12,336,947</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Wesbild filed a notice of appeal in this Court on April 16,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Statutory Test and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taxation system in Canada is a self-reporting one that relies on, at least in the first instance, the taxpayer reporting its activities in a particular manner and self-assessing what tax it contends arises as a result.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"Permanent Establishment"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tax regime in British Columbia, as with the other agreeing provinces, is such that corporations that have a "permanent establishment" within the province are liable to pay income tax on the taxable income of the corporation that is allocable to that permanent establishment. The BC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An income tax must be paid as required in this Act for each taxation year by every corporation that maintained a permanent establishment in British Columbia at any time in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Pursuant to the BC Act, which requires reference to the Federal Act, a corporate taxpayer's income includes income for the year from all sources, including income from a business or property, as well as all of the taxpayer's taxable capital gains for the year. Accordingly, all income, including business income and income from property, as well as taxable capital gains, are subject to British Columbia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Pursuant to s. 1(1) of the BC Act, "permanent establishment" and "business" have the same meanings as in the Federal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Federal Act defines "business" in s. 248(1)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"business" includes a profession, calling, trade, manufacture or undertaking of any kind whatever and ... an adventure or concern in the nature of trade but does not include an office or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definition of "permanent establishment" at the relevant time is found in Part IV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entitled "Taxable Income Earned in a Province by a Corporation". Relevant portions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400(2) For the purposes of this Part, </w:t>
      </w:r>
      <w:r>
        <w:rPr>
          <w:rFonts w:ascii="arial" w:eastAsia="arial" w:hAnsi="arial" w:cs="arial"/>
          <w:color w:val="000000"/>
          <w:sz w:val="20"/>
          <w:u w:val="single"/>
          <w:lang w:val="en-US" w:eastAsia="en-US" w:bidi="ar-SA"/>
        </w:rPr>
        <w:t>"permanent establishment" in respect of a corporation means a fixed place of business of the corporation</w:t>
      </w:r>
      <w:r>
        <w:rPr>
          <w:rFonts w:ascii="arial" w:eastAsia="arial" w:hAnsi="arial" w:cs="arial"/>
          <w:color w:val="000000"/>
          <w:sz w:val="20"/>
          <w:lang w:val="en-US" w:eastAsia="en-US" w:bidi="ar-SA"/>
        </w:rPr>
        <w:t>, including an office, a branch, a mine, an oil well, a farm, a timberland, a factory, a workshop or a warehouse,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corporation does not have any fixed place of business it means the principal place in which the corporation's business is conducted;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taxable income of a corporation earned in a year in a particular province shall be determined in accordance with the provisions of this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402.(1) Where, in a taxation year, a corporation had a permanent establishment in a particular province and had no permanent establishment outside that province, the whole of its taxable income for the year shall be deemed to have been earned therein.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Where, in a taxation year, a corporation had no permanent establishment in a particular province, no part of its taxable income for the year shall be deemed to have been earned therein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definition of "permanent establishment" has the same meaning in the Federal Act and, hence, in the BC Act: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R.S.C. 1985, c. I-21, s. 16</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Quali-T-Tube ULC Inc. v. R.</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2005 TCC 373</w:t>
        </w:r>
      </w:hyperlink>
      <w:r>
        <w:rPr>
          <w:rFonts w:ascii="arial" w:eastAsia="arial" w:hAnsi="arial" w:cs="arial"/>
          <w:color w:val="000000"/>
          <w:sz w:val="20"/>
          <w:lang w:val="en-US" w:eastAsia="en-US" w:bidi="ar-SA"/>
        </w:rPr>
        <w:t xml:space="preserve"> at para. 45. Likewise, the interpretation of "business" in s. 400(2)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is in accordance with the Federal Act, if it relates to "the same subject-matter unless a contrary intention appears":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R.S.C., 1985, c. I-21, s. 15(2)(b).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Therefore, the central question that arises, in relation to the "correctness" of the 2002 Return, is whether Wesbild had a permanent establishment (i.e., a "fixed place of business") in British Columbia as that wording is used in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s. 400(2)(a).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Avoiding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"normal reassessment period" is set out in s. 152(3.1)(b) of the Federal Act, and provides that the Minister may assess within the "period that ends three years after the earlier of the day of sending of a notice of an original assessment under this Part in respect of the taxpayer for the year." That limitation is adopted for provincial tax purposes in s. 29(1)(d) of the BC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Section 152(4) of the Federal Act, as adopted by s. 29(1)(d) of the BC Act, permits the Minister to assess outside the normal reassessment period only in certain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relevant and critically important provision in this case is s.152(4)(a)(i) of the Federal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152(4) The </w:t>
      </w:r>
      <w:r>
        <w:rPr>
          <w:rFonts w:ascii="arial" w:eastAsia="arial" w:hAnsi="arial" w:cs="arial"/>
          <w:color w:val="000000"/>
          <w:sz w:val="20"/>
          <w:u w:val="single"/>
          <w:lang w:val="en-US" w:eastAsia="en-US" w:bidi="ar-SA"/>
        </w:rPr>
        <w:t>Minister may at any time make an</w:t>
      </w:r>
      <w:r>
        <w:rPr>
          <w:rFonts w:ascii="arial" w:eastAsia="arial" w:hAnsi="arial" w:cs="arial"/>
          <w:color w:val="000000"/>
          <w:sz w:val="20"/>
          <w:lang w:val="en-US" w:eastAsia="en-US" w:bidi="ar-SA"/>
        </w:rPr>
        <w:t xml:space="preserve"> assessment, reassessment or </w:t>
      </w:r>
      <w:r>
        <w:rPr>
          <w:rFonts w:ascii="arial" w:eastAsia="arial" w:hAnsi="arial" w:cs="arial"/>
          <w:color w:val="000000"/>
          <w:sz w:val="20"/>
          <w:u w:val="single"/>
          <w:lang w:val="en-US" w:eastAsia="en-US" w:bidi="ar-SA"/>
        </w:rPr>
        <w:t>additional assessment of tax</w:t>
      </w:r>
      <w:r>
        <w:rPr>
          <w:rFonts w:ascii="arial" w:eastAsia="arial" w:hAnsi="arial" w:cs="arial"/>
          <w:color w:val="000000"/>
          <w:sz w:val="20"/>
          <w:lang w:val="en-US" w:eastAsia="en-US" w:bidi="ar-SA"/>
        </w:rPr>
        <w:t xml:space="preserve"> for a taxation year, interest or penalties, if any, payable under this Part by a taxpayer or notify in writing any person by whom a return of income for a taxation year has been filed that no tax is payable for the year, except that an assessment, reassessment or additional assessment may be made after the taxpayer's normal reassessment period in respect of the year </w:t>
      </w:r>
      <w:r>
        <w:rPr>
          <w:rFonts w:ascii="arial" w:eastAsia="arial" w:hAnsi="arial" w:cs="arial"/>
          <w:color w:val="000000"/>
          <w:sz w:val="20"/>
          <w:u w:val="single"/>
          <w:lang w:val="en-US" w:eastAsia="en-US" w:bidi="ar-SA"/>
        </w:rPr>
        <w:t>only if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taxpayer or person filing the return</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has made any </w:t>
      </w:r>
      <w:r>
        <w:rPr>
          <w:rFonts w:ascii="arial" w:eastAsia="arial" w:hAnsi="arial" w:cs="arial"/>
          <w:color w:val="000000"/>
          <w:sz w:val="20"/>
          <w:u w:val="single"/>
          <w:lang w:val="en-US" w:eastAsia="en-US" w:bidi="ar-SA"/>
        </w:rPr>
        <w:t>misrepresentation</w:t>
      </w:r>
      <w:r>
        <w:rPr>
          <w:rFonts w:ascii="arial" w:eastAsia="arial" w:hAnsi="arial" w:cs="arial"/>
          <w:color w:val="000000"/>
          <w:sz w:val="20"/>
          <w:lang w:val="en-US" w:eastAsia="en-US" w:bidi="ar-SA"/>
        </w:rPr>
        <w:t xml:space="preserve"> that is </w:t>
      </w:r>
      <w:r>
        <w:rPr>
          <w:rFonts w:ascii="arial" w:eastAsia="arial" w:hAnsi="arial" w:cs="arial"/>
          <w:color w:val="000000"/>
          <w:sz w:val="20"/>
          <w:u w:val="single"/>
          <w:lang w:val="en-US" w:eastAsia="en-US" w:bidi="ar-SA"/>
        </w:rPr>
        <w:t>attributable to neglect, carelessness</w:t>
      </w:r>
      <w:r>
        <w:rPr>
          <w:rFonts w:ascii="arial" w:eastAsia="arial" w:hAnsi="arial" w:cs="arial"/>
          <w:color w:val="000000"/>
          <w:sz w:val="20"/>
          <w:lang w:val="en-US" w:eastAsia="en-US" w:bidi="ar-SA"/>
        </w:rPr>
        <w:t xml:space="preserve"> or wilful default or has committed any fraud </w:t>
      </w:r>
      <w:r>
        <w:rPr>
          <w:rFonts w:ascii="arial" w:eastAsia="arial" w:hAnsi="arial" w:cs="arial"/>
          <w:color w:val="000000"/>
          <w:sz w:val="20"/>
          <w:u w:val="single"/>
          <w:lang w:val="en-US" w:eastAsia="en-US" w:bidi="ar-SA"/>
        </w:rPr>
        <w:t>in filing the return or in supplying any information under this Act</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It is common ground that the Minister bears the onus of justifying a reassessment outside the normal limitation period by proving, on the balance of probabilities, the existence of the conditions set out in s. 152(4)(a)(i): firstly, that a misrepresentation has been made; and, secondly, that the misrepresentation is attributable to neglect, carelessness or willful default. See </w:t>
      </w:r>
      <w:r>
        <w:rPr>
          <w:rFonts w:ascii="arial" w:eastAsia="arial" w:hAnsi="arial" w:cs="arial"/>
          <w:i/>
          <w:color w:val="000000"/>
          <w:sz w:val="20"/>
          <w:lang w:val="en-US" w:eastAsia="en-US" w:bidi="ar-SA"/>
        </w:rPr>
        <w:t>Lacroix v. The Queen</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2008 FCA 241</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Accordingly, the Minister must prove, on a balance of probabilities, that:</w:t>
      </w:r>
      <w:r>
        <w:rPr>
          <w:rFonts w:ascii="arial" w:eastAsia="arial" w:hAnsi="arial" w:cs="arial"/>
          <w:sz w:val="20"/>
          <w:lang w:val="en-US" w:eastAsia="en-US" w:bidi="ar-SA"/>
        </w:rPr>
        <w:cr/>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Wesbild made a "misrepresentation" when it filed the 2002 Return on the basis that it did not have a "permanent establishment" in British Columbia as defined in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s. 400(2);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misrepresentation was attributable to Wesbild's neglect or carelessness in filing the 2002 Return (the Minister does not allege willful default or fraud). The parties agree that this second aspect of the test requires an analysis of the due diligence completed by Wesbild in filing the 2002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matter should proceed by way of summary trial;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the additional assessment by the CRA is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Appropriateness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Wesbild's initial application for summary trial included seeking a determination of the main issue arising between the parties, namely, whether Wesbild had a "business" or "permanent establishment" in British Columbia which, if correct, would require it to pay the provincial tax under the 2002 Return. The second issue raised was the limitation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This application was scheduled in the hopes of avoiding a five-day trial set to commence on August 17, 2015. Nevertheless, as a result of discussions between counsel and the court at the commencement of the application, the issues were narrowed to only the limitation one in recognition that the main issue should be decided at trial given the complex and time-consuming factual issues that required determination. The August 2015 trial dates were released to avoid any trial preparation before release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 Rule 9-7</w:t>
      </w:r>
      <w:r>
        <w:rPr>
          <w:rFonts w:ascii="arial" w:eastAsia="arial" w:hAnsi="arial" w:cs="arial"/>
          <w:color w:val="000000"/>
          <w:sz w:val="20"/>
          <w:lang w:val="en-US" w:eastAsia="en-US" w:bidi="ar-SA"/>
        </w:rPr>
        <w:t xml:space="preserve">(15) provides that the court may grant judgment on an issue unless the court is unable to find the facts necessary to decide the issues of fact or law, or if it would be unjust to decide the issues on the application. The relevant factors that are typically considered by the court were discussed in the well-known decision of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and the many decisions that have followed it, including the recent decision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first instance, the Minister argues that one of the factors that arises is the amount involved. It is more than apparent here that the reassessment of British Columbia tax in excess of $23.5 million, and even the net amount assessed, is significant. However, it is only one factor that must be balanced against all other relevant factors. For example, if other factors point to a summary trial being appropriate, I see no reason why the dollar amount involved should dictate a different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Minister next argues that Wesbild rightly withdrew its summary-trial application as it related to the issue as to whether the 2002 Return was "correct" in that this issue would have required a more extensive investigation of the facts. The Minister alleges that this amounts to litigating in slices, an approach that has undoubtedly found disfavour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agree that this application has that potential. However, these reasons, on the preliminary issue, will dictate whether the trial is even necessary. If Wesbild succeeds in its application that the limitation period applies, then that will be the end of the matter whether or not the 2002 Return was "correct". Wesbild refers to numerous tax cases, as I will discuss below, where the courts have proceeded to address the limitation issue in the first instance with the express intention of avoiding any determination on the "correctness" of the tax return if the Minister is statute-barred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There is also potential for these reasons to affect any trial on the "correctness" issue. If the Minister succeeds here, the parties agree that the issue of Wesbild's due diligence in respect of the issue will have been decided and will be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If that occurs, the issues to be decided at trial will have been narrowed and will presumably dictate a shorter time required for that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Minister argues that there may be findings of fact on the limitation issue that may bear on the "correctness" issue. He points to examples as being a consideration of the role of Mr. Zien in Wesbild's affairs and who had responsibilities for Wesbild in 2002. I frankly see little concern in this respect. The evidence is overwhelming concerning Mr. Zien's role in formulating the Tax Plan, which was implemented with the concurrence of the other management personnel of the Inwest group of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Finally, the Minister argues that the evidence on the limitation issue is "incomplete, conflicting and raises credibility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have difficulty accepting that the evidence is incomplete. The parties have completed extensive document disclosure and examinations for discovery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addition, Mr. Zien has sworn affidavits in support of this summary-trial application and he was recently, on June 15, 2015, cross-examined in anticipation of this hearing. The Minister does not argue that relevant information and documentation, in the hands of Wesbild, has not been provided. Rather, the Minister argues that Wesbild has failed to lead evidence on certain points or from certain individuals on this application. In particular, the Minister argues that there is insufficient evidence about the state of mind or intention of Wesbild in terms of the filing of the 2002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As far as I am aware, a party is not entitled to argue that the insufficiency of the </w:t>
      </w:r>
      <w:r>
        <w:rPr>
          <w:rFonts w:ascii="arial" w:eastAsia="arial" w:hAnsi="arial" w:cs="arial"/>
          <w:i/>
          <w:color w:val="000000"/>
          <w:sz w:val="20"/>
          <w:lang w:val="en-US" w:eastAsia="en-US" w:bidi="ar-SA"/>
        </w:rPr>
        <w:t>opposing</w:t>
      </w:r>
      <w:r>
        <w:rPr>
          <w:rFonts w:ascii="arial" w:eastAsia="arial" w:hAnsi="arial" w:cs="arial"/>
          <w:color w:val="000000"/>
          <w:sz w:val="20"/>
          <w:lang w:val="en-US" w:eastAsia="en-US" w:bidi="ar-SA"/>
        </w:rPr>
        <w:t xml:space="preserve"> party's evidence is such as to disentitle them to a summary trial. It remains the case that a party must present the necessary evidence to obtain relief, and the opposing party -- in this case, the Minister -- must, likewise, present such evidence upon which he relies in opposing that relief. That extensive evidence is now before me, and I must assume that both parties have met their obligations in ensuring that it is as complete as possible. No one, least of all the Minister, is seeking an adjournment to complete other pre-trial procedures. If Wesbild's evidence is lacking, then that can only redound to its own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same point can be made in relation to the Minister's argument that there is no "credible evidence" that Mr. Zien had any role in the preparation, review or filing of the 2002 Return. As I have said, Mr. Zien filed two affidavits on which he was cross-examined. I see no difficulty in assessing that evidence in the context of the other evidence before the Court, such as the answers to certain examination for discovery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circumstances of some conflicting evidence or inconsistencies in the evidence are also of little importance here. Indeed, if those circumstances were to dictate whether a summary trial was appropriate, I would venture to say that not many summary trials would ever be appropriate. The task of the court is to resolve such inconsistencies, if possible, and make the necessary findings of fact in order to decide the issues. Having heard the parties on the factual issues, I do not see that the court will be unable to do so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Court is being asked to proceed on the assumption that there was an incorrect filing position taken on Wesbild's 2002 Return, which avoids any consideration of the main issue. Therefore, the issues to be decided are:</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this results in Wesbild having made a misrepresentation in the 2002 Return, and; if so,</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that misrepresentation arose from Wesbild's neglect or carelessness.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Both of these issues involve not only a consideration of the relevant case law, but also a consideration of Wesbild's actions in relation to the preparation and filing of the 2002 Return, all of which is before the Court. As a preliminary comment, I would note that the considerable difference in positions, as between the Minister and Wesbild, arises not so much from the facts, but from the interpretation of s. 152(4)(a)(i) of the Federal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conclusion, I find that it is appropriate to proceed with the summary trial on the limitation issue. There is sufficient evidence upon which the Court may find the necessary facts to decide that issue. Further, it is not unjust to proceed with deciding this preliminary issue in these circumstances. There is the potential to resolve the entire litigation if this issue is resolved in Wesbild's favour, a result which would avoid a somewhat lengthy and costly trial, and which would avoid delay in a resolution of this matter. Even if not resolved in Wesbild's favour, a resolution of the due diligence issue can also narrow the issues, in that the only matter then outstanding for trial would be the "correctness" of the 2002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Limitation Issue - Positions of the Parties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Minister/CRA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Minister takes the position that its 2011 reassessment is a valid assessment since Wesbild made a misrepresentation in the 2002 Return. The Minister relies on the "incorrectness" of the 2002 Return as constituting the misrepresentation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Minister points to various unchallenged assumptions made by the Minister that it is said establishes that Wesbild did, in fact, have a permanent establishment in British Columbia in its 2002 taxation year, and the failure to indicate as such on the 2002 Return was a misrepresentation. In argument, the Minister described those assumptions as follows: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Wesbild's true direction and business was conducted in British Columbia;</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Wesbild's central management and control was exercised in British Columbia;</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Wesbild was in the business of the acquisition, holding, negotiation and subsequent disposition of the Future Shop shares and investment of the proceeds;</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Wesbild's fixed place of business was in British Columbia; and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Wesbild's principal place in which its business was conducted was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Minister says that, assuming that the reassessment is not statute-barred, the taxpayer has the initial legal burden of proving that the Minister's assumptions are wrong: </w:t>
      </w:r>
      <w:r>
        <w:rPr>
          <w:rFonts w:ascii="arial" w:eastAsia="arial" w:hAnsi="arial" w:cs="arial"/>
          <w:i/>
          <w:color w:val="000000"/>
          <w:sz w:val="20"/>
          <w:lang w:val="en-US" w:eastAsia="en-US" w:bidi="ar-SA"/>
        </w:rPr>
        <w:t>Northland Properties Corporation v. British Columbia</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2010 BCCA 177</w:t>
        </w:r>
      </w:hyperlink>
      <w:r>
        <w:rPr>
          <w:rFonts w:ascii="arial" w:eastAsia="arial" w:hAnsi="arial" w:cs="arial"/>
          <w:color w:val="000000"/>
          <w:sz w:val="20"/>
          <w:lang w:val="en-US" w:eastAsia="en-US" w:bidi="ar-SA"/>
        </w:rPr>
        <w:t>,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Minister further takes the position that this "incorrect" 2002 Return arose from the neglect or carelessness of Wesbild, such that he is permitted to reassess after the normal reassessment period.</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Wesbild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Wesbild denies that it made any misrepresentation in the 2002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Wesbild says that in filing the 2002 Return, it relied on the relevant statutory provisions and a significant body of case law, including the seminal decision of the Supreme Court of Canada in </w:t>
      </w:r>
      <w:r>
        <w:rPr>
          <w:rFonts w:ascii="arial" w:eastAsia="arial" w:hAnsi="arial" w:cs="arial"/>
          <w:i/>
          <w:color w:val="000000"/>
          <w:sz w:val="20"/>
          <w:lang w:val="en-US" w:eastAsia="en-US" w:bidi="ar-SA"/>
        </w:rPr>
        <w:t>Canadian Marconi, v. R.</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[1986] 2 S.C.R. 522</w:t>
        </w:r>
      </w:hyperlink>
      <w:r>
        <w:rPr>
          <w:rFonts w:ascii="arial" w:eastAsia="arial" w:hAnsi="arial" w:cs="arial"/>
          <w:color w:val="000000"/>
          <w:sz w:val="20"/>
          <w:lang w:val="en-US" w:eastAsia="en-US" w:bidi="ar-SA"/>
        </w:rPr>
        <w:t xml:space="preserve"> regarding what level of activity is required to constitute a "business" for tax purposes. Accordingly, Wesbild says that its position in filing the 2002 Return, on the basis that it that it did not have a "permanent establishment" in British Columbia, was correct and supported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Wesbild says that the Minister's position -- in ignoring the </w:t>
      </w:r>
      <w:r>
        <w:rPr>
          <w:rFonts w:ascii="arial" w:eastAsia="arial" w:hAnsi="arial" w:cs="arial"/>
          <w:i/>
          <w:color w:val="000000"/>
          <w:sz w:val="20"/>
          <w:lang w:val="en-US" w:eastAsia="en-US" w:bidi="ar-SA"/>
        </w:rPr>
        <w:t>Marconi</w:t>
      </w:r>
      <w:r>
        <w:rPr>
          <w:rFonts w:ascii="arial" w:eastAsia="arial" w:hAnsi="arial" w:cs="arial"/>
          <w:color w:val="000000"/>
          <w:sz w:val="20"/>
          <w:lang w:val="en-US" w:eastAsia="en-US" w:bidi="ar-SA"/>
        </w:rPr>
        <w:t xml:space="preserve"> test and applying a broader dictionary meaning of "business" -- is without support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any event, and more relevant to the limitation issue, Wesbild says that its position was plainly and obviously a reasonable one and did not constitute a misrepresentation. In those circumstances, the Minister is not permitted to assess a taxpayer outside the limitation period because he disagrees with a taxpayer's filing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Further, Wesbild argues that the Tax Plan arose from the careful and diligent efforts of Inwest's management to lessen its tax burden, which efforts included considering the relevant questions, and seeking out legal advice on the issues before filing the 2002 Return. Wesbild says that these due diligence efforts more than exceeded what would be expected of a wise and prudent person under the law. Therefore, Wesbild argues that there is no basis upon which to contend that the 2002 Return arose from any neglect or carelessness.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Limitation Issue -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Before I turn to the specific elements of the limitation provision, some general discussion of the interpretation of taxation statutes and the limitation provision is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comments of the Court in </w:t>
      </w:r>
      <w:r>
        <w:rPr>
          <w:rFonts w:ascii="arial" w:eastAsia="arial" w:hAnsi="arial" w:cs="arial"/>
          <w:i/>
          <w:color w:val="000000"/>
          <w:sz w:val="20"/>
          <w:lang w:val="en-US" w:eastAsia="en-US" w:bidi="ar-SA"/>
        </w:rPr>
        <w:t>Canada Trustco Mortgage Co. v. R.</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2005 SCC 54</w:t>
        </w:r>
      </w:hyperlink>
      <w:r>
        <w:rPr>
          <w:rFonts w:ascii="arial" w:eastAsia="arial" w:hAnsi="arial" w:cs="arial"/>
          <w:color w:val="000000"/>
          <w:sz w:val="20"/>
          <w:lang w:val="en-US" w:eastAsia="en-US" w:bidi="ar-SA"/>
        </w:rPr>
        <w:t>, confirm what has been the long-standing general approach to statutory interpretation: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It has been long established as a matter of statutory interpretation that "the words of an Act are to be read in their entire context and in their grammatical and ordinary sense harmoniously with the scheme of the Act, the object of the Act, and the intention of Parliament": see </w:t>
      </w:r>
      <w:r>
        <w:rPr>
          <w:rFonts w:ascii="arial" w:eastAsia="arial" w:hAnsi="arial" w:cs="arial"/>
          <w:i/>
          <w:color w:val="000000"/>
          <w:sz w:val="20"/>
          <w:lang w:val="en-US" w:eastAsia="en-US" w:bidi="ar-SA"/>
        </w:rPr>
        <w:t>65302 British Columbia Ltd. v. Canada</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[1999] 3 S.C.R. 804</w:t>
        </w:r>
      </w:hyperlink>
      <w:r>
        <w:rPr>
          <w:rFonts w:ascii="arial" w:eastAsia="arial" w:hAnsi="arial" w:cs="arial"/>
          <w:color w:val="000000"/>
          <w:sz w:val="20"/>
          <w:lang w:val="en-US" w:eastAsia="en-US" w:bidi="ar-SA"/>
        </w:rPr>
        <w:t>, at para. 50. The interpretation of a statutory provision must be made according to a textual, contextual and purposive analysis to find a meaning that is harmonious with the Act as a whole. When the words of a provision are precise and unequivocal, the ordinary meaning of the words play a dominant role in the interpretive process. On the other hand, where the words can support more than one reasonable meaning, the ordinary meaning of the words plays a lesser role. The relative effects of ordinary meaning, context and purpose on the interpretive process may vary, but in all cases the court must seek to read the provisions of an Act as a harmonious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Such comments are, of course, consistent with the statutory interpretation provision found in the federal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cited above, at s. 12 and its provincial equivalent found in s. 8 of the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236</w:t>
      </w:r>
      <w:r>
        <w:rPr>
          <w:rFonts w:ascii="arial" w:eastAsia="arial" w:hAnsi="arial" w:cs="arial"/>
          <w:color w:val="000000"/>
          <w:sz w:val="20"/>
          <w:lang w:val="en-US" w:eastAsia="en-US" w:bidi="ar-SA"/>
        </w:rPr>
        <w:t>, both of which dictate a "fair, large and liberal construction and interpretation as best ensures the attainment of its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Turning to taxation statutes in particular, the Court in </w:t>
      </w:r>
      <w:r>
        <w:rPr>
          <w:rFonts w:ascii="arial" w:eastAsia="arial" w:hAnsi="arial" w:cs="arial"/>
          <w:i/>
          <w:color w:val="000000"/>
          <w:sz w:val="20"/>
          <w:lang w:val="en-US" w:eastAsia="en-US" w:bidi="ar-SA"/>
        </w:rPr>
        <w:t>Canada Trustco</w:t>
      </w:r>
      <w:r>
        <w:rPr>
          <w:rFonts w:ascii="arial" w:eastAsia="arial" w:hAnsi="arial" w:cs="arial"/>
          <w:color w:val="000000"/>
          <w:sz w:val="20"/>
          <w:lang w:val="en-US" w:eastAsia="en-US" w:bidi="ar-SA"/>
        </w:rPr>
        <w:t xml:space="preserve"> emphasized that its interpretation must be in keeping with the objectives of "consistency, predictability and fairness":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As a result of the Duke of Westminster principle (</w:t>
      </w:r>
      <w:r>
        <w:rPr>
          <w:rFonts w:ascii="arial" w:eastAsia="arial" w:hAnsi="arial" w:cs="arial"/>
          <w:i/>
          <w:color w:val="000000"/>
          <w:sz w:val="20"/>
          <w:lang w:val="en-US" w:eastAsia="en-US" w:bidi="ar-SA"/>
        </w:rPr>
        <w:t>Commissioners of Inland Revenue v. Duke of Westminster</w:t>
      </w:r>
      <w:r>
        <w:rPr>
          <w:rFonts w:ascii="arial" w:eastAsia="arial" w:hAnsi="arial" w:cs="arial"/>
          <w:color w:val="000000"/>
          <w:sz w:val="20"/>
          <w:lang w:val="en-US" w:eastAsia="en-US" w:bidi="ar-SA"/>
        </w:rPr>
        <w:t xml:space="preserve">, [1936] A.C. 1 (H.L.)) that taxpayers are entitled to arrange their affairs to minimize the amount of tax payable, Canadian tax legislation received a strict interpretation in an era of more literal statutory interpretation than the present. There is no doubt today that all statutes, including the </w:t>
      </w:r>
      <w:r>
        <w:rPr>
          <w:rFonts w:ascii="arial" w:eastAsia="arial" w:hAnsi="arial" w:cs="arial"/>
          <w:i/>
          <w:color w:val="000000"/>
          <w:sz w:val="20"/>
          <w:u w:val="single"/>
          <w:lang w:val="en-US" w:eastAsia="en-US" w:bidi="ar-SA"/>
        </w:rPr>
        <w:t>Income Tax Act</w:t>
      </w:r>
      <w:r>
        <w:rPr>
          <w:rFonts w:ascii="arial" w:eastAsia="arial" w:hAnsi="arial" w:cs="arial"/>
          <w:color w:val="000000"/>
          <w:sz w:val="20"/>
          <w:u w:val="single"/>
          <w:lang w:val="en-US" w:eastAsia="en-US" w:bidi="ar-SA"/>
        </w:rPr>
        <w:t>, must be interpreted in a textual, contextual and purposive way</w:t>
      </w:r>
      <w:r>
        <w:rPr>
          <w:rFonts w:ascii="arial" w:eastAsia="arial" w:hAnsi="arial" w:cs="arial"/>
          <w:color w:val="000000"/>
          <w:sz w:val="20"/>
          <w:lang w:val="en-US" w:eastAsia="en-US" w:bidi="ar-SA"/>
        </w:rPr>
        <w:t>. However, the particularity and detail of many tax provisions have often led to an emphasis on textual interpretation. Where Parliament has specified precisely what conditions must be satisfied to achieve a particular result, it is reasonable to assume that Parliament intended that taxpayers would rely on such provisions to achieve the result they prescribe.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w:t>
      </w:r>
      <w:r>
        <w:rPr>
          <w:rFonts w:ascii="arial" w:eastAsia="arial" w:hAnsi="arial" w:cs="arial"/>
          <w:color w:val="000000"/>
          <w:sz w:val="20"/>
          <w:u w:val="single"/>
          <w:lang w:val="en-US" w:eastAsia="en-US" w:bidi="ar-SA"/>
        </w:rPr>
        <w:t xml:space="preserve">provisions of the </w:t>
      </w:r>
      <w:r>
        <w:rPr>
          <w:rFonts w:ascii="arial" w:eastAsia="arial" w:hAnsi="arial" w:cs="arial"/>
          <w:i/>
          <w:color w:val="000000"/>
          <w:sz w:val="20"/>
          <w:u w:val="single"/>
          <w:lang w:val="en-US" w:eastAsia="en-US" w:bidi="ar-SA"/>
        </w:rPr>
        <w:t>Income Tax Act</w:t>
      </w:r>
      <w:r>
        <w:rPr>
          <w:rFonts w:ascii="arial" w:eastAsia="arial" w:hAnsi="arial" w:cs="arial"/>
          <w:color w:val="000000"/>
          <w:sz w:val="20"/>
          <w:u w:val="single"/>
          <w:lang w:val="en-US" w:eastAsia="en-US" w:bidi="ar-SA"/>
        </w:rPr>
        <w:t xml:space="preserve"> must be interpreted in order to achieve consistency, predictability and fairness</w:t>
      </w:r>
      <w:r>
        <w:rPr>
          <w:rFonts w:ascii="arial" w:eastAsia="arial" w:hAnsi="arial" w:cs="arial"/>
          <w:color w:val="000000"/>
          <w:sz w:val="20"/>
          <w:lang w:val="en-US" w:eastAsia="en-US" w:bidi="ar-SA"/>
        </w:rPr>
        <w:t xml:space="preserve"> so that taxpayers may manage their affairs intelligently.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three-year limitation provision in the Federal Act, and the ability of the Minister to reassess outside of that period, must also be interpreted with these objectives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Consistency and predictability are achieved by a taxpayer knowing that the issue of its tax burden will have been settled and concluded after the three-year period except for in certain limited circumstances. In this sense, I would add the objectives of certainty and finality to those to be considered in the interpretation of s. 152(4)(a)(i). This is in keeping with the comments of the Supreme Court of Canada that limitation periods "are meant to promote certainty, avoid stale evidence, encourage diligence, and bring repose": </w:t>
      </w:r>
      <w:r>
        <w:rPr>
          <w:rFonts w:ascii="arial" w:eastAsia="arial" w:hAnsi="arial" w:cs="arial"/>
          <w:i/>
          <w:color w:val="000000"/>
          <w:sz w:val="20"/>
          <w:lang w:val="en-US" w:eastAsia="en-US" w:bidi="ar-SA"/>
        </w:rPr>
        <w:t>Markevich v. Canada</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2003 SCC 9</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case law also supports that fairness is achieved for the Minister if the taxpayer is required to file its return in a manner that sufficiently identifies its filing position so that the Minister can assess that position. The Federal Court of Appeal in </w:t>
      </w:r>
      <w:r>
        <w:rPr>
          <w:rFonts w:ascii="arial" w:eastAsia="arial" w:hAnsi="arial" w:cs="arial"/>
          <w:i/>
          <w:color w:val="000000"/>
          <w:sz w:val="20"/>
          <w:lang w:val="en-US" w:eastAsia="en-US" w:bidi="ar-SA"/>
        </w:rPr>
        <w:t>Nesbitt v. R.</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(1996), 96 D.T.C. 6045</w:t>
        </w:r>
      </w:hyperlink>
      <w:r>
        <w:rPr>
          <w:rFonts w:ascii="arial" w:eastAsia="arial" w:hAnsi="arial" w:cs="arial"/>
          <w:color w:val="000000"/>
          <w:sz w:val="20"/>
          <w:lang w:val="en-US" w:eastAsia="en-US" w:bidi="ar-SA"/>
        </w:rPr>
        <w:t xml:space="preserve"> (T.D.), aff'd </w:t>
      </w:r>
      <w:hyperlink r:id="rId492" w:history="1">
        <w:r>
          <w:rPr>
            <w:rFonts w:ascii="arial" w:eastAsia="arial" w:hAnsi="arial" w:cs="arial"/>
            <w:i/>
            <w:color w:val="0077CC"/>
            <w:sz w:val="20"/>
            <w:u w:val="single"/>
            <w:shd w:val="clear" w:color="auto" w:fill="FFFFFF"/>
            <w:lang w:val="en-US" w:eastAsia="en-US" w:bidi="ar-SA"/>
          </w:rPr>
          <w:t>[1996] F.C.J. No. 1470</w:t>
        </w:r>
      </w:hyperlink>
      <w:r>
        <w:rPr>
          <w:rFonts w:ascii="arial" w:eastAsia="arial" w:hAnsi="arial" w:cs="arial"/>
          <w:color w:val="000000"/>
          <w:sz w:val="20"/>
          <w:lang w:val="en-US" w:eastAsia="en-US" w:bidi="ar-SA"/>
        </w:rPr>
        <w:t xml:space="preserve"> at para. 8, </w:t>
      </w:r>
      <w:hyperlink r:id="rId493" w:history="1">
        <w:r>
          <w:rPr>
            <w:rFonts w:ascii="arial" w:eastAsia="arial" w:hAnsi="arial" w:cs="arial"/>
            <w:i/>
            <w:color w:val="0077CC"/>
            <w:sz w:val="20"/>
            <w:u w:val="single"/>
            <w:shd w:val="clear" w:color="auto" w:fill="FFFFFF"/>
            <w:lang w:val="en-US" w:eastAsia="en-US" w:bidi="ar-SA"/>
          </w:rPr>
          <w:t>96 D.T.C. 6588</w:t>
        </w:r>
      </w:hyperlink>
      <w:r>
        <w:rPr>
          <w:rFonts w:ascii="arial" w:eastAsia="arial" w:hAnsi="arial" w:cs="arial"/>
          <w:color w:val="000000"/>
          <w:sz w:val="20"/>
          <w:lang w:val="en-US" w:eastAsia="en-US" w:bidi="ar-SA"/>
        </w:rPr>
        <w:t xml:space="preserve"> (C.A.),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to me that one purpose of subsection 152(4) is to promote careful and accurate completion of income tax returns. Whether or not there is misrepresentation through neglect or carelessness in the completion of a return is determinable at the time the return is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College Park Motors Ltd. v. Canada</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2009 TCC 409</w:t>
        </w:r>
      </w:hyperlink>
      <w:r>
        <w:rPr>
          <w:rFonts w:ascii="arial" w:eastAsia="arial" w:hAnsi="arial" w:cs="arial"/>
          <w:color w:val="000000"/>
          <w:sz w:val="20"/>
          <w:lang w:val="en-US" w:eastAsia="en-US" w:bidi="ar-SA"/>
        </w:rPr>
        <w:t>, Mr. Justice Bowie set out the purpose of s. 152(4)(a)(i):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 [T]he purpose of subparagraph 152(4)(a)(i) is simply to </w:t>
      </w:r>
      <w:r>
        <w:rPr>
          <w:rFonts w:ascii="arial" w:eastAsia="arial" w:hAnsi="arial" w:cs="arial"/>
          <w:color w:val="000000"/>
          <w:sz w:val="20"/>
          <w:u w:val="single"/>
          <w:lang w:val="en-US" w:eastAsia="en-US" w:bidi="ar-SA"/>
        </w:rPr>
        <w:t>preserve the Minister's right to reassess a taxpayer in circumstances where the taxpayer has not divulged all that he should have</w:t>
      </w:r>
      <w:r>
        <w:rPr>
          <w:rFonts w:ascii="arial" w:eastAsia="arial" w:hAnsi="arial" w:cs="arial"/>
          <w:color w:val="000000"/>
          <w:sz w:val="20"/>
          <w:lang w:val="en-US" w:eastAsia="en-US" w:bidi="ar-SA"/>
        </w:rPr>
        <w:t xml:space="preserve">, as accurately as he should have, and thereby has </w:t>
      </w:r>
      <w:r>
        <w:rPr>
          <w:rFonts w:ascii="arial" w:eastAsia="arial" w:hAnsi="arial" w:cs="arial"/>
          <w:color w:val="000000"/>
          <w:sz w:val="20"/>
          <w:u w:val="single"/>
          <w:lang w:val="en-US" w:eastAsia="en-US" w:bidi="ar-SA"/>
        </w:rPr>
        <w:t>denied the Minister the opportunity to assess correctly all of the appellant's liability under the Act in the first instance</w:t>
      </w:r>
      <w:r>
        <w:rPr>
          <w:rFonts w:ascii="arial" w:eastAsia="arial" w:hAnsi="arial" w:cs="arial"/>
          <w:color w:val="000000"/>
          <w:sz w:val="20"/>
          <w:lang w:val="en-US" w:eastAsia="en-US" w:bidi="ar-SA"/>
        </w:rPr>
        <w:t>. It is not at all concerned with establishing culpability on the part of the taxpayer.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 [T]he purpose of subparagraph 152(4)(a)(i) is not penal but remedial. It balances the need for taxpayers to have some finality in respect of their taxes for the year with the requirement of a self-reporting system that the taxing authority not be foreclosed from reassessing in those instances where a taxpayer's conduct, whether through lack of care or attention at one end of the scale, or willful fraud at the other end, has resulted in an assessment more favourable to the taxpayer than it should have been. This, quite rightly, is not a penalty case. It is simply a case where the fisc should not be deprived simply by reason of the passage of time between Mr. Ulmer's innocent mistake and his discovery of it, and resulting voluntary disclosure.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this context, in a system based on self-assessment in the first instance, the legislation encourages a taxpayer to carefully and accurately prepare its return and give an honest representation of its position. In that event, the Minister is only allowed to reassess beyond the normal reassessment period where the taxpayer's conduct has resulted in a misrepresentation attributable to neglect, carelessness or willful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Again, the CRA does not allege willful default or fraud on the part of Wesbild and therefore, the sole issue here is whether there is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am advised by counsel that there are legions of case authorities that address the limitation issue that arises under s. 152(4)(a)(i). Nevertheless, counsel were content to refer me to only certain of those authorities, and I can only presume that these are the ones most relevant to the issue at hand. I have had the benefit of reading the article by Robert Kopstein and Rebecca Levi, "When Should the Courts Allow Reassessments Beyond the Limitation Period?" (2010) 58:3 Can Tax J (2010) 475 (the "Article"), which provides an extensive discussion of many of those authorities and including most of those relied on by both the CRA and Wesbild.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It is an interesting wrinkle that, as will become evident from my discussion below, Mr. Kopstein is involved in this case as having provided legal advice to Wesbild on the issue at hand.</w:t>
      </w:r>
      <w:r>
        <w:rPr>
          <w:rFonts w:ascii="arial" w:eastAsia="arial" w:hAnsi="arial" w:cs="arial"/>
          <w:sz w:val="20"/>
          <w:lang w:val="en-US" w:eastAsia="en-US" w:bidi="ar-SA"/>
        </w:rPr>
        <w:cr/>
      </w:r>
    </w:p>
    <w:p>
      <w:pPr>
        <w:numPr>
          <w:numId w:val="2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Was there a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Neither the Federal Act nor the BC Act contains any definition of "misrepresentation". The courts have, however, addressed what will constitute a misrepresentation within the meaning of s. 152(4)(a)(i).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issue was addressed in </w:t>
      </w:r>
      <w:r>
        <w:rPr>
          <w:rFonts w:ascii="arial" w:eastAsia="arial" w:hAnsi="arial" w:cs="arial"/>
          <w:i/>
          <w:color w:val="000000"/>
          <w:sz w:val="20"/>
          <w:lang w:val="en-US" w:eastAsia="en-US" w:bidi="ar-SA"/>
        </w:rPr>
        <w:t>Nesbitt</w:t>
      </w:r>
      <w:r>
        <w:rPr>
          <w:rFonts w:ascii="arial" w:eastAsia="arial" w:hAnsi="arial" w:cs="arial"/>
          <w:color w:val="000000"/>
          <w:sz w:val="20"/>
          <w:lang w:val="en-US" w:eastAsia="en-US" w:bidi="ar-SA"/>
        </w:rPr>
        <w:t>. In that case, the taxpayer had reported a capital gain on the tax return of $71,139, rather than the correct amount of $711,394. The error arose from a miscalculation of the amount. The taxpayer argued that a misrepresentation must be one of fact and that a wrong calculation, based on accurately reported facts, could not itself be a misrepresentation of fact. He further argued that since a taxable capital gain is a statement of a conclusion, even when misstated, it cannot be said to be a misstatement of fact and, accordingly, cannot be a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trial judge in </w:t>
      </w:r>
      <w:r>
        <w:rPr>
          <w:rFonts w:ascii="arial" w:eastAsia="arial" w:hAnsi="arial" w:cs="arial"/>
          <w:i/>
          <w:color w:val="000000"/>
          <w:sz w:val="20"/>
          <w:lang w:val="en-US" w:eastAsia="en-US" w:bidi="ar-SA"/>
        </w:rPr>
        <w:t>Nesbitt</w:t>
      </w:r>
      <w:r>
        <w:rPr>
          <w:rFonts w:ascii="arial" w:eastAsia="arial" w:hAnsi="arial" w:cs="arial"/>
          <w:color w:val="000000"/>
          <w:sz w:val="20"/>
          <w:lang w:val="en-US" w:eastAsia="en-US" w:bidi="ar-SA"/>
        </w:rPr>
        <w:t xml:space="preserve"> disagreed with the taxpayer and adopted the comments of the Exchequer Court in </w:t>
      </w:r>
      <w:r>
        <w:rPr>
          <w:rFonts w:ascii="arial" w:eastAsia="arial" w:hAnsi="arial" w:cs="arial"/>
          <w:i/>
          <w:color w:val="000000"/>
          <w:sz w:val="20"/>
          <w:lang w:val="en-US" w:eastAsia="en-US" w:bidi="ar-SA"/>
        </w:rPr>
        <w:t>Minister of National Revenue v. Taylor</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[1961] 61 D.T.C. 1139</w:t>
        </w:r>
      </w:hyperlink>
      <w:r>
        <w:rPr>
          <w:rFonts w:ascii="arial" w:eastAsia="arial" w:hAnsi="arial" w:cs="arial"/>
          <w:color w:val="000000"/>
          <w:sz w:val="20"/>
          <w:lang w:val="en-US" w:eastAsia="en-US" w:bidi="ar-SA"/>
        </w:rPr>
        <w:t xml:space="preserve"> at 1144 that a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[M]ust be construed to mean any representation which was false in substance and in fact and includes both innocent and fraudulent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Federal Court of Appeal in </w:t>
      </w:r>
      <w:r>
        <w:rPr>
          <w:rFonts w:ascii="arial" w:eastAsia="arial" w:hAnsi="arial" w:cs="arial"/>
          <w:i/>
          <w:color w:val="000000"/>
          <w:sz w:val="20"/>
          <w:lang w:val="en-US" w:eastAsia="en-US" w:bidi="ar-SA"/>
        </w:rPr>
        <w:t>Nesbitt</w:t>
      </w:r>
      <w:r>
        <w:rPr>
          <w:rFonts w:ascii="arial" w:eastAsia="arial" w:hAnsi="arial" w:cs="arial"/>
          <w:color w:val="000000"/>
          <w:sz w:val="20"/>
          <w:lang w:val="en-US" w:eastAsia="en-US" w:bidi="ar-SA"/>
        </w:rPr>
        <w:t xml:space="preserve"> agreed with the trial judge on the issues and found there was a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 A </w:t>
      </w:r>
      <w:r>
        <w:rPr>
          <w:rFonts w:ascii="arial" w:eastAsia="arial" w:hAnsi="arial" w:cs="arial"/>
          <w:color w:val="000000"/>
          <w:sz w:val="20"/>
          <w:u w:val="single"/>
          <w:lang w:val="en-US" w:eastAsia="en-US" w:bidi="ar-SA"/>
        </w:rPr>
        <w:t>misrepresentation has occurred if there is an incorrect statement on the return form, at least one that is material to the purposes of the return and to any future reassessment</w:t>
      </w:r>
      <w:r>
        <w:rPr>
          <w:rFonts w:ascii="arial" w:eastAsia="arial" w:hAnsi="arial" w:cs="arial"/>
          <w:color w:val="000000"/>
          <w:sz w:val="20"/>
          <w:lang w:val="en-US" w:eastAsia="en-US" w:bidi="ar-SA"/>
        </w:rPr>
        <w:t>. It remains a misrepresentation even if the Minister could or does, by a careful analysis of the supporting material, perceive the error on the return form. It would undermine the self-reporting nature of the tax system if taxpayers could be careless in the completion of returns while providing accurate basic data in working papers, on the chance that the Minister would not find the error but, if he did within four years, the worst consequence would be a correct reassessment at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Thus it is irrelevant that the Minister might, despite the misrepresentation on the return form, have ascertained the true facts prior to the expiry of the limitation period. The faulty return was when submitted, and remained, a misrepresentation within the meaning of subparagraph 152(4)(a)(i) of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College Park Motors</w:t>
      </w:r>
      <w:r>
        <w:rPr>
          <w:rFonts w:ascii="arial" w:eastAsia="arial" w:hAnsi="arial" w:cs="arial"/>
          <w:color w:val="000000"/>
          <w:sz w:val="20"/>
          <w:lang w:val="en-US" w:eastAsia="en-US" w:bidi="ar-SA"/>
        </w:rPr>
        <w:t>, the court found that there were misrepresentations in the returns because certain questions on the return as to liability for a certain tax were not, as acknowledged by the taxpayer, answered accurately: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Ridge Run Developments Inc. v. R.</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2007 TCC 68</w:t>
        </w:r>
      </w:hyperlink>
      <w:r>
        <w:rPr>
          <w:rFonts w:ascii="arial" w:eastAsia="arial" w:hAnsi="arial" w:cs="arial"/>
          <w:color w:val="000000"/>
          <w:sz w:val="20"/>
          <w:lang w:val="en-US" w:eastAsia="en-US" w:bidi="ar-SA"/>
        </w:rPr>
        <w:t>, the court found the taxpayer's interpretation of loss carry forward provisions to have been "clearly incorrect": para. 145. Further, the court found that there was a misrepresentation in the returns in showing an incorrect non-capital loss amount: paras. 155-157.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 misrepresentation in the tax return itself was also found in </w:t>
      </w:r>
      <w:r>
        <w:rPr>
          <w:rFonts w:ascii="arial" w:eastAsia="arial" w:hAnsi="arial" w:cs="arial"/>
          <w:i/>
          <w:color w:val="000000"/>
          <w:sz w:val="20"/>
          <w:lang w:val="en-US" w:eastAsia="en-US" w:bidi="ar-SA"/>
        </w:rPr>
        <w:t>Dalphond v. R.</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2009 FCA 121</w:t>
        </w:r>
      </w:hyperlink>
      <w:r>
        <w:rPr>
          <w:rFonts w:ascii="arial" w:eastAsia="arial" w:hAnsi="arial" w:cs="arial"/>
          <w:color w:val="000000"/>
          <w:sz w:val="20"/>
          <w:lang w:val="en-US" w:eastAsia="en-US" w:bidi="ar-SA"/>
        </w:rPr>
        <w:t>. The taxpayer had incorrectly claimed a capital gains deduction for shares which was only available if the corporation was a "Canadian-controlled private corporation". In fact, the corporation had lost that status and, hence, the deduction was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Gestion Foret-Dale Inc. v. The Queen</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2009 TCC 255</w:t>
        </w:r>
      </w:hyperlink>
      <w:r>
        <w:rPr>
          <w:rFonts w:ascii="arial" w:eastAsia="arial" w:hAnsi="arial" w:cs="arial"/>
          <w:color w:val="000000"/>
          <w:sz w:val="20"/>
          <w:lang w:val="en-US" w:eastAsia="en-US" w:bidi="ar-SA"/>
        </w:rPr>
        <w:t>, a misrepresentation was found in the taxpayer's tax return because it had been filed on the basis that the taxpayer was "connected" to another corporation when, in fact, it was not: paras. 24-25,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It is fairly straightforward to characterize the errors in the returns, as found in </w:t>
      </w:r>
      <w:r>
        <w:rPr>
          <w:rFonts w:ascii="arial" w:eastAsia="arial" w:hAnsi="arial" w:cs="arial"/>
          <w:i/>
          <w:color w:val="000000"/>
          <w:sz w:val="20"/>
          <w:lang w:val="en-US" w:eastAsia="en-US" w:bidi="ar-SA"/>
        </w:rPr>
        <w:t>Nesbitt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College Park Motors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Dalphond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Gestion Foret-Dale</w:t>
      </w:r>
      <w:r>
        <w:rPr>
          <w:rFonts w:ascii="arial" w:eastAsia="arial" w:hAnsi="arial" w:cs="arial"/>
          <w:color w:val="000000"/>
          <w:sz w:val="20"/>
          <w:lang w:val="en-US" w:eastAsia="en-US" w:bidi="ar-SA"/>
        </w:rPr>
        <w:t xml:space="preserve"> as misrepresentations as contemplated by s. 152(4)(a)(i). However, the preparation of a tax return will often involve more than simply ticking boxes or placing figures on that return. In many cases, the preparation of a return will involve a consideration of the facts and, in that event, the return will indicate not only facts, but a </w:t>
      </w:r>
      <w:r>
        <w:rPr>
          <w:rFonts w:ascii="arial" w:eastAsia="arial" w:hAnsi="arial" w:cs="arial"/>
          <w:i/>
          <w:color w:val="000000"/>
          <w:sz w:val="20"/>
          <w:lang w:val="en-US" w:eastAsia="en-US" w:bidi="ar-SA"/>
        </w:rPr>
        <w:t>position</w:t>
      </w:r>
      <w:r>
        <w:rPr>
          <w:rFonts w:ascii="arial" w:eastAsia="arial" w:hAnsi="arial" w:cs="arial"/>
          <w:color w:val="000000"/>
          <w:sz w:val="20"/>
          <w:lang w:val="en-US" w:eastAsia="en-US" w:bidi="ar-SA"/>
        </w:rPr>
        <w:t xml:space="preserve"> on whether or not tax is due and owing and, if so, in what amount. Accordingly, this process will often involve an interpretation of the law, or mixed fact and law, in order to arrive at that filing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Wesbild argues that where information reported on a return is open to multiple reasonable interpretations, the taxpayer is not considered to have made a misrepresentation by taking a different interpretation of the facts than the Minister would have taken. It refers to the French version of the Federal Act as supporting the argument that the only misrepresentations addressed by s. 152(4)(a)(i) are statements of fact, as opposed to statements of law, or a mixed statement of fact and law. The French version of s. 152(4)(a)(i) is:</w:t>
      </w:r>
      <w:r>
        <w:rPr>
          <w:rFonts w:ascii="arial" w:eastAsia="arial" w:hAnsi="arial" w:cs="arial"/>
          <w:sz w:val="20"/>
          <w:lang w:val="en-US" w:eastAsia="en-US" w:bidi="ar-SA"/>
        </w:rPr>
        <w:cr/>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 contribuable ou la personne produisant la déclaration:</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soit a fait une présentation erronée des faits, par </w:t>
      </w:r>
      <w:r>
        <w:rPr>
          <w:rFonts w:ascii="arial" w:eastAsia="arial" w:hAnsi="arial" w:cs="arial"/>
          <w:b/>
          <w:i/>
          <w:color w:val="000000"/>
          <w:sz w:val="20"/>
          <w:u w:val="single"/>
          <w:lang w:val="en-US" w:eastAsia="en-US" w:bidi="ar-SA"/>
        </w:rPr>
        <w:t>négligence</w:t>
      </w:r>
      <w:r>
        <w:rPr>
          <w:rFonts w:ascii="arial" w:eastAsia="arial" w:hAnsi="arial" w:cs="arial"/>
          <w:color w:val="000000"/>
          <w:sz w:val="20"/>
          <w:lang w:val="en-US" w:eastAsia="en-US" w:bidi="ar-SA"/>
        </w:rPr>
        <w:t>, inattention ou omission volontaire, ou a commis quelque fraude en produisant la déclaration ou en fournissant quelque renseignement sous le régime de la présente loi[.]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Wesbild advises that the key phrase in the French version is "soit a fait une présentation erronée des faits", which translates to "has made a misrepresentation of </w:t>
      </w:r>
      <w:r>
        <w:rPr>
          <w:rFonts w:ascii="arial" w:eastAsia="arial" w:hAnsi="arial" w:cs="arial"/>
          <w:i/>
          <w:color w:val="000000"/>
          <w:sz w:val="20"/>
          <w:lang w:val="en-US" w:eastAsia="en-US" w:bidi="ar-SA"/>
        </w:rPr>
        <w:t>facts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Canada (Attorney General) v. Mossop</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[1993] 1 S.C.R. 554</w:t>
        </w:r>
      </w:hyperlink>
      <w:r>
        <w:rPr>
          <w:rFonts w:ascii="arial" w:eastAsia="arial" w:hAnsi="arial" w:cs="arial"/>
          <w:color w:val="000000"/>
          <w:sz w:val="20"/>
          <w:lang w:val="en-US" w:eastAsia="en-US" w:bidi="ar-SA"/>
        </w:rPr>
        <w:t xml:space="preserve"> at 618, the court reiterated the established principle of interpretation that the French and English versions of legislation are equally authoritative and, where there is a discrepancy, the meaning that furthers the purpose of the legislation is to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further support, Wesbild relies on </w:t>
      </w:r>
      <w:r>
        <w:rPr>
          <w:rFonts w:ascii="arial" w:eastAsia="arial" w:hAnsi="arial" w:cs="arial"/>
          <w:i/>
          <w:color w:val="000000"/>
          <w:sz w:val="20"/>
          <w:lang w:val="en-US" w:eastAsia="en-US" w:bidi="ar-SA"/>
        </w:rPr>
        <w:t>Ver v. R.</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[1995] T.C.J. No. 593</w:t>
        </w:r>
      </w:hyperlink>
      <w:r>
        <w:rPr>
          <w:rFonts w:ascii="arial" w:eastAsia="arial" w:hAnsi="arial" w:cs="arial"/>
          <w:color w:val="000000"/>
          <w:sz w:val="20"/>
          <w:lang w:val="en-US" w:eastAsia="en-US" w:bidi="ar-SA"/>
        </w:rPr>
        <w:t xml:space="preserve"> (T.C.C.), where Bowman T.C.J., as he then was, was considering returns filed which had accurately reported certain income and expenses. The Minister later disallowed the claimed losses outside the normal period, describing the expenses as personal and not for the purpose of earning income. Bowman T.C.J. found no misrepresentation and vacated the reassessments, holding: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 do not think the respondent has established the Minister's right to reassess the appellants' 1988 taxation year beyond the normal reassessment period. ...</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respondent has not established that there was a misrepresentation in the returns of income. A misrepresentation within the meaning of subparagraph 152(4)(a)(i) means a misrepresentation of fact. The French version uses the words "soit a fait une présentation erronée des faits". There is no evidence and no suggestion that any of the figures in the statement of income and expense were falsified, that the goods were not bought and sold in the amounts disclosed or that the amounts claimed as expenses were not in fact incurred. </w:t>
      </w:r>
      <w:r>
        <w:rPr>
          <w:rFonts w:ascii="arial" w:eastAsia="arial" w:hAnsi="arial" w:cs="arial"/>
          <w:color w:val="000000"/>
          <w:sz w:val="20"/>
          <w:u w:val="single"/>
          <w:lang w:val="en-US" w:eastAsia="en-US" w:bidi="ar-SA"/>
        </w:rPr>
        <w:t>The respondent's criticism of the reporting of the loss is based upon certain propositions of law or mixed law and fact[.] ... These points might be arguable in support of the merits of the assessments and they might form a basis for disallowance of some of the expenses, but matters of judgment such as allocation of expenses between business and personal use are one thing that the Minister ought to pick up in the normal assessment process and within the three years that are given him. They are not the subject of misrepresentation within the meaning of subparagraph 152(4)(a)(i)</w:t>
      </w:r>
      <w:r>
        <w:rPr>
          <w:rFonts w:ascii="arial" w:eastAsia="arial" w:hAnsi="arial" w:cs="arial"/>
          <w:color w:val="000000"/>
          <w:sz w:val="20"/>
          <w:lang w:val="en-US" w:eastAsia="en-US" w:bidi="ar-SA"/>
        </w:rPr>
        <w:t>.</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corollary to the first point the appellants' returns were before the department official from the time that they were filed. If the claims were originally subject to challenge as excessive it should have been obvious from an examination of the returns. It has not been established that the taxpayers suppressed any material facts. The purpose of the provision permitting the Minister to reopen statute-barred years is to allow a review of returns to be made beyond the normal reassessment period where facts have been deliberately or negligently omitted, suppressed or misstated. That is not the case here.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Ver</w:t>
      </w:r>
      <w:r>
        <w:rPr>
          <w:rFonts w:ascii="arial" w:eastAsia="arial" w:hAnsi="arial" w:cs="arial"/>
          <w:color w:val="000000"/>
          <w:sz w:val="20"/>
          <w:lang w:val="en-US" w:eastAsia="en-US" w:bidi="ar-SA"/>
        </w:rPr>
        <w:t xml:space="preserve"> relied, in part, on </w:t>
      </w:r>
      <w:r>
        <w:rPr>
          <w:rFonts w:ascii="arial" w:eastAsia="arial" w:hAnsi="arial" w:cs="arial"/>
          <w:i/>
          <w:color w:val="000000"/>
          <w:sz w:val="20"/>
          <w:lang w:val="en-US" w:eastAsia="en-US" w:bidi="ar-SA"/>
        </w:rPr>
        <w:t>Regina Shoppers Mall Ltd. v. R.</w:t>
      </w:r>
      <w:r>
        <w:rPr>
          <w:rFonts w:ascii="arial" w:eastAsia="arial" w:hAnsi="arial" w:cs="arial"/>
          <w:color w:val="000000"/>
          <w:sz w:val="20"/>
          <w:lang w:val="en-US" w:eastAsia="en-US" w:bidi="ar-SA"/>
        </w:rPr>
        <w:t xml:space="preserve"> (1990), </w:t>
      </w:r>
      <w:hyperlink r:id="rId501" w:history="1">
        <w:r>
          <w:rPr>
            <w:rFonts w:ascii="arial" w:eastAsia="arial" w:hAnsi="arial" w:cs="arial"/>
            <w:i/>
            <w:color w:val="0077CC"/>
            <w:sz w:val="20"/>
            <w:u w:val="single"/>
            <w:shd w:val="clear" w:color="auto" w:fill="FFFFFF"/>
            <w:lang w:val="en-US" w:eastAsia="en-US" w:bidi="ar-SA"/>
          </w:rPr>
          <w:t>[1990] F.C.J. No. 561</w:t>
        </w:r>
      </w:hyperlink>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90 D.T.C. 6427</w:t>
        </w:r>
      </w:hyperlink>
      <w:r>
        <w:rPr>
          <w:rFonts w:ascii="arial" w:eastAsia="arial" w:hAnsi="arial" w:cs="arial"/>
          <w:color w:val="000000"/>
          <w:sz w:val="20"/>
          <w:lang w:val="en-US" w:eastAsia="en-US" w:bidi="ar-SA"/>
        </w:rPr>
        <w:t xml:space="preserve"> (T.D.); aff'd (1991), </w:t>
      </w:r>
      <w:hyperlink r:id="rId503" w:history="1">
        <w:r>
          <w:rPr>
            <w:rFonts w:ascii="arial" w:eastAsia="arial" w:hAnsi="arial" w:cs="arial"/>
            <w:i/>
            <w:color w:val="0077CC"/>
            <w:sz w:val="20"/>
            <w:u w:val="single"/>
            <w:shd w:val="clear" w:color="auto" w:fill="FFFFFF"/>
            <w:lang w:val="en-US" w:eastAsia="en-US" w:bidi="ar-SA"/>
          </w:rPr>
          <w:t>[1991] F.C.J. No. 52</w:t>
        </w:r>
      </w:hyperlink>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91</w:t>
        </w:r>
      </w:hyperlink>
      <w:r>
        <w:rPr>
          <w:rFonts w:ascii="arial" w:eastAsia="arial" w:hAnsi="arial" w:cs="arial"/>
          <w:color w:val="000000"/>
          <w:sz w:val="20"/>
          <w:lang w:val="en-US" w:eastAsia="en-US" w:bidi="ar-SA"/>
        </w:rPr>
        <w:t xml:space="preserve"> D.T.C. 5101 (C.A.). In that case, the taxpayer had reported certain gains as capital gains. The Minister later disagreed, contending that the profit was on income account. As in </w:t>
      </w:r>
      <w:r>
        <w:rPr>
          <w:rFonts w:ascii="arial" w:eastAsia="arial" w:hAnsi="arial" w:cs="arial"/>
          <w:i/>
          <w:color w:val="000000"/>
          <w:sz w:val="20"/>
          <w:lang w:val="en-US" w:eastAsia="en-US" w:bidi="ar-SA"/>
        </w:rPr>
        <w:t>Ver</w:t>
      </w:r>
      <w:r>
        <w:rPr>
          <w:rFonts w:ascii="arial" w:eastAsia="arial" w:hAnsi="arial" w:cs="arial"/>
          <w:color w:val="000000"/>
          <w:sz w:val="20"/>
          <w:lang w:val="en-US" w:eastAsia="en-US" w:bidi="ar-SA"/>
        </w:rPr>
        <w:t>, the treatment of the gains was fully disclosed in the return. In the trial court, Addy J. found no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It is quite clear from the evidence that the failure to reassess in time was not due to any misrepresentation on the part of the plaintiff but simply to a total failure on the part of the defendant to consider the information which it had before 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This conclusion was upheld by the Federal Court of Appeal: para. 9. As I will discuss below, both courts also addressed the second aspect of the test in terms of whether the circumstances constituted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true dispute between the taxpayer and the CRA in both </w:t>
      </w:r>
      <w:r>
        <w:rPr>
          <w:rFonts w:ascii="arial" w:eastAsia="arial" w:hAnsi="arial" w:cs="arial"/>
          <w:i/>
          <w:color w:val="000000"/>
          <w:sz w:val="20"/>
          <w:lang w:val="en-US" w:eastAsia="en-US" w:bidi="ar-SA"/>
        </w:rPr>
        <w:t>Ver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Regina Shoppers Mall</w:t>
      </w:r>
      <w:r>
        <w:rPr>
          <w:rFonts w:ascii="arial" w:eastAsia="arial" w:hAnsi="arial" w:cs="arial"/>
          <w:color w:val="000000"/>
          <w:sz w:val="20"/>
          <w:lang w:val="en-US" w:eastAsia="en-US" w:bidi="ar-SA"/>
        </w:rPr>
        <w:t xml:space="preserve"> was, therefore, not what had been disclosed on the tax returns, but the characterization of the disclosed facts in terms of whether tax was payable. That characterization was a capital gain versus income issue (</w:t>
      </w:r>
      <w:r>
        <w:rPr>
          <w:rFonts w:ascii="arial" w:eastAsia="arial" w:hAnsi="arial" w:cs="arial"/>
          <w:i/>
          <w:color w:val="000000"/>
          <w:sz w:val="20"/>
          <w:lang w:val="en-US" w:eastAsia="en-US" w:bidi="ar-SA"/>
        </w:rPr>
        <w:t>Regina Shoppers Mall</w:t>
      </w:r>
      <w:r>
        <w:rPr>
          <w:rFonts w:ascii="arial" w:eastAsia="arial" w:hAnsi="arial" w:cs="arial"/>
          <w:color w:val="000000"/>
          <w:sz w:val="20"/>
          <w:lang w:val="en-US" w:eastAsia="en-US" w:bidi="ar-SA"/>
        </w:rPr>
        <w:t>), and the issue of the deductibility of certain expenses (</w:t>
      </w:r>
      <w:r>
        <w:rPr>
          <w:rFonts w:ascii="arial" w:eastAsia="arial" w:hAnsi="arial" w:cs="arial"/>
          <w:i/>
          <w:color w:val="000000"/>
          <w:sz w:val="20"/>
          <w:lang w:val="en-US" w:eastAsia="en-US" w:bidi="ar-SA"/>
        </w:rPr>
        <w:t>Ver</w:t>
      </w:r>
      <w:r>
        <w:rPr>
          <w:rFonts w:ascii="arial" w:eastAsia="arial" w:hAnsi="arial" w:cs="arial"/>
          <w:color w:val="000000"/>
          <w:sz w:val="20"/>
          <w:lang w:val="en-US" w:eastAsia="en-US" w:bidi="ar-SA"/>
        </w:rPr>
        <w:t xml:space="preserve">). As Bowman T.C.J. stated in </w:t>
      </w:r>
      <w:r>
        <w:rPr>
          <w:rFonts w:ascii="arial" w:eastAsia="arial" w:hAnsi="arial" w:cs="arial"/>
          <w:i/>
          <w:color w:val="000000"/>
          <w:sz w:val="20"/>
          <w:lang w:val="en-US" w:eastAsia="en-US" w:bidi="ar-SA"/>
        </w:rPr>
        <w:t>Ver</w:t>
      </w:r>
      <w:r>
        <w:rPr>
          <w:rFonts w:ascii="arial" w:eastAsia="arial" w:hAnsi="arial" w:cs="arial"/>
          <w:color w:val="000000"/>
          <w:sz w:val="20"/>
          <w:lang w:val="en-US" w:eastAsia="en-US" w:bidi="ar-SA"/>
        </w:rPr>
        <w:t xml:space="preserve">, these are "matters of judgment". In both cases, the </w:t>
      </w:r>
      <w:r>
        <w:rPr>
          <w:rFonts w:ascii="arial" w:eastAsia="arial" w:hAnsi="arial" w:cs="arial"/>
          <w:i/>
          <w:color w:val="000000"/>
          <w:sz w:val="20"/>
          <w:lang w:val="en-US" w:eastAsia="en-US" w:bidi="ar-SA"/>
        </w:rPr>
        <w:t>positions</w:t>
      </w:r>
      <w:r>
        <w:rPr>
          <w:rFonts w:ascii="arial" w:eastAsia="arial" w:hAnsi="arial" w:cs="arial"/>
          <w:color w:val="000000"/>
          <w:sz w:val="20"/>
          <w:lang w:val="en-US" w:eastAsia="en-US" w:bidi="ar-SA"/>
        </w:rPr>
        <w:t xml:space="preserve"> taken by the taxpayers had been fully disclosed to the CRA so as to allow the CRA to consider those positions in terms of any reassessment.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Consistent with the comments of Bowie J. in </w:t>
      </w:r>
      <w:r>
        <w:rPr>
          <w:rFonts w:ascii="arial" w:eastAsia="arial" w:hAnsi="arial" w:cs="arial"/>
          <w:i/>
          <w:color w:val="000000"/>
          <w:sz w:val="20"/>
          <w:lang w:val="en-US" w:eastAsia="en-US" w:bidi="ar-SA"/>
        </w:rPr>
        <w:t>College Park Motors</w:t>
      </w:r>
      <w:r>
        <w:rPr>
          <w:rFonts w:ascii="arial" w:eastAsia="arial" w:hAnsi="arial" w:cs="arial"/>
          <w:color w:val="000000"/>
          <w:sz w:val="20"/>
          <w:lang w:val="en-US" w:eastAsia="en-US" w:bidi="ar-SA"/>
        </w:rPr>
        <w:t xml:space="preserve"> at para. 13, in that event, the Minister had not been deprived of "the opportunity to assess correctly all of the appellant's liability under the Act in the first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test is such that a misrepresentation must be found before moving to a consideration as to whether that misrepresentation was made negligently. If no misrepresentation is found, then there is no need to continue to the second branch of the test and consider the matter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Even so, the case authorities demonstrate that, despite s. 152(4)(a)(i) having two distinct requirements in applying the provision, courts have tended to merge the considerations of neglect and carelessness in arriving at a conclusion under the first branch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An example can be found in </w:t>
      </w:r>
      <w:r>
        <w:rPr>
          <w:rFonts w:ascii="arial" w:eastAsia="arial" w:hAnsi="arial" w:cs="arial"/>
          <w:i/>
          <w:color w:val="000000"/>
          <w:sz w:val="20"/>
          <w:lang w:val="en-US" w:eastAsia="en-US" w:bidi="ar-SA"/>
        </w:rPr>
        <w:t>Angus v. The Queen</w:t>
      </w:r>
      <w:r>
        <w:rPr>
          <w:rFonts w:ascii="arial" w:eastAsia="arial" w:hAnsi="arial" w:cs="arial"/>
          <w:color w:val="000000"/>
          <w:sz w:val="20"/>
          <w:lang w:val="en-US" w:eastAsia="en-US" w:bidi="ar-SA"/>
        </w:rPr>
        <w:t xml:space="preserve"> (1996), </w:t>
      </w:r>
      <w:hyperlink r:id="rId504" w:history="1">
        <w:r>
          <w:rPr>
            <w:rFonts w:ascii="arial" w:eastAsia="arial" w:hAnsi="arial" w:cs="arial"/>
            <w:i/>
            <w:color w:val="0077CC"/>
            <w:sz w:val="20"/>
            <w:u w:val="single"/>
            <w:shd w:val="clear" w:color="auto" w:fill="FFFFFF"/>
            <w:lang w:val="en-US" w:eastAsia="en-US" w:bidi="ar-SA"/>
          </w:rPr>
          <w:t>[1996] T.C.J. No. 883</w:t>
        </w:r>
      </w:hyperlink>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96 D.T.C. 1824</w:t>
        </w:r>
      </w:hyperlink>
      <w:r>
        <w:rPr>
          <w:rFonts w:ascii="arial" w:eastAsia="arial" w:hAnsi="arial" w:cs="arial"/>
          <w:color w:val="000000"/>
          <w:sz w:val="20"/>
          <w:lang w:val="en-US" w:eastAsia="en-US" w:bidi="ar-SA"/>
        </w:rPr>
        <w:t xml:space="preserve"> (T.C.C.); aff'd </w:t>
      </w:r>
      <w:hyperlink r:id="rId506" w:history="1">
        <w:r>
          <w:rPr>
            <w:rFonts w:ascii="arial" w:eastAsia="arial" w:hAnsi="arial" w:cs="arial"/>
            <w:i/>
            <w:color w:val="0077CC"/>
            <w:sz w:val="20"/>
            <w:u w:val="single"/>
            <w:shd w:val="clear" w:color="auto" w:fill="FFFFFF"/>
            <w:lang w:val="en-US" w:eastAsia="en-US" w:bidi="ar-SA"/>
          </w:rPr>
          <w:t>(1999), 98 D.T.C. 6661</w:t>
        </w:r>
      </w:hyperlink>
      <w:r>
        <w:rPr>
          <w:rFonts w:ascii="arial" w:eastAsia="arial" w:hAnsi="arial" w:cs="arial"/>
          <w:color w:val="000000"/>
          <w:sz w:val="20"/>
          <w:lang w:val="en-US" w:eastAsia="en-US" w:bidi="ar-SA"/>
        </w:rPr>
        <w:t xml:space="preserve"> (C.A.). Similar to the issue in </w:t>
      </w:r>
      <w:r>
        <w:rPr>
          <w:rFonts w:ascii="arial" w:eastAsia="arial" w:hAnsi="arial" w:cs="arial"/>
          <w:i/>
          <w:color w:val="000000"/>
          <w:sz w:val="20"/>
          <w:lang w:val="en-US" w:eastAsia="en-US" w:bidi="ar-SA"/>
        </w:rPr>
        <w:t>Regina Shoppers Mall</w:t>
      </w:r>
      <w:r>
        <w:rPr>
          <w:rFonts w:ascii="arial" w:eastAsia="arial" w:hAnsi="arial" w:cs="arial"/>
          <w:color w:val="000000"/>
          <w:sz w:val="20"/>
          <w:lang w:val="en-US" w:eastAsia="en-US" w:bidi="ar-SA"/>
        </w:rPr>
        <w:t>, the taxpayer was assessed beyond the statute-barred date, and a penalty was imposed on the basis that the taxpayer improperly reported gains from the sale of shares on capital rather than income account and used the wrong adjusted cost base. The trial judge found that the representation of the adjusted cost base of shares was a misrepresentation that was attributable to neglect, carelessness or willful default and, therefore, the reassessment was not statute-barred: para. 30. On the characterization of the capital gain, the trial judge held that it was not a false statement, but was "no doubt a misrepresentation":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On appeal in </w:t>
      </w:r>
      <w:r>
        <w:rPr>
          <w:rFonts w:ascii="arial" w:eastAsia="arial" w:hAnsi="arial" w:cs="arial"/>
          <w:i/>
          <w:color w:val="000000"/>
          <w:sz w:val="20"/>
          <w:lang w:val="en-US" w:eastAsia="en-US" w:bidi="ar-SA"/>
        </w:rPr>
        <w:t>Angus</w:t>
      </w:r>
      <w:r>
        <w:rPr>
          <w:rFonts w:ascii="arial" w:eastAsia="arial" w:hAnsi="arial" w:cs="arial"/>
          <w:color w:val="000000"/>
          <w:sz w:val="20"/>
          <w:lang w:val="en-US" w:eastAsia="en-US" w:bidi="ar-SA"/>
        </w:rPr>
        <w:t>, the court emphasized that the taxpayer had not acted as a wise and prudent person (part of the second branch of the test, as I will discuss below), particularly because the taxpayer had deliberately failed to disclose material facts relating to the shares to his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Wesbild relies on the following further authorities in support of its contention that a misrepresentation is limited to a misrepresentation of fact, as opposed to one of law or mixed law and fact, and that where a taxpayer has come to a reasonable, albeit incorrect, position, it may not be challenged under s. 152(4)(a)(i).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Petric v. R.</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2006 TCC 306</w:t>
        </w:r>
      </w:hyperlink>
      <w:r>
        <w:rPr>
          <w:rFonts w:ascii="arial" w:eastAsia="arial" w:hAnsi="arial" w:cs="arial"/>
          <w:color w:val="000000"/>
          <w:sz w:val="20"/>
          <w:lang w:val="en-US" w:eastAsia="en-US" w:bidi="ar-SA"/>
        </w:rPr>
        <w:t xml:space="preserve">, the reassessment arose because the CRA alleged that the taxpayer had misrepresented the fair-market value of certain lands that had been transferred from a corporation to its sole shareholder, Mr. Petric. This value had been used in calculating the gain on the transfer. The issue arose from differing opinions and appraisals of the lands. The court likened the issue as one of interpretation, similar to what was before the court in </w:t>
      </w:r>
      <w:r>
        <w:rPr>
          <w:rFonts w:ascii="arial" w:eastAsia="arial" w:hAnsi="arial" w:cs="arial"/>
          <w:i/>
          <w:color w:val="000000"/>
          <w:sz w:val="20"/>
          <w:lang w:val="en-US" w:eastAsia="en-US" w:bidi="ar-SA"/>
        </w:rPr>
        <w:t>Regina Shoppers Mall</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To the extent that we can reconcile the above decisions, it is my view that the present case resembles the situation in </w:t>
      </w:r>
      <w:r>
        <w:rPr>
          <w:rFonts w:ascii="arial" w:eastAsia="arial" w:hAnsi="arial" w:cs="arial"/>
          <w:i/>
          <w:color w:val="000000"/>
          <w:sz w:val="20"/>
          <w:lang w:val="en-US" w:eastAsia="en-US" w:bidi="ar-SA"/>
        </w:rPr>
        <w:t>Regina Shoppers Mall Ltd.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1056 Enterprises Ltd</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[1989] F.C.J. No. 421</w:t>
        </w:r>
      </w:hyperlink>
      <w:r>
        <w:rPr>
          <w:rFonts w:ascii="arial" w:eastAsia="arial" w:hAnsi="arial" w:cs="arial"/>
          <w:color w:val="000000"/>
          <w:sz w:val="20"/>
          <w:lang w:val="en-US" w:eastAsia="en-US" w:bidi="ar-SA"/>
        </w:rPr>
        <w:t xml:space="preserve">. more than that in </w:t>
      </w:r>
      <w:r>
        <w:rPr>
          <w:rFonts w:ascii="arial" w:eastAsia="arial" w:hAnsi="arial" w:cs="arial"/>
          <w:i/>
          <w:color w:val="000000"/>
          <w:sz w:val="20"/>
          <w:lang w:val="en-US" w:eastAsia="en-US" w:bidi="ar-SA"/>
        </w:rPr>
        <w:t>Nesbitt</w:t>
      </w:r>
      <w:r>
        <w:rPr>
          <w:rFonts w:ascii="arial" w:eastAsia="arial" w:hAnsi="arial" w:cs="arial"/>
          <w:color w:val="000000"/>
          <w:sz w:val="20"/>
          <w:lang w:val="en-US" w:eastAsia="en-US" w:bidi="ar-SA"/>
        </w:rPr>
        <w:t>. The matter of fair market value is a controversial issue, to be settled on the basis of the interpretation of the facts in evidence, as is the question of whether proceeds of disposition should be characterized as income or as a capital gain (</w:t>
      </w:r>
      <w:r>
        <w:rPr>
          <w:rFonts w:ascii="arial" w:eastAsia="arial" w:hAnsi="arial" w:cs="arial"/>
          <w:i/>
          <w:color w:val="000000"/>
          <w:sz w:val="20"/>
          <w:lang w:val="en-US" w:eastAsia="en-US" w:bidi="ar-SA"/>
        </w:rPr>
        <w:t>Regina Shoppers Mall Ltd.</w:t>
      </w:r>
      <w:r>
        <w:rPr>
          <w:rFonts w:ascii="arial" w:eastAsia="arial" w:hAnsi="arial" w:cs="arial"/>
          <w:color w:val="000000"/>
          <w:sz w:val="20"/>
          <w:lang w:val="en-US" w:eastAsia="en-US" w:bidi="ar-SA"/>
        </w:rPr>
        <w:t>) or of whether corporations are associated (</w:t>
      </w:r>
      <w:r>
        <w:rPr>
          <w:rFonts w:ascii="arial" w:eastAsia="arial" w:hAnsi="arial" w:cs="arial"/>
          <w:i/>
          <w:color w:val="000000"/>
          <w:sz w:val="20"/>
          <w:lang w:val="en-US" w:eastAsia="en-US" w:bidi="ar-SA"/>
        </w:rPr>
        <w:t>1056 Enterprises Ltd.</w:t>
      </w:r>
      <w:r>
        <w:rPr>
          <w:rFonts w:ascii="arial" w:eastAsia="arial" w:hAnsi="arial" w:cs="arial"/>
          <w:color w:val="000000"/>
          <w:sz w:val="20"/>
          <w:lang w:val="en-US" w:eastAsia="en-US" w:bidi="ar-SA"/>
        </w:rPr>
        <w:t xml:space="preserve">). The mathematical error in </w:t>
      </w:r>
      <w:r>
        <w:rPr>
          <w:rFonts w:ascii="arial" w:eastAsia="arial" w:hAnsi="arial" w:cs="arial"/>
          <w:i/>
          <w:color w:val="000000"/>
          <w:sz w:val="20"/>
          <w:lang w:val="en-US" w:eastAsia="en-US" w:bidi="ar-SA"/>
        </w:rPr>
        <w:t>Nesbitt</w:t>
      </w:r>
      <w:r>
        <w:rPr>
          <w:rFonts w:ascii="arial" w:eastAsia="arial" w:hAnsi="arial" w:cs="arial"/>
          <w:color w:val="000000"/>
          <w:sz w:val="20"/>
          <w:lang w:val="en-US" w:eastAsia="en-US" w:bidi="ar-SA"/>
        </w:rPr>
        <w:t>, by contrast, is a clear-cut issue, which even the taxpayer in that case conceded to be non-controversial.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Petric,</w:t>
      </w:r>
      <w:r>
        <w:rPr>
          <w:rFonts w:ascii="arial" w:eastAsia="arial" w:hAnsi="arial" w:cs="arial"/>
          <w:color w:val="000000"/>
          <w:sz w:val="20"/>
          <w:lang w:val="en-US" w:eastAsia="en-US" w:bidi="ar-SA"/>
        </w:rPr>
        <w:t xml:space="preserve"> therefore, found that the taxpayers' "reasonable" position in relying on its own appraisal did not result in any misrepresentation that would allow the Minister to reassess beyond the limitation period: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Although fair market value is ultimately a question of fact to be resolved by the trier of fact, it is mostly a question of opinion answered by analysing different methodological approaches. Certainly the Minister is entitled to disagree with a taxpayer's view of fair market value and can reassess, within the limitation period, on the basis of his own evaluation. However, </w:t>
      </w:r>
      <w:r>
        <w:rPr>
          <w:rFonts w:ascii="arial" w:eastAsia="arial" w:hAnsi="arial" w:cs="arial"/>
          <w:color w:val="000000"/>
          <w:sz w:val="20"/>
          <w:u w:val="single"/>
          <w:lang w:val="en-US" w:eastAsia="en-US" w:bidi="ar-SA"/>
        </w:rPr>
        <w:t>where the issue is whether the Minister should be allowed the benefit of an exception to the application of the limitation period, it must be shown that the taxpayer made a misrepresentation in filing his or its tax return. In the case at bar, I am of the view that unless it can be said that the appellants' view of fair market value was so unreasonable that it could not have been honestly held, there was no real misstatement</w:t>
      </w:r>
      <w:r>
        <w:rPr>
          <w:rFonts w:ascii="arial" w:eastAsia="arial" w:hAnsi="arial" w:cs="arial"/>
          <w:color w:val="000000"/>
          <w:sz w:val="20"/>
          <w:lang w:val="en-US" w:eastAsia="en-US" w:bidi="ar-SA"/>
        </w:rPr>
        <w:t>. I do not find that the appellants' view of the fair market value as at July 25, 1996, was unreasonable. Although I am not sure I agree with the appellants' analysis of the fair market value of the property at that date..., I can certainly see that they believed bona fide that that agreement, being conditional on future events, did not affect the value of the property at the time of disposition. There is definitely an argument to be made along those lines in the context of the civil law.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reasonableness of the taxpayer's position was also sufficient to vacate a late reassessment in </w:t>
      </w:r>
      <w:r>
        <w:rPr>
          <w:rFonts w:ascii="arial" w:eastAsia="arial" w:hAnsi="arial" w:cs="arial"/>
          <w:i/>
          <w:color w:val="000000"/>
          <w:sz w:val="20"/>
          <w:lang w:val="en-US" w:eastAsia="en-US" w:bidi="ar-SA"/>
        </w:rPr>
        <w:t>Savard v. R.</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2008 TCC 62</w:t>
        </w:r>
      </w:hyperlink>
      <w:r>
        <w:rPr>
          <w:rFonts w:ascii="arial" w:eastAsia="arial" w:hAnsi="arial" w:cs="arial"/>
          <w:color w:val="000000"/>
          <w:sz w:val="20"/>
          <w:lang w:val="en-US" w:eastAsia="en-US" w:bidi="ar-SA"/>
        </w:rPr>
        <w:t>, where the taxation of employment benefits was involved. At paragraph 77, Tardif J. found that the issue was not "crystal clear". Further,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Does a person have to include, when he or she fills out a tax return, everything that might be income, based not on his or her own analysis but on speculation as to what the Agency might want to attribute to him or her? I do not believe so. In this case, there was enough information to justify the interpretation adopted by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above line of authorities, including </w:t>
      </w:r>
      <w:r>
        <w:rPr>
          <w:rFonts w:ascii="arial" w:eastAsia="arial" w:hAnsi="arial" w:cs="arial"/>
          <w:i/>
          <w:color w:val="000000"/>
          <w:sz w:val="20"/>
          <w:lang w:val="en-US" w:eastAsia="en-US" w:bidi="ar-SA"/>
        </w:rPr>
        <w:t>Regina Shoppers Mall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Savard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Petric</w:t>
      </w:r>
      <w:r>
        <w:rPr>
          <w:rFonts w:ascii="arial" w:eastAsia="arial" w:hAnsi="arial" w:cs="arial"/>
          <w:color w:val="000000"/>
          <w:sz w:val="20"/>
          <w:lang w:val="en-US" w:eastAsia="en-US" w:bidi="ar-SA"/>
        </w:rPr>
        <w:t xml:space="preserve">, were considered by the court in </w:t>
      </w:r>
      <w:r>
        <w:rPr>
          <w:rFonts w:ascii="arial" w:eastAsia="arial" w:hAnsi="arial" w:cs="arial"/>
          <w:i/>
          <w:color w:val="000000"/>
          <w:sz w:val="20"/>
          <w:lang w:val="en-US" w:eastAsia="en-US" w:bidi="ar-SA"/>
        </w:rPr>
        <w:t>Cameron v. R.</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2011 TCC 107</w:t>
        </w:r>
      </w:hyperlink>
      <w:r>
        <w:rPr>
          <w:rFonts w:ascii="arial" w:eastAsia="arial" w:hAnsi="arial" w:cs="arial"/>
          <w:color w:val="000000"/>
          <w:sz w:val="20"/>
          <w:lang w:val="en-US" w:eastAsia="en-US" w:bidi="ar-SA"/>
        </w:rPr>
        <w:t>. There, the dispute arose between the CRA and the taxpayer as to whether a sale of a residence was a capital gain or a gain in the nature of trade. Hogan J. agreed with the taxpayer that the interpretation of the circumstances fell within a "grey zone" in tax law and no misrepresentation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 Even if the circumstances that led to the sale could be interpreted as supporting the respondent's position, the real question is whether subparagraph 152(4) (a)(i) applies to a taxation year that is otherwise time-barred when the facts considered incorrect are presented because the taxpayer interpreted the circumstances to favour the non-taxation theory since they fall in the grey zone of tax law. It would appear that the case law allows us to answer this question in the negative when the taxpayer's position is not unreasonable.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In light of the above-noted decisions, it appears that adopting a thoughtfully considered position that contradicts the Minister's position does not in itself mean the taxpayer made a misrepresentation that would allow the Minister to assess outside the normal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Cameron</w:t>
      </w:r>
      <w:r>
        <w:rPr>
          <w:rFonts w:ascii="arial" w:eastAsia="arial" w:hAnsi="arial" w:cs="arial"/>
          <w:color w:val="000000"/>
          <w:sz w:val="20"/>
          <w:lang w:val="en-US" w:eastAsia="en-US" w:bidi="ar-SA"/>
        </w:rPr>
        <w:t xml:space="preserve"> also relied on </w:t>
      </w:r>
      <w:r>
        <w:rPr>
          <w:rFonts w:ascii="arial" w:eastAsia="arial" w:hAnsi="arial" w:cs="arial"/>
          <w:i/>
          <w:color w:val="000000"/>
          <w:sz w:val="20"/>
          <w:lang w:val="en-US" w:eastAsia="en-US" w:bidi="ar-SA"/>
        </w:rPr>
        <w:t>Chaumont v. R.</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2009 TCC 493</w:t>
        </w:r>
      </w:hyperlink>
      <w:r>
        <w:rPr>
          <w:rFonts w:ascii="arial" w:eastAsia="arial" w:hAnsi="arial" w:cs="arial"/>
          <w:color w:val="000000"/>
          <w:sz w:val="20"/>
          <w:lang w:val="en-US" w:eastAsia="en-US" w:bidi="ar-SA"/>
        </w:rPr>
        <w:t xml:space="preserve">, where a difference of interpretation also arose. The court in </w:t>
      </w:r>
      <w:r>
        <w:rPr>
          <w:rFonts w:ascii="arial" w:eastAsia="arial" w:hAnsi="arial" w:cs="arial"/>
          <w:i/>
          <w:color w:val="000000"/>
          <w:sz w:val="20"/>
          <w:lang w:val="en-US" w:eastAsia="en-US" w:bidi="ar-SA"/>
        </w:rPr>
        <w:t>Chaumont</w:t>
      </w:r>
      <w:r>
        <w:rPr>
          <w:rFonts w:ascii="arial" w:eastAsia="arial" w:hAnsi="arial" w:cs="arial"/>
          <w:color w:val="000000"/>
          <w:sz w:val="20"/>
          <w:lang w:val="en-US" w:eastAsia="en-US" w:bidi="ar-SA"/>
        </w:rPr>
        <w:t xml:space="preserve"> upheld the position of the taxpayer even after finding that his submissions were "unusual and even surprising". Rather, the position taken was neither "far-fetched nor unreasonable" such that there was no willful default or mistake within the meaning of s. 152(4)(a)(i):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contrast, Hogan J. in </w:t>
      </w:r>
      <w:r>
        <w:rPr>
          <w:rFonts w:ascii="arial" w:eastAsia="arial" w:hAnsi="arial" w:cs="arial"/>
          <w:i/>
          <w:color w:val="000000"/>
          <w:sz w:val="20"/>
          <w:lang w:val="en-US" w:eastAsia="en-US" w:bidi="ar-SA"/>
        </w:rPr>
        <w:t>Gestion Fortier Inc. v. R.</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2013 TCC 337</w:t>
        </w:r>
      </w:hyperlink>
      <w:r>
        <w:rPr>
          <w:rFonts w:ascii="arial" w:eastAsia="arial" w:hAnsi="arial" w:cs="arial"/>
          <w:color w:val="000000"/>
          <w:sz w:val="20"/>
          <w:lang w:val="en-US" w:eastAsia="en-US" w:bidi="ar-SA"/>
        </w:rPr>
        <w:t xml:space="preserve">, found no "grey area". There the taxpayer had claimed input tax credits relating to a motor home where it was clear that the motor home had been purchased for personal and not commercial purposes. As such, the late reassessment resulted in a misrepresentation that was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paras. 17-18.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CRA argues, I think correctly, that the cases relied on by Wesbild, including </w:t>
      </w:r>
      <w:r>
        <w:rPr>
          <w:rFonts w:ascii="arial" w:eastAsia="arial" w:hAnsi="arial" w:cs="arial"/>
          <w:i/>
          <w:color w:val="000000"/>
          <w:sz w:val="20"/>
          <w:lang w:val="en-US" w:eastAsia="en-US" w:bidi="ar-SA"/>
        </w:rPr>
        <w:t>Cameron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Petric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Ver</w:t>
      </w:r>
      <w:r>
        <w:rPr>
          <w:rFonts w:ascii="arial" w:eastAsia="arial" w:hAnsi="arial" w:cs="arial"/>
          <w:color w:val="000000"/>
          <w:sz w:val="20"/>
          <w:lang w:val="en-US" w:eastAsia="en-US" w:bidi="ar-SA"/>
        </w:rPr>
        <w:t xml:space="preserve">, do not support the contention that a misrepresentation must relate to a statement of fact. Rather, the courts have considered whether the filing </w:t>
      </w:r>
      <w:r>
        <w:rPr>
          <w:rFonts w:ascii="arial" w:eastAsia="arial" w:hAnsi="arial" w:cs="arial"/>
          <w:i/>
          <w:color w:val="000000"/>
          <w:sz w:val="20"/>
          <w:lang w:val="en-US" w:eastAsia="en-US" w:bidi="ar-SA"/>
        </w:rPr>
        <w:t>position</w:t>
      </w:r>
      <w:r>
        <w:rPr>
          <w:rFonts w:ascii="arial" w:eastAsia="arial" w:hAnsi="arial" w:cs="arial"/>
          <w:color w:val="000000"/>
          <w:sz w:val="20"/>
          <w:lang w:val="en-US" w:eastAsia="en-US" w:bidi="ar-SA"/>
        </w:rPr>
        <w:t xml:space="preserve"> taken (a conclusion of law or mixed fact and law) is reasonable and, hence, not a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the authors of the Article point out at p. 490, there are two potential routes to the same outcome in vacating a late reassessment, depending on whether the court's conclusion is based on the first or second branch of the test under s. 152(4)(a)(i). I can do no better than the authors of the Article in describing the differing approaches: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courts in some instances conclude that an honestly held and reasonable filing position is not a misrepresentation at all, and in other instances resolve the issue on the basis that the filing position is not a misrepresentation attributable to neglect, carelessness, or wilful default, the outcome remains the same: where the taxpayer has filed on a basis that is both bona fide and reasonable, subparagraph 152(4)(a)(i)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Turning to the first branch of s. 152(4)(a)(i), what then does the court consider in deciding the issue of reasonableness? More to the point, in addressing the first branch of the test, is the court required to consider the actions of the taxpayer in detail, and also conclude that there was no neglect or carelessness, or is an analysis of the filing position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Cameron</w:t>
      </w:r>
      <w:r>
        <w:rPr>
          <w:rFonts w:ascii="arial" w:eastAsia="arial" w:hAnsi="arial" w:cs="arial"/>
          <w:color w:val="000000"/>
          <w:sz w:val="20"/>
          <w:lang w:val="en-US" w:eastAsia="en-US" w:bidi="ar-SA"/>
        </w:rPr>
        <w:t>, Hogan J. found that the taxpayer had adopted a "thoughtfully considered position" in light of the taxation provisions and case law interpreting those provisions. The court did not require the taxpayer to have acted beyond his own assessment of the issue leading to the filing position. The court did not address the issue within the context of the second element of "neglect" or "carelessness" under s. 152(4)(a)(i).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Likewise, in </w:t>
      </w:r>
      <w:r>
        <w:rPr>
          <w:rFonts w:ascii="arial" w:eastAsia="arial" w:hAnsi="arial" w:cs="arial"/>
          <w:i/>
          <w:color w:val="000000"/>
          <w:sz w:val="20"/>
          <w:lang w:val="en-US" w:eastAsia="en-US" w:bidi="ar-SA"/>
        </w:rPr>
        <w:t>Petric</w:t>
      </w:r>
      <w:r>
        <w:rPr>
          <w:rFonts w:ascii="arial" w:eastAsia="arial" w:hAnsi="arial" w:cs="arial"/>
          <w:color w:val="000000"/>
          <w:sz w:val="20"/>
          <w:lang w:val="en-US" w:eastAsia="en-US" w:bidi="ar-SA"/>
        </w:rPr>
        <w:t>, where the issue concerned the fair-market value of a property, the court's finding that the taxpayer's position was not unreasonable was not discussed specifically in the context of the second aspect of the test. Rather, the focus was on the taxpayer's reliance of its own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matter was discussed more directly in </w:t>
      </w:r>
      <w:r>
        <w:rPr>
          <w:rFonts w:ascii="arial" w:eastAsia="arial" w:hAnsi="arial" w:cs="arial"/>
          <w:i/>
          <w:color w:val="000000"/>
          <w:sz w:val="20"/>
          <w:lang w:val="en-US" w:eastAsia="en-US" w:bidi="ar-SA"/>
        </w:rPr>
        <w:t>Ver</w:t>
      </w:r>
      <w:r>
        <w:rPr>
          <w:rFonts w:ascii="arial" w:eastAsia="arial" w:hAnsi="arial" w:cs="arial"/>
          <w:color w:val="000000"/>
          <w:sz w:val="20"/>
          <w:lang w:val="en-US" w:eastAsia="en-US" w:bidi="ar-SA"/>
        </w:rPr>
        <w:t>, where the court made distinct findings that, firstly, there was no misrepresentation and, in any event, the second branch of the test was not met in terms of establishing neglect or carelessness. The taxpayers had reasonably relied on a professional to prepare their tax returns, and it was not established that either the taxpayers or the professional acted carelessly or neglectfully.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Contrary to the CRA's argument, the court in </w:t>
      </w:r>
      <w:r>
        <w:rPr>
          <w:rFonts w:ascii="arial" w:eastAsia="arial" w:hAnsi="arial" w:cs="arial"/>
          <w:i/>
          <w:color w:val="000000"/>
          <w:sz w:val="20"/>
          <w:lang w:val="en-US" w:eastAsia="en-US" w:bidi="ar-SA"/>
        </w:rPr>
        <w:t>Ver</w:t>
      </w:r>
      <w:r>
        <w:rPr>
          <w:rFonts w:ascii="arial" w:eastAsia="arial" w:hAnsi="arial" w:cs="arial"/>
          <w:color w:val="000000"/>
          <w:sz w:val="20"/>
          <w:lang w:val="en-US" w:eastAsia="en-US" w:bidi="ar-SA"/>
        </w:rPr>
        <w:t xml:space="preserve"> found that the "matters of judgment", which were disclosed to the CRA through the filing of the tax returns, were, in themselves, sufficient to support that no misrepresentation had occurred. In other words, the position was found to be "reasonable", as the courts in </w:t>
      </w:r>
      <w:r>
        <w:rPr>
          <w:rFonts w:ascii="arial" w:eastAsia="arial" w:hAnsi="arial" w:cs="arial"/>
          <w:i/>
          <w:color w:val="000000"/>
          <w:sz w:val="20"/>
          <w:lang w:val="en-US" w:eastAsia="en-US" w:bidi="ar-SA"/>
        </w:rPr>
        <w:t>Petric</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Cameron</w:t>
      </w:r>
      <w:r>
        <w:rPr>
          <w:rFonts w:ascii="arial" w:eastAsia="arial" w:hAnsi="arial" w:cs="arial"/>
          <w:color w:val="000000"/>
          <w:sz w:val="20"/>
          <w:lang w:val="en-US" w:eastAsia="en-US" w:bidi="ar-SA"/>
        </w:rPr>
        <w:t xml:space="preserve"> would later describe the requirement, even before any consideration of neglect or carelessness.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requirement that the taxpayer's filing position be "reasonable" is also in keeping with the application of s. 152(4)(a)(i) in that it does not require a determination that the taxpayer's position is correct: </w:t>
      </w:r>
      <w:r>
        <w:rPr>
          <w:rFonts w:ascii="arial" w:eastAsia="arial" w:hAnsi="arial" w:cs="arial"/>
          <w:i/>
          <w:color w:val="000000"/>
          <w:sz w:val="20"/>
          <w:lang w:val="en-US" w:eastAsia="en-US" w:bidi="ar-SA"/>
        </w:rPr>
        <w:t>Ver</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Chaumont</w:t>
      </w:r>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Cameron</w:t>
      </w:r>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Petric</w:t>
      </w:r>
      <w:r>
        <w:rPr>
          <w:rFonts w:ascii="arial" w:eastAsia="arial" w:hAnsi="arial" w:cs="arial"/>
          <w:color w:val="000000"/>
          <w:sz w:val="20"/>
          <w:lang w:val="en-US" w:eastAsia="en-US" w:bidi="ar-SA"/>
        </w:rPr>
        <w:t xml:space="preserve"> at para. 40. In other words, the taxpayer is not required to prove that its position was correct and, indeed, the position may be incorrect in the eyes of the CRA or even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conclude from the foregoing authorities:</w:t>
      </w:r>
      <w:r>
        <w:rPr>
          <w:rFonts w:ascii="arial" w:eastAsia="arial" w:hAnsi="arial" w:cs="arial"/>
          <w:sz w:val="20"/>
          <w:lang w:val="en-US" w:eastAsia="en-US" w:bidi="ar-SA"/>
        </w:rPr>
        <w:cr/>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statement of fact on a tax return can be a misrepresentation;</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statement of a filing position that, even if that position may be incorrect, involves a determination of law or mixed fact and law will not be a misrepresentation if that filing position is reasonable;</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requirement that the filing position is reasonable will involve a consideration of the legal/ factual issues and the actions of the taxpayer, including obtaining any professional advice, in the consideration of those issues;</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fairness objective of the legislation is achieved if that reasonable filing position is evident from the tax return so that the Minister may consider that position. In turn, the objectives of certainty and finality compel the Minister to consider that filing position within the normal reassessment period;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difference of opinion between the CRA and the taxpayer is not sufficient to amount to a misrepresentation. Accordingly, if the Minister has a differing opinion on matters of legal interpretation or the legal characterization of the facts, it is obliged to reassess the tax return within the normal reassessment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turn now to the 2002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2002 Return indicates that Wesbild's head office and mailing address is in New York City, New York State. Wesbild is stated to be a resident of Canada. As I have stated earlier in these reasons, where the return indicates "Add provincial and territorial tax", and there is a reference on line 750 to "Provincial or territorial jurisdiction", the 2002 Return was filled in to indicate "OC", as meaning "Outside Canada". The 2002 Return clearly indicates "0" as to "Net Provincial and territorial tax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would add, at this point, that the inquiry to be answered on line 750 of the 2002 Return regarding "Provincial or territorial jurisdiction" is not a direct question as to whether a corporation has a "permanent establishment" in British Columbia. The evidence of James Thatcher, the CRA employee who was the auditor and the person responsible for the reassessment of Wesbild, indicates that this is to refer to the province or territory where the person earned income, and that it is only "usually" where the corporation has its permanent establishment. This understanding of the meaning of the tax return at line 750 is embodied in the T2 Corporation Income Tax Guide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Even in the face of Mr. Thatcher's evidence, the CRA argued that Mr. Zien's refusal to acknowledge that the answer in line 750 would also relate to the issue of "permanent establishment" was an indication that Mr. Zien was not credible. This is inexplicable and I would reject the inference that CRA raises.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am satisfied that the 2002 Return does not contain any misrepresentation of fact. I do not understand the CRA to argue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Rather, the crux of the disagreement that arises is, as I have already stated, whether Wesbild had a "business" or "permanent establishment"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Although not before me on this summary-trial application, both the CRA and Wesbild made substantial submissions on whether Wesbild did have a "business" and/or "permanent establishment" in British Columbia in its 2002 taxation year. That issue may need to be addressed at any trial but, in the meantime, the "reasonableness" of Wesbild's position on that issue is a relevant consideration on the applicability of s. 152(4)(a)(i).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As argued by Wesbild, there are considerable case authorities that discuss whether a corporation has a "business" and, therefore, business income. This is often a critical issue since income from other sources, such as property and capital gains, are treated differently in the taxation statutes. The leading authority appears to be </w:t>
      </w:r>
      <w:r>
        <w:rPr>
          <w:rFonts w:ascii="arial" w:eastAsia="arial" w:hAnsi="arial" w:cs="arial"/>
          <w:i/>
          <w:color w:val="000000"/>
          <w:sz w:val="20"/>
          <w:lang w:val="en-US" w:eastAsia="en-US" w:bidi="ar-SA"/>
        </w:rPr>
        <w:t>Marconi</w:t>
      </w:r>
      <w:r>
        <w:rPr>
          <w:rFonts w:ascii="arial" w:eastAsia="arial" w:hAnsi="arial" w:cs="arial"/>
          <w:color w:val="000000"/>
          <w:sz w:val="20"/>
          <w:lang w:val="en-US" w:eastAsia="en-US" w:bidi="ar-SA"/>
        </w:rPr>
        <w:t>, which is recognized as applying a "level of activity"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Indeed, a document relating to Wesbild's 2002 Return, produced by the CRA in July 2011, reviewed the </w:t>
      </w:r>
      <w:r>
        <w:rPr>
          <w:rFonts w:ascii="arial" w:eastAsia="arial" w:hAnsi="arial" w:cs="arial"/>
          <w:i/>
          <w:color w:val="000000"/>
          <w:sz w:val="20"/>
          <w:lang w:val="en-US" w:eastAsia="en-US" w:bidi="ar-SA"/>
        </w:rPr>
        <w:t>Marconi</w:t>
      </w:r>
      <w:r>
        <w:rPr>
          <w:rFonts w:ascii="arial" w:eastAsia="arial" w:hAnsi="arial" w:cs="arial"/>
          <w:color w:val="000000"/>
          <w:sz w:val="20"/>
          <w:lang w:val="en-US" w:eastAsia="en-US" w:bidi="ar-SA"/>
        </w:rPr>
        <w:t xml:space="preserve"> test and the author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we were to use the criteria described in the Marconi Case to apply to the Inwest transactions, the income earned would not be considered business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CRA's position, however, is that the </w:t>
      </w:r>
      <w:r>
        <w:rPr>
          <w:rFonts w:ascii="arial" w:eastAsia="arial" w:hAnsi="arial" w:cs="arial"/>
          <w:i/>
          <w:color w:val="000000"/>
          <w:sz w:val="20"/>
          <w:lang w:val="en-US" w:eastAsia="en-US" w:bidi="ar-SA"/>
        </w:rPr>
        <w:t>Marconi</w:t>
      </w:r>
      <w:r>
        <w:rPr>
          <w:rFonts w:ascii="arial" w:eastAsia="arial" w:hAnsi="arial" w:cs="arial"/>
          <w:color w:val="000000"/>
          <w:sz w:val="20"/>
          <w:lang w:val="en-US" w:eastAsia="en-US" w:bidi="ar-SA"/>
        </w:rPr>
        <w:t xml:space="preserve"> test is irrelevant. Its position is summarized in "Appendix A" of its written argument:</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meaning to be given to the term "business" as used in the definition of "permanent establishment" in subsection 400(2) of the Regulations and in particular as used in the term "fixed place of business" and "the principal place in which the corporation's business is conducted" is such that, for its 2002 taxation year, Wesbild did have both a "fixed place of business" and a "principal place in which the corporation's business is conducted".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 states that "business" as used in section 400(2) of the Regulations has the same meaning as in sections 3 and 9 in Part I of the Federal Act; that is, that a corporation must generate income from a business, as distinct from earning income from property or realizing capital gains, in order to be considered to be conducting or having a place of "business". As a result, the appellant says that cases such as </w:t>
      </w:r>
      <w:r>
        <w:rPr>
          <w:rFonts w:ascii="arial" w:eastAsia="arial" w:hAnsi="arial" w:cs="arial"/>
          <w:i/>
          <w:color w:val="000000"/>
          <w:sz w:val="20"/>
          <w:lang w:val="en-US" w:eastAsia="en-US" w:bidi="ar-SA"/>
        </w:rPr>
        <w:t>Canadian Marconi Co. v. 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Inter-Leasing v. Ontario</w:t>
      </w:r>
      <w:r>
        <w:rPr>
          <w:rFonts w:ascii="arial" w:eastAsia="arial" w:hAnsi="arial" w:cs="arial"/>
          <w:color w:val="000000"/>
          <w:sz w:val="20"/>
          <w:lang w:val="en-US" w:eastAsia="en-US" w:bidi="ar-SA"/>
        </w:rPr>
        <w:t xml:space="preserve"> are applicable in determining whether Wesbild has a PE. The corollary to the appellant's argument is that only companies that have a source of income from a business will have a PE under subsection 400(2) of the Regulations and thus, only such companies will be subject to provincial tax by any of the agreeing provinces.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support for such propositions. The applicable principles of statutory interpretation lead to the conclusion that the meaning to be given to the term "business" as used in the definition of "permanent establishment" in subsection 400(2) of the Regulations and in particular as used in the term "fixed place of business" and "the principal place in which the corporation's business is conducted" is very broad and wide enough to capture corporations that generate income from sources that include income from a business, property or capital gains. In other words, subsection 400(2) does not impose a "source" of income test, limiting its application only to corporations that have a source of income from a business.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discussed further below, the BC Act, Federal Act and Regulations, the jurisprudence and learned authors all support that "business" as used in section 400(2) of the Regulations is to be given a different meaning than its use in certain sections found in Part I of the Federal Act, such as sections 3 and 9, and that it does not require that a corporation generate income from a business in order to have a PE in a province.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Moreover, </w:t>
      </w:r>
      <w:r>
        <w:rPr>
          <w:rFonts w:ascii="arial" w:eastAsia="arial" w:hAnsi="arial" w:cs="arial"/>
          <w:i/>
          <w:color w:val="000000"/>
          <w:sz w:val="20"/>
          <w:lang w:val="en-US" w:eastAsia="en-US" w:bidi="ar-SA"/>
        </w:rPr>
        <w:t>Canadian Marconi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Inter-Leasing</w:t>
      </w:r>
      <w:r>
        <w:rPr>
          <w:rFonts w:ascii="arial" w:eastAsia="arial" w:hAnsi="arial" w:cs="arial"/>
          <w:color w:val="000000"/>
          <w:sz w:val="20"/>
          <w:lang w:val="en-US" w:eastAsia="en-US" w:bidi="ar-SA"/>
        </w:rPr>
        <w:t xml:space="preserve"> and all similar jurisprudence which are relevant to distinguishing a source of income from a business from a source of income from property are thus irrelevant to the determination of "business" in section 400(2) of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their respective corners, both the CRA and Wesbild rely on the various statutory provisions, including the definitions cited above, and the principles of interpretation that I have also cited above, particularly </w:t>
      </w:r>
      <w:r>
        <w:rPr>
          <w:rFonts w:ascii="arial" w:eastAsia="arial" w:hAnsi="arial" w:cs="arial"/>
          <w:i/>
          <w:color w:val="000000"/>
          <w:sz w:val="20"/>
          <w:lang w:val="en-US" w:eastAsia="en-US" w:bidi="ar-SA"/>
        </w:rPr>
        <w:t>Canada Trustco</w:t>
      </w:r>
      <w:r>
        <w:rPr>
          <w:rFonts w:ascii="arial" w:eastAsia="arial" w:hAnsi="arial" w:cs="arial"/>
          <w:color w:val="000000"/>
          <w:sz w:val="20"/>
          <w:lang w:val="en-US" w:eastAsia="en-US" w:bidi="ar-SA"/>
        </w:rPr>
        <w:t xml:space="preserve">. Fundamentally, the difference of opinion is whether the </w:t>
      </w:r>
      <w:r>
        <w:rPr>
          <w:rFonts w:ascii="arial" w:eastAsia="arial" w:hAnsi="arial" w:cs="arial"/>
          <w:i/>
          <w:color w:val="000000"/>
          <w:sz w:val="20"/>
          <w:lang w:val="en-US" w:eastAsia="en-US" w:bidi="ar-SA"/>
        </w:rPr>
        <w:t>Marconi</w:t>
      </w:r>
      <w:r>
        <w:rPr>
          <w:rFonts w:ascii="arial" w:eastAsia="arial" w:hAnsi="arial" w:cs="arial"/>
          <w:color w:val="000000"/>
          <w:sz w:val="20"/>
          <w:lang w:val="en-US" w:eastAsia="en-US" w:bidi="ar-SA"/>
        </w:rPr>
        <w:t xml:space="preserve"> test applies in respect of whether Wesbild had a "business" in British Columbia, or whether some broader definition of "business" applies that should have informed Wesbild in filing the 2002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Wesbild argues that the </w:t>
      </w:r>
      <w:r>
        <w:rPr>
          <w:rFonts w:ascii="arial" w:eastAsia="arial" w:hAnsi="arial" w:cs="arial"/>
          <w:i/>
          <w:color w:val="000000"/>
          <w:sz w:val="20"/>
          <w:lang w:val="en-US" w:eastAsia="en-US" w:bidi="ar-SA"/>
        </w:rPr>
        <w:t>Marconi</w:t>
      </w:r>
      <w:r>
        <w:rPr>
          <w:rFonts w:ascii="arial" w:eastAsia="arial" w:hAnsi="arial" w:cs="arial"/>
          <w:color w:val="000000"/>
          <w:sz w:val="20"/>
          <w:lang w:val="en-US" w:eastAsia="en-US" w:bidi="ar-SA"/>
        </w:rPr>
        <w:t xml:space="preserve"> test applies and that it had no "business" or "permanent establishment" in British Columbia since it had no "fixed place of business"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CRA argues that a corporation can be conducting a "business" and have a "permanent establishment" pursuant to s. 400(2)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even though it is only generating other types or sources of income. Indeed, the CRA's reassessment was to tax Wesbild's gain from the Future Shop share sale as a capital gain and not as business income. Consistent with its position that the definition of "business" is broad enough to include activities that give rise to other than business income (such as capital gains), the CRA points to various dictionary definitions of "business". The CRA points to various commercial activities of Wesbild in its 2002 taxation year, such as the sale of the Future Shop shares, which it says supports that Wesbild was conducting "business"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As I have stated, it is not the task of the Court, at least at this time, to determine whether Wesbild or the CRA is correct on this issue. It is a complex issue, as confirmed by the lengthy and detailed arguments by both parties on point. The outcome will depend on, not only statutory interpretation (i.e., issues of law), but also a detailed examination and the Court's finding on the various relevant facts and circumstances relevant to the application of that law (i.e., issues of mixed fact and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agree with Wesbild that it's filing position taken in the 2002 Return involved questions of law or mixed law and fact, such as whether Wesbild had a "business" and, if so, whether it had a "fixed place of business" in British Columbia sufficient to establish a "permanent establishment" in British Columbia. I conclude, however, that Wesbild's position on the issue is reasonable in the sense that it is arguable based on the case authorities and the facts as presented at this hearing. On the latter point, I accept the facts as contended by the CRA in coming to this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There is also no suggestion that the CRA was misled as to Wesbild's filing position by reason of the 2002 Return. An early CRA memorandum dated January 21, 2008, raises the issue directly, while also noting that the issue is statute-barred. The author of the memorandum, April Trimark, had no difficulty in assessing the basic circumstances and understanding the filing position taken by Wesbild: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general, the plan involved the transfer of shares to a newly incorporated Yukon Territories corporation with a stated PE outside of Canada. The shares are then sold for a gain and the income is allocated outside of Canada where it is not taxed provincially.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that by transferring the shares to [Wesbild] and then subsequently allocating the income earned on their sale outside of Canada, the corporate group has avoided approximately $7,566,218 in BC provincial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these circumstances, I fail to see how the 2002 Return, and the filing position taken in that return, could be said to be a misrepresentation. Rather, it indicated a filing position that was clearly more than arguable based on the authorities at the time and even current jurisprudence on the issue. There is no suggestion that Wesbild failed to disclose to the CRA all that it was required to disclose. The CRA was, of course, more than able to understand that filing position and take whatever steps it wished to challenge that position. It failed to do so within the normal reassessment period. Simply, the filing position in the 2002 Return was certainly a representation, but it was not a </w:t>
      </w:r>
      <w:r>
        <w:rPr>
          <w:rFonts w:ascii="arial" w:eastAsia="arial" w:hAnsi="arial" w:cs="arial"/>
          <w:i/>
          <w:color w:val="000000"/>
          <w:sz w:val="20"/>
          <w:lang w:val="en-US" w:eastAsia="en-US" w:bidi="ar-SA"/>
        </w:rPr>
        <w:t>mis</w:t>
      </w:r>
      <w:r>
        <w:rPr>
          <w:rFonts w:ascii="arial" w:eastAsia="arial" w:hAnsi="arial" w:cs="arial"/>
          <w:color w:val="000000"/>
          <w:sz w:val="20"/>
          <w:lang w:val="en-US" w:eastAsia="en-US" w:bidi="ar-SA"/>
        </w:rPr>
        <w:t>representation of any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Accordingly, in my view, s. 152(4)(as)(i) is not available in these circumstances to allow the CRA to reassess outside of the normal reassessment period.</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Was there "neglect" or "carelessness"?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 have already alluded to the fact that many of the case authorities discuss both aspects of the test in arriving at a conclusion. In that vein, I will now discuss whether, assuming that the 2002 Return was a "misrepresentation", whether the Minister has proven that it arose by neglect or carelessness: </w:t>
      </w:r>
      <w:r>
        <w:rPr>
          <w:rFonts w:ascii="arial" w:eastAsia="arial" w:hAnsi="arial" w:cs="arial"/>
          <w:i/>
          <w:color w:val="000000"/>
          <w:sz w:val="20"/>
          <w:lang w:val="en-US" w:eastAsia="en-US" w:bidi="ar-SA"/>
        </w:rPr>
        <w:t>Envision Credit Union v. R.</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2010 TCC 576</w:t>
        </w:r>
      </w:hyperlink>
      <w:r>
        <w:rPr>
          <w:rFonts w:ascii="arial" w:eastAsia="arial" w:hAnsi="arial" w:cs="arial"/>
          <w:color w:val="000000"/>
          <w:sz w:val="20"/>
          <w:lang w:val="en-US" w:eastAsia="en-US" w:bidi="ar-SA"/>
        </w:rPr>
        <w:t xml:space="preserve"> at para. 106; </w:t>
      </w:r>
      <w:r>
        <w:rPr>
          <w:rFonts w:ascii="arial" w:eastAsia="arial" w:hAnsi="arial" w:cs="arial"/>
          <w:i/>
          <w:color w:val="000000"/>
          <w:sz w:val="20"/>
          <w:lang w:val="en-US" w:eastAsia="en-US" w:bidi="ar-SA"/>
        </w:rPr>
        <w:t>Fontaine v. R.</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2013 TCC 63</w:t>
        </w:r>
      </w:hyperlink>
      <w:r>
        <w:rPr>
          <w:rFonts w:ascii="arial" w:eastAsia="arial" w:hAnsi="arial" w:cs="arial"/>
          <w:color w:val="000000"/>
          <w:sz w:val="20"/>
          <w:lang w:val="en-US" w:eastAsia="en-US" w:bidi="ar-SA"/>
        </w:rPr>
        <w:t xml:space="preserve">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Regina Shoppers Mall</w:t>
      </w:r>
      <w:r>
        <w:rPr>
          <w:rFonts w:ascii="arial" w:eastAsia="arial" w:hAnsi="arial" w:cs="arial"/>
          <w:color w:val="000000"/>
          <w:sz w:val="20"/>
          <w:lang w:val="en-US" w:eastAsia="en-US" w:bidi="ar-SA"/>
        </w:rPr>
        <w:t>, Addy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Where a taxpayer thoughtfully, deliberately and carefully assesses the situation and files on what he believes bona fide to be the proper method there can no misrepresentation as contemplated by s. 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conclusion was also upheld by the Federal Court of Appeal with the additional comment that the standard of care required of a taxpayer is that of a "wise and prudent person":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 The taxpayer does not have to make up for any inadequacies of the ministerial assessment process, but has merely to file a return according to the provisions of the Act. In the words of Mahoney, J. (as he then was) in </w:t>
      </w:r>
      <w:r>
        <w:rPr>
          <w:rFonts w:ascii="arial" w:eastAsia="arial" w:hAnsi="arial" w:cs="arial"/>
          <w:i/>
          <w:color w:val="000000"/>
          <w:sz w:val="20"/>
          <w:lang w:val="en-US" w:eastAsia="en-US" w:bidi="ar-SA"/>
        </w:rPr>
        <w:t>The Queen v. Welchar Construction Ltd.</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[1979] C.T.C. 117</w:t>
        </w:r>
      </w:hyperlink>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79 D.T.C. 5086</w:t>
        </w:r>
      </w:hyperlink>
      <w:r>
        <w:rPr>
          <w:rFonts w:ascii="arial" w:eastAsia="arial" w:hAnsi="arial" w:cs="arial"/>
          <w:color w:val="000000"/>
          <w:sz w:val="20"/>
          <w:lang w:val="en-US" w:eastAsia="en-US" w:bidi="ar-SA"/>
        </w:rPr>
        <w:t xml:space="preserve"> at 120 (D.T.C. 5088): "A person liable to tax is required to prepare and file a tax return in which he calculates his income and the tax payable in respect of it. He is obliged to make those calculations in accordance with the requirements of the Act and, by the assessment process, the Minister is supposed to ensure that he does." Where the Act is unclear, or the characterization of the facts doubtful, the trial judge corrected stated that "</w:t>
      </w:r>
      <w:r>
        <w:rPr>
          <w:rFonts w:ascii="arial" w:eastAsia="arial" w:hAnsi="arial" w:cs="arial"/>
          <w:color w:val="000000"/>
          <w:sz w:val="20"/>
          <w:u w:val="single"/>
          <w:lang w:val="en-US" w:eastAsia="en-US" w:bidi="ar-SA"/>
        </w:rPr>
        <w:t>the care exercised must be that of a wise and prudent person and ... the report must be made in a manner that the taxpayer truly believes to be correct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Whether or not there is a misrepresentation through neglect or carelessness in the completion of a tax return is determinable at the time the return is filed: </w:t>
      </w:r>
      <w:r>
        <w:rPr>
          <w:rFonts w:ascii="arial" w:eastAsia="arial" w:hAnsi="arial" w:cs="arial"/>
          <w:i/>
          <w:color w:val="000000"/>
          <w:sz w:val="20"/>
          <w:lang w:val="en-US" w:eastAsia="en-US" w:bidi="ar-SA"/>
        </w:rPr>
        <w:t>Nesbitt</w:t>
      </w:r>
      <w:r>
        <w:rPr>
          <w:rFonts w:ascii="arial" w:eastAsia="arial" w:hAnsi="arial" w:cs="arial"/>
          <w:color w:val="000000"/>
          <w:sz w:val="20"/>
          <w:lang w:val="en-US" w:eastAsia="en-US" w:bidi="ar-SA"/>
        </w:rPr>
        <w:t xml:space="preserve"> (C.A.)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Consistent with my comments above, the issue is not whether the taxpayer's filing position is correct, but whether the taxpayer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believed that it was correct: </w:t>
      </w:r>
      <w:r>
        <w:rPr>
          <w:rFonts w:ascii="arial" w:eastAsia="arial" w:hAnsi="arial" w:cs="arial"/>
          <w:i/>
          <w:color w:val="000000"/>
          <w:sz w:val="20"/>
          <w:lang w:val="en-US" w:eastAsia="en-US" w:bidi="ar-SA"/>
        </w:rPr>
        <w:t>Envision Credit Union</w:t>
      </w:r>
      <w:r>
        <w:rPr>
          <w:rFonts w:ascii="arial" w:eastAsia="arial" w:hAnsi="arial" w:cs="arial"/>
          <w:color w:val="000000"/>
          <w:sz w:val="20"/>
          <w:lang w:val="en-US" w:eastAsia="en-US" w:bidi="ar-SA"/>
        </w:rPr>
        <w:t xml:space="preserve"> at para. 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Many of the decided cases have involved a consideration as to whether the taxpayer, in undertaking his assessment of the filing position, sought and obtained the services of a qualified tax professional. Even if such advice is obtained, the focus of this aspect of the test remains on the taxpayer.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conclusion that the taxpayer had been neglectful and careless in </w:t>
      </w:r>
      <w:r>
        <w:rPr>
          <w:rFonts w:ascii="arial" w:eastAsia="arial" w:hAnsi="arial" w:cs="arial"/>
          <w:i/>
          <w:color w:val="000000"/>
          <w:sz w:val="20"/>
          <w:lang w:val="en-US" w:eastAsia="en-US" w:bidi="ar-SA"/>
        </w:rPr>
        <w:t>Angus</w:t>
      </w:r>
      <w:r>
        <w:rPr>
          <w:rFonts w:ascii="arial" w:eastAsia="arial" w:hAnsi="arial" w:cs="arial"/>
          <w:color w:val="000000"/>
          <w:sz w:val="20"/>
          <w:lang w:val="en-US" w:eastAsia="en-US" w:bidi="ar-SA"/>
        </w:rPr>
        <w:t xml:space="preserve"> was supported by the fact that the taxpayer had withheld information from his accountant: </w:t>
      </w:r>
      <w:r>
        <w:rPr>
          <w:rFonts w:ascii="arial" w:eastAsia="arial" w:hAnsi="arial" w:cs="arial"/>
          <w:i/>
          <w:color w:val="000000"/>
          <w:sz w:val="20"/>
          <w:lang w:val="en-US" w:eastAsia="en-US" w:bidi="ar-SA"/>
        </w:rPr>
        <w:t>Angus</w:t>
      </w:r>
      <w:r>
        <w:rPr>
          <w:rFonts w:ascii="arial" w:eastAsia="arial" w:hAnsi="arial" w:cs="arial"/>
          <w:color w:val="000000"/>
          <w:sz w:val="20"/>
          <w:lang w:val="en-US" w:eastAsia="en-US" w:bidi="ar-SA"/>
        </w:rPr>
        <w:t xml:space="preserve"> (C.A.)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Ridge Run Developments</w:t>
      </w:r>
      <w:r>
        <w:rPr>
          <w:rFonts w:ascii="arial" w:eastAsia="arial" w:hAnsi="arial" w:cs="arial"/>
          <w:color w:val="000000"/>
          <w:sz w:val="20"/>
          <w:lang w:val="en-US" w:eastAsia="en-US" w:bidi="ar-SA"/>
        </w:rPr>
        <w:t xml:space="preserve">, the taxpayer's failure to apply the debtor's gain rules in the Federal Act and reduce its non-capital loss by the amount of a forgiven loan was held to be a negligent misrepresentation. The court expressly stated that the taxpayer, who signed the returns, had not inquired about the treatment of the $1.7 million debt forgiveness from the accountants and, as such, was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negligent: paras. 158-159. If such an inquiry had been made, the taxpayer may have avoided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Accordingly, </w:t>
      </w:r>
      <w:r>
        <w:rPr>
          <w:rFonts w:ascii="arial" w:eastAsia="arial" w:hAnsi="arial" w:cs="arial"/>
          <w:i/>
          <w:color w:val="000000"/>
          <w:sz w:val="20"/>
          <w:lang w:val="en-US" w:eastAsia="en-US" w:bidi="ar-SA"/>
        </w:rPr>
        <w:t>Ridge Run Developments</w:t>
      </w:r>
      <w:r>
        <w:rPr>
          <w:rFonts w:ascii="arial" w:eastAsia="arial" w:hAnsi="arial" w:cs="arial"/>
          <w:color w:val="000000"/>
          <w:sz w:val="20"/>
          <w:lang w:val="en-US" w:eastAsia="en-US" w:bidi="ar-SA"/>
        </w:rPr>
        <w:t xml:space="preserve"> supports that a consideration of whether there has been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involves a consideration as to whether the taxpayer has considered the facts and law in coming to what it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considers a reasonable filing position even after the receipt of professional advice. To similar effect, even if the tax professional is found to have been negligent, the taxpayer may be able to prove that he acted diligently so as to avoid a late reassessment: </w:t>
      </w:r>
      <w:r>
        <w:rPr>
          <w:rFonts w:ascii="arial" w:eastAsia="arial" w:hAnsi="arial" w:cs="arial"/>
          <w:i/>
          <w:color w:val="000000"/>
          <w:sz w:val="20"/>
          <w:lang w:val="en-US" w:eastAsia="en-US" w:bidi="ar-SA"/>
        </w:rPr>
        <w:t>Aridi v. R.</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2013 TCC 74</w:t>
        </w:r>
      </w:hyperlink>
      <w:r>
        <w:rPr>
          <w:rFonts w:ascii="arial" w:eastAsia="arial" w:hAnsi="arial" w:cs="arial"/>
          <w:color w:val="000000"/>
          <w:sz w:val="20"/>
          <w:lang w:val="en-US" w:eastAsia="en-US" w:bidi="ar-SA"/>
        </w:rPr>
        <w:t xml:space="preserve">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A decision not to hire a tax professional will not, in itself, necessarily result in a finding of neglect or carelessness: </w:t>
      </w:r>
      <w:r>
        <w:rPr>
          <w:rFonts w:ascii="arial" w:eastAsia="arial" w:hAnsi="arial" w:cs="arial"/>
          <w:i/>
          <w:color w:val="000000"/>
          <w:sz w:val="20"/>
          <w:lang w:val="en-US" w:eastAsia="en-US" w:bidi="ar-SA"/>
        </w:rPr>
        <w:t>M.D. Glazier Ltd. v. Minister of National Revenue</w:t>
      </w:r>
      <w:r>
        <w:rPr>
          <w:rFonts w:ascii="arial" w:eastAsia="arial" w:hAnsi="arial" w:cs="arial"/>
          <w:color w:val="000000"/>
          <w:sz w:val="20"/>
          <w:lang w:val="en-US" w:eastAsia="en-US" w:bidi="ar-SA"/>
        </w:rPr>
        <w:t xml:space="preserve"> (1982), 1982 CarswellNat 402 at para. 14, </w:t>
      </w:r>
      <w:hyperlink r:id="rId518" w:history="1">
        <w:r>
          <w:rPr>
            <w:rFonts w:ascii="arial" w:eastAsia="arial" w:hAnsi="arial" w:cs="arial"/>
            <w:i/>
            <w:color w:val="0077CC"/>
            <w:sz w:val="20"/>
            <w:u w:val="single"/>
            <w:shd w:val="clear" w:color="auto" w:fill="FFFFFF"/>
            <w:lang w:val="en-US" w:eastAsia="en-US" w:bidi="ar-SA"/>
          </w:rPr>
          <w:t>83 D.T.C. 48</w:t>
        </w:r>
      </w:hyperlink>
      <w:r>
        <w:rPr>
          <w:rFonts w:ascii="arial" w:eastAsia="arial" w:hAnsi="arial" w:cs="arial"/>
          <w:color w:val="000000"/>
          <w:sz w:val="20"/>
          <w:lang w:val="en-US" w:eastAsia="en-US" w:bidi="ar-SA"/>
        </w:rPr>
        <w:t xml:space="preserve"> (T.R.B.). </w:t>
      </w:r>
      <w:r>
        <w:rPr>
          <w:rFonts w:ascii="arial" w:eastAsia="arial" w:hAnsi="arial" w:cs="arial"/>
          <w:i/>
          <w:color w:val="000000"/>
          <w:sz w:val="20"/>
          <w:lang w:val="en-US" w:eastAsia="en-US" w:bidi="ar-SA"/>
        </w:rPr>
        <w:t>Cameron</w:t>
      </w:r>
      <w:r>
        <w:rPr>
          <w:rFonts w:ascii="arial" w:eastAsia="arial" w:hAnsi="arial" w:cs="arial"/>
          <w:color w:val="000000"/>
          <w:sz w:val="20"/>
          <w:lang w:val="en-US" w:eastAsia="en-US" w:bidi="ar-SA"/>
        </w:rPr>
        <w:t xml:space="preserve"> is a case where no such advice was obtained, but the reassessment was vacated on the basis of the taxpayer's own due diligence. The corollary to this point is, as the CRA argues, that engaging a tax professional does not in and of itself relieve a taxpayer of the responsibility of ensuring that the tax return is correct: </w:t>
      </w:r>
      <w:r>
        <w:rPr>
          <w:rFonts w:ascii="arial" w:eastAsia="arial" w:hAnsi="arial" w:cs="arial"/>
          <w:i/>
          <w:color w:val="000000"/>
          <w:sz w:val="20"/>
          <w:lang w:val="en-US" w:eastAsia="en-US" w:bidi="ar-SA"/>
        </w:rPr>
        <w:t>M.D. Glazier</w:t>
      </w:r>
      <w:r>
        <w:rPr>
          <w:rFonts w:ascii="arial" w:eastAsia="arial" w:hAnsi="arial" w:cs="arial"/>
          <w:color w:val="000000"/>
          <w:sz w:val="20"/>
          <w:lang w:val="en-US" w:eastAsia="en-US" w:bidi="ar-SA"/>
        </w:rPr>
        <w:t xml:space="preserve"> at para. 14, citing </w:t>
      </w:r>
      <w:r>
        <w:rPr>
          <w:rFonts w:ascii="arial" w:eastAsia="arial" w:hAnsi="arial" w:cs="arial"/>
          <w:i/>
          <w:color w:val="000000"/>
          <w:sz w:val="20"/>
          <w:lang w:val="en-US" w:eastAsia="en-US" w:bidi="ar-SA"/>
        </w:rPr>
        <w:t>Howell v. Minister of National Revenue</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[1981] 81 D.T.C. 230</w:t>
        </w:r>
      </w:hyperlink>
      <w:r>
        <w:rPr>
          <w:rFonts w:ascii="arial" w:eastAsia="arial" w:hAnsi="arial" w:cs="arial"/>
          <w:color w:val="000000"/>
          <w:sz w:val="20"/>
          <w:lang w:val="en-US" w:eastAsia="en-US" w:bidi="ar-SA"/>
        </w:rPr>
        <w:t xml:space="preserve"> (T.R.B.).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Wesbild has provided two affidavits from Mr. Zien relating to the due diligence completed by Wesbild.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his first affidavit, Mr. Zien describes the series of transactions relating to the sale of the Future Shop shares. He specifically states that the incorporation of Wesbild, and its later ownership and disposition of the Future Shop shares, was to permit the sale "to be carried out in a tax-efficient manner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tax efficient from the perspective of Inwest)."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his second affidavit, Mr. Zien sets out his background and experience as a tax lawyer. I do not see that there is any dispute that Mr. Zien is well-qualified in the field and, in fact, he has given expert-opinion evidence in this Court on previous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my view, it is clear beyond any reasonable doubt that Mr. Zien conceived of the Tax Plan by which this "tax-efficient" sale of shares was to be accomplished. Once approved by Inwest's board of directors, he was also responsible to see that the Tax Plan was implemented, as designed, so as to achieve this result. He states in his second affidavit:</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the tax lawyer responsible for the tax planning associated with that sale of the Future Shop shares and as such was responsible for considering the issues, exercising my professional judgment, and making the determination the [Wesbild] did not have a Permanent Establishment in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capacity as in-house lawyer at Inwest, I was responsible for structuring the sale of Inwest's Future Shop shares in a tax-efficient manner. In carrying out this task I relied upon my own professional background and significant experience as a tax lawyer.</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recommended to the directors of Inwest that before a Best Buy takeover, Inwest should first transfer its Future Shop shares to a holding company that had no Permanent Establishment in BC. ...</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holding corporation would have not a Permanent Establishment in BC, that holding company would tax federal tax at the full, unabated federal rate ...</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Ensuring that [Wesbild] had no Permanent Establishment in BC was central to the success of this tax planning and, as such, I carefully considered this issue while creating the tax plan, and while the tax plan was being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Zien was cross-examined by the CRA's counsel as to both affidavits. Mr. Zien was not shaken in his evidence; rather, he expanded on his role in the design and implementation of the Tax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Zien described his own involvement as a "managerial overall responsibility role".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involved in the overall conduct of the affairs of [Wesbild] and the other companies in our group. Ultimately it was my responsibility to ensure that qualified people, informed people, knowledgeable people prepared and filed the returns in an accurate and timely basis. It's not my job to review tax returns; it's not my job to sign tax returns. It's my job to make sure that qualified, knowledgeable, informed people did so and that they did so in a professional and systematic fashion. That's what occurred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On the matter of the process by which the Tax Plan was formulated, Mr. Zien stated in his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would -- we collectively at Inwest would not have done anything that affected the affairs of [Wesbild] without the group of us that were responsible for it consulting one another, considering it and maybe taking --- in this case we did take outside tax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Zien described the process by which he came to formulate the Tax Plan. Ultimately, the process involved him obtaining legal advice from Robert Kopstein, a tax lawyer with Blake, Cassels &amp; Graydon LLP's Vancouver office, in respect of the Tax Plan. He did not seek advice from Norm Yurik, a tax partner of Deloitte &amp; Touche, who was retained to prepare the 2002 Return: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is what happened: when we got to the point where I understood we were probably going to sell the Future Shop shares, I came to think a little bit about the tax consequences of doing so. At the time I was being called by many different parties with one or more crazy ideas as to how I could ameliorate the tax consequences. I chose not to have anything to do with their suggestions. But one day I decided that it might not be such a crazy idea to move the jurisdiction of the vendor of the shares from British Columbia to the Yukon, that it would be a fairly straightforward, simply transaction with very few moving parts, and it seemed like a good idea to me. So I entered into a collaborative exercise with tax counsel to discuss this, to review it, to assess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Zien also referred to ongoing discussions with Mr. Yurik concerning the preparation of the 2002 Return. In that regard, Mr. Zien refers to ongoing discussions to confirm that nothing had changed in relation to Wesbild and his ongoing intention to implement the Tax Plan. All this led to confirmation of the filing position to be taken in the 2002 Return that Wesbild did not have a permanent establishment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On re-examination, Mr. Zien referred to constant communications, or what he described as a "continuum of conversations" with Mr. Rutgers concerning the Tax Plan, and including a review of Wesbild's "limited activities" and how any of those activities might affect the Tax Plan. Mr. Rutgers signed the 2002 Return. Mr. Rutgers was just down the hall from Mr. Zien's office and they saw each other constantly throughout the work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Accordingly, on the subject of due diligence by Mr. Zien, the uncontradicted evidence is that:</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Zien, a qualified tax lawyer, was tasked with coming up with a tax-efficient manner of disposing of the Future Shop shares;</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considering potential tax-planning strategies, Mr. Zien considered and rejected other tax plans that he felt were too aggressive;</w:t>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ultimately, Mr. Zien conceived the Tax Plan as a "good idea", having considered the legislation provisions and relevant authorities in some detail;</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Zien also engaged outside tax counsel, Mr. Kopstein, to review, assess and discuss the Tax Plan;</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the process, Mr. Zien engaged Mr. Yurik concerning the Tax Plan. Mr. Yurik's advice was not requested on the merits of the Tax Plan; however, Mr. Yurik did produce some calculations as to the tax savings that might be achieved by implementing the Tax Plan;</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Zien completed his review and considered Mr. Kopstein's advice and Mr. Yurik's calculations, knowing that he was required to present the Tax Plan to Inwest's chairman and explain its benefits and any shortcomings. Mr. Zien also had to explain how comfortable he was with the Tax Plan;</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Inwest having decided to implement the Tax Plan, Mr. Zien then ensured that the necessary steps took place, as intended. Mr. Rutgers was generally familiar with the Tax Plan and Mr. Zien was in regular contact with him making sure that the course of events took place as intended. In addition, Mr. Zien was also in frequent contact with Mr. Kotite on the matter;</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Zien frequently consulted with Mr. Yurik concerning the developments relating to Wesbild after its incorporation; and</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when the 2002 Return was being prepared, Mr. Zien and Mr. Yurik specifically discussed the filing position that should be taken with respect to the return. Mr. Zien confirmed his continuing view that there was no material change in Wesbild's status, and that it was appropriate to have the 2002 Return prepared on the basis that Wesbild did not have a "permanent establishment" in British Columbia, as contemplated by the Tax Plan. At the same time, Mr. Zien also re-confirmed his view to Mr. Rutgers, and Mr. Zien advised Mr. Rutgers that he was instructing Mr. Yurik to prepare the 2002 Return as contemplated by the Tax Plan. Mr. Zien mentioned to Mr. Rutgers that it was a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CRA takes the position that there is no evidence of due diligence in this case, stating that there is no evidence that Wesbild did any due diligence at the time it filed the 2002 Return in seeking, receiving and relying on advice concerning its filing position that it had no "permanent establishment" in British Columbia. The CRA points to certain discovery evidence of Mr. Kotite concerning Mr. Yurik's involvement in the preparation of the 2002 Return and Mr. Rutgers and Mr. Kotite's involvement in the designation of "OC" in the 2002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CRA complains that none of the answers provided at Mr. Kotite's examination for discovery, or even the answers to undertakings later provided, mention Mr. Zien and his involvement in the creation and implementation of the Tax Plan. The answers provided clearly refer to Mr. Yurik having been retained to prepare the 2002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see no merit in the CRA's submissions on this point. As argued by Wesbild, the answers to the discovery questions were answered carefully and correctly, and were directed at the mechanics of the preparation of the 2002 Return, including the placement of "OC" on it. None of the questions went to the more pertinent question as to who had conceived of the Tax Plan. While Mr. Zien did not prepare the 2002 Return himself, he was clearly the author of the steps under the Tax Plan, which was reflected in the filing position taken in the 2002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evidence more than establishes that Mr. Rutgers and Mr. Kotite acted in accordance with the Tax Plan, as conceived by Mr. Zien, after discussions between them. In that sense, there is no disconnect between Mr. Zien's conclusions, actions and intentions concerning the Tax Plan and the later actions of Mr. Rutgers and Mr. Kotite leading to the filing of the 2002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It is also a fact that Mr. Zien obtained outside legal advice on the issue to supplement his own views as to the viability of the Tax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As one would expect, the CRA inquired about whether such advice had been obtained. In September 2008, before the audit was begun the next month, an email stated that the CRA auditor should seek information such as: "Did the taxpayers seek independent professional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On February 25, 2011, Mr. Kopstein specifically advised the CRA that he had given "careful and detailed advice" to Wesbild on the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circumstances, both Inwest and [Wesbild] received thoroughly considered advice from competent tax advisors as to ... in the case of [Wesbild], the absence of a permanent establishment ("PE") in British Columbia in the relevant year. This advice as carefully considered and the transactions were carried out, and the filing positions taken by Inwest and [Wesbild], after comprehensively canvassing the relevant legal principles and considerations. The advice was provided both by Inwest's in-house counsel, a respected tax practitioner and former governor of the Canadian Tax Foundation, and by myself, Inwest and [Wesbild]'s external tax advisor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No doubt on the instructions of Wesbild, Mr. Kopstein refused to disclose the substance of that advice on the basis that it was protected by solicitor and client privilege. To assuage any concerns, he offered to swear an affidavit or statutory declaration that he had provided carefully considered and detailed advice to Wesbild on the issue of whether Wesbild had a "permanent establishment"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CRA disagreed with Mr. Kopstein's proposal. Wesbild made a further proposal which involved having a tax lawyer in the Department of Justice review the opinion and give an opinion to the CRA whether the due diligence standard was met. The CRA equally refused to consider this proposal without Wesbild waiving privilege over the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CRA's argument rests on the proposition that the due diligence requirement requires that Wesbild show what led it to file the way it did. I agree that the actions of the taxpayer are certainly relevant. However, I part company with the CRA in respect of its argument that Wesbild cannot exonerate itself by merely showing there is a potential legal argument that would support the filing position and that it must show what legal arguments were actually considered before the return was filed. As the </w:t>
      </w:r>
      <w:r>
        <w:rPr>
          <w:rFonts w:ascii="arial" w:eastAsia="arial" w:hAnsi="arial" w:cs="arial"/>
          <w:i/>
          <w:color w:val="000000"/>
          <w:sz w:val="20"/>
          <w:lang w:val="en-US" w:eastAsia="en-US" w:bidi="ar-SA"/>
        </w:rPr>
        <w:t>Cameron</w:t>
      </w:r>
      <w:r>
        <w:rPr>
          <w:rFonts w:ascii="arial" w:eastAsia="arial" w:hAnsi="arial" w:cs="arial"/>
          <w:color w:val="000000"/>
          <w:sz w:val="20"/>
          <w:lang w:val="en-US" w:eastAsia="en-US" w:bidi="ar-SA"/>
        </w:rPr>
        <w:t xml:space="preserve"> decision demonstrates, it is not an absolute requirement that professional advice be obtained although, if it is, that is a relevant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In any event, Mr. Zien's evidence indicates that this is exactly what occurred here. It is abundantly clear that Mr. Zien was well-aware of the law surrounding the issue. It cannot be doubted that he is familiar with the legislation and, in particular, the issues concerning the applicability of provincial tax in the event that a "permanent establishment" is found in the province. The fact that Mr. Zien, as in-house counsel, considered the issue is sufficient itself to establish that he acted as a wise and prudent person in formulating the Tax Plan. It is also clear that he held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belief that the Tax Plan was a valid filing position to be taken in the 2002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CRA invites the court to infer that there was no consideration of the legal issues by reason of the fact that Mr. Kopstein's opinion was not put into evidence. The CRA refers to </w:t>
      </w:r>
      <w:r>
        <w:rPr>
          <w:rFonts w:ascii="arial" w:eastAsia="arial" w:hAnsi="arial" w:cs="arial"/>
          <w:i/>
          <w:color w:val="000000"/>
          <w:sz w:val="20"/>
          <w:lang w:val="en-US" w:eastAsia="en-US" w:bidi="ar-SA"/>
        </w:rPr>
        <w:t>Johnson v. R.</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2012 FCA 253</w:t>
        </w:r>
      </w:hyperlink>
      <w:r>
        <w:rPr>
          <w:rFonts w:ascii="arial" w:eastAsia="arial" w:hAnsi="arial" w:cs="arial"/>
          <w:color w:val="000000"/>
          <w:sz w:val="20"/>
          <w:lang w:val="en-US" w:eastAsia="en-US" w:bidi="ar-SA"/>
        </w:rPr>
        <w:t>. In that case, the taxpayer had failed to obtain independent advice concerning the taxability of certain receipts. On the matter of due diligence, the taxpayer argued that even if she had obtained such advice, that adviser would probably have advised her to file as she did. At para. 60, the Federal Court of Appeal rejected this argument as "entirely speculative" and found that the reassessment was justified under s. 152(4)(a)(i). The court further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 The fact is that Ms. Johnson chose not to seek independent advice, and there is nothing in the record from which it is possible to determine what an independent adviser would have discovered or advised at the time Ms. Johnson's 2003 income tax return was due. The Crown has the onus of justifying a late reassessment by proving that the conditions in subparagraph 152(4)(a)(i) are met, but that does not require the Court to give weight to arguments made by the taxpayer that have no evidentiary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CRA argues that it is entirely speculative what Mr. Kopstein considered or advised Wesbild in anticipation of the filing of the 2002 Return. The former comment is unsupportable. Mr. Zien's evidence is that he asked Mr. Kopstein to provide legal advice on the issue and he did so. What that advice entailed is not before the Court. However, I was not referred to any authority to support the argument that, in considering this issue, Wesbild is compelled to waive its right to assert privilege relating to such legal advice in order to prove that it had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belief in the correctness of its filing position. To do so would render the protection afforded by such privilege to be illusory, particularly where the burden of proof lies on the 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What remains a relevant fact is that Mr. Zien did seek this advice. The substance of that advice is not known, but in the circumstances of this case, it is not necessary because Mr. Zien's own evidence is more than sufficient to establish the requirements of due diligence. The fact that he did seek and obtain legal advice from Mr. Kopstein, and considered such advice before filing the 2002 Return, supports that Mr. Zien did make substantial efforts to fully address the legal issues before coming to a decision to implement the Tax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find that the CRA had failed to prove that Wesbild, namely through the actions of Mr. Zien, has acted as less than a wise and prudent person in considering the issues leading to the filing of the 2002 Return. I fail to see how, in the above circumstances, one could describe Mr. Zien as having been neglectful or careless in the filing of the 2002 Return. In my view, Mr. Zien has given credible evidence that supplements what was disclosed by Mr. Kotite at his examination for discovery. As such, it stands as the only evidence on the point and is, as I stated earlier, uncontradicted. I have no hesitation in finding that Mr. Zien was a credible witness and that his affidavit evidence, viewed in conjunction with the cross-examination transcript, amply supports that Wesbild conducted the appropriate amount of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As Wesbild argues, Mr. Zien's actions leading to the filing of the 2002 Return are the antithesis of neglect and carelessness. It was his job to see if a more tax-efficient plan could be conceived and implemented. There was obviously a substantial amount of money on the table and Mr. Zien's attention to the task would no doubt have been considerable in all of the circumstances. I see no basis upon which Mr. Zien's analysis and conclusions could be described as "taking a flyer"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 further find that Mr. Zien, at all times, held an honest and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belief in the correctness of Wesbild's filing position that it did not have a permanent establishment in British Columbia in its 2002 taxation year. Again, it has to be noted that Wesbild's filing position conformed to the </w:t>
      </w:r>
      <w:r>
        <w:rPr>
          <w:rFonts w:ascii="arial" w:eastAsia="arial" w:hAnsi="arial" w:cs="arial"/>
          <w:i/>
          <w:color w:val="000000"/>
          <w:sz w:val="20"/>
          <w:lang w:val="en-US" w:eastAsia="en-US" w:bidi="ar-SA"/>
        </w:rPr>
        <w:t>Marconi</w:t>
      </w:r>
      <w:r>
        <w:rPr>
          <w:rFonts w:ascii="arial" w:eastAsia="arial" w:hAnsi="arial" w:cs="arial"/>
          <w:color w:val="000000"/>
          <w:sz w:val="20"/>
          <w:lang w:val="en-US" w:eastAsia="en-US" w:bidi="ar-SA"/>
        </w:rPr>
        <w:t xml:space="preserve"> test, a test that the CRA itself later confirmed would support that position. There is no indication that the CRA's currently-advanced dictionary definition of "business" had any support at all in 2001/2002 or even at this time. The fact that Mr. Zien held this belief was, therefore, perfectly understandable and was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In that event, it is difficult to conceive what Mr. Zien should have done, as the CRA now argues. In </w:t>
      </w:r>
      <w:r>
        <w:rPr>
          <w:rFonts w:ascii="arial" w:eastAsia="arial" w:hAnsi="arial" w:cs="arial"/>
          <w:i/>
          <w:color w:val="000000"/>
          <w:sz w:val="20"/>
          <w:lang w:val="en-US" w:eastAsia="en-US" w:bidi="ar-SA"/>
        </w:rPr>
        <w:t>Ver</w:t>
      </w:r>
      <w:r>
        <w:rPr>
          <w:rFonts w:ascii="arial" w:eastAsia="arial" w:hAnsi="arial" w:cs="arial"/>
          <w:color w:val="000000"/>
          <w:sz w:val="20"/>
          <w:lang w:val="en-US" w:eastAsia="en-US" w:bidi="ar-SA"/>
        </w:rPr>
        <w:t xml:space="preserve"> at para. 17(d), the court found no neglect or carelessness, even if the taxpayer had failed to adopt the then-advanced "Crown's theories". See also </w:t>
      </w:r>
      <w:r>
        <w:rPr>
          <w:rFonts w:ascii="arial" w:eastAsia="arial" w:hAnsi="arial" w:cs="arial"/>
          <w:i/>
          <w:color w:val="000000"/>
          <w:sz w:val="20"/>
          <w:lang w:val="en-US" w:eastAsia="en-US" w:bidi="ar-SA"/>
        </w:rPr>
        <w:t>Savard</w:t>
      </w:r>
      <w:r>
        <w:rPr>
          <w:rFonts w:ascii="arial" w:eastAsia="arial" w:hAnsi="arial" w:cs="arial"/>
          <w:color w:val="000000"/>
          <w:sz w:val="20"/>
          <w:lang w:val="en-US" w:eastAsia="en-US" w:bidi="ar-SA"/>
        </w:rPr>
        <w:t xml:space="preserve"> at para. 78. That appears to be the same situation here, where the CRA has now developed theories that support that British Columbia tax was payable by Wesbild; however, these theories were not apparent to anyone, let alone Mr. Zien,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conclusion, even assuming that the 2002 Return was a misrepresentation, no neglect or carelessness has been established by the CRA within the meaning of s. 152(4)(a)(i). Wesbild's filing position was fairly and fully disclosed to the CRA, and the CRA was more than able to respond within the normal reassessment period in the event that it wished to challenge that position, on the basis of the arguments raised on this application,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failure by the Minister to reassess Wesbild within the limitation period can in no way be attributed to any negligent misrepresentation by Wesbild. As such, the objectives of finality and certainty dictate that the reassessment is statute-barred and of no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Wesbild's appeal is allowed, and the notice of additional assessment issued on December 23, 2011, is vacated as being statute-barred. In addition, Wesbild is entitled to be paid the refund interest to which it is entitled under the BC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Both parties provided written submissions on the matter of costs. Having read those submissions and having heard from counsel, my tentative conclusion and order is that Wesbild is entitled to its party and party costs of the action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recognize that Wesbild has indicated an intention to seek special costs against the Minister on the basis that the Minister's conduct in this action has been reprehensible. In that regard, Wesbild has requested permission to make further written submissions on costs depending, of course, on the outcome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If Wesbild still wishes to seek a different costs award, such as special costs, it may schedule a further hearing to address that matter provided that, on notice to the Minister, it contacts Supreme Court Scheduling to do so within 30 days of the release of these reasons. Given the complexity of the issues, I am not amenable to this issue being addressed by written submissions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0" style="position:absolute;z-index:251784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Jackson v. Kelowna General Hospital, 2006 CHFL para. 15,418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Beames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February 16, 2006.</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S73673</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2006</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2006 CHFL para. 15,418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2006 BCSC 279</w:t>
        </w:r>
      </w:hyperlink>
    </w:p>
    <w:p>
      <w:pPr>
        <w:spacing w:before="120" w:line="260" w:lineRule="atLeast"/>
        <w:rPr>
          <w:lang w:val="en-US" w:eastAsia="en-US" w:bidi="ar-SA"/>
        </w:rPr>
      </w:pPr>
      <w:r>
        <w:rPr>
          <w:rFonts w:ascii="arial" w:eastAsia="arial" w:hAnsi="arial" w:cs="arial"/>
          <w:color w:val="000000"/>
          <w:sz w:val="20"/>
          <w:lang w:val="en-US" w:eastAsia="en-US" w:bidi="ar-SA"/>
        </w:rPr>
        <w:t>Jackson v. Kelowna General Hospital</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21" style="position:absolute;z-index:2516828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21" w:name="Keywords_14"/>
      <w:bookmarkEnd w:id="121"/>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for nurses — Plaintiff suffered respiratory problems following surgery — Nurses were negligent in failing to monitor plaintiff according to instructions and in failing to chart properly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not a cause of the plaintiff's injury — Action dismissed.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22" w:name="Case Summary_13"/>
            <w:bookmarkEnd w:id="122"/>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personal injury damages arising from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nurses. The plaintiff underwent surgery for a fractured jaw, and received morphine by a self-administered pump. On discharge from the recovery room, the plaintiff returned to the surgical ward where he was under the care of four nurses. The morphine pump instructions required monitoring once an hour for two hours, and then once every four hours. The plaintiff was assessed at 9:45 p.m., but no further formal assessments were made. One nurse changed the plaintiff's IV bag at 11:15 p.m., and another checked on him at about midnight. No charting was done of any of the plaintiff's vital signs, and checks by the nurses were not recorded. At 12:15 a.m., the plaintiff was found to be in respiratory distress, either from over-sedation or from respirating vomit. He was treated for aspiration pneumonia and never fully recovered from this episode. </w:t>
            </w:r>
            <w:r>
              <w:rPr>
                <w:lang w:val="en-US" w:eastAsia="en-US" w:bidi="ar-SA"/>
              </w:rPr>
              <w:cr/>
            </w:r>
          </w:p>
          <w:p>
            <w:pPr>
              <w:spacing w:before="120" w:line="260" w:lineRule="atLeast"/>
              <w:ind w:left="240"/>
              <w:jc w:val="both"/>
              <w:rPr>
                <w:lang w:val="en-US" w:eastAsia="en-US" w:bidi="ar-SA"/>
              </w:rPr>
            </w:pPr>
            <w:bookmarkStart w:id="123" w:name="Holdings of Court_10"/>
            <w:bookmarkEnd w:id="123"/>
            <w:r>
              <w:rPr>
                <w:rFonts w:ascii="arial" w:eastAsia="arial" w:hAnsi="arial" w:cs="arial"/>
                <w:color w:val="000000"/>
                <w:sz w:val="20"/>
                <w:lang w:val="en-US" w:eastAsia="en-US" w:bidi="ar-SA"/>
              </w:rPr>
              <w:t>HELD: The plaintiff's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found that the nurses' actions fell below the required standard of care in failing to follow the monitoring orders for the morphine pump and in failing to chart properly. Even if no abnormal findings were noted, the nurses should have charted that rounds were performed or that an informal assessment of the plaintiff was made. However, the plaintiff was not entitled to compensation for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since the Court found no evidence to support a finding that the plaintiff's respiratory difficulty was caused by or contributed to by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nurses.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734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Kondor v. Shea, [2014] B.C.J. No. 2826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28-30, May 1, 2 and 5-8,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M114203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2826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2014 BCSC 2146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Bernadette Kondor, Plaintiff, and Dylan Shea, Lori Shea,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(102 paras.)</w:t>
      </w:r>
    </w:p>
    <w:p>
      <w:pPr>
        <w:jc w:val="both"/>
        <w:rPr>
          <w:rFonts w:ascii="arial" w:eastAsia="arial" w:hAnsi="arial" w:cs="arial"/>
          <w:sz w:val="20"/>
          <w:lang w:val="en-US" w:eastAsia="en-US" w:bidi="ar-SA"/>
        </w:rPr>
      </w:pPr>
      <w:bookmarkStart w:id="124" w:name="Counsel_23"/>
      <w:bookmarkEnd w:id="1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3"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David Grunder, Michael R. Sporer.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Deborah H. Taylor, Farzana Mohamed, David M. Steinbach.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5" w:name="Judgment_23"/>
      <w:bookmarkEnd w:id="125"/>
      <w:r>
        <w:pict>
          <v:line id="_x0000_s1124" style="position:absolute;z-index:2517350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6" w:name="G.B. BUTLER J."/>
            <w:bookmarkEnd w:id="126"/>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Bernadette Kondor, seeks damages for injuries arising from a motor vehicle accident at the intersection of St. Johns Street and Grant in Port Moody, B.C. The accident occurred on September 4, 2009 when the vehicle driven by the defendant, Dylan Shea attempted to execute a left turn onto St. Johns Street. Mr. Shea did not see Ms. Kondor's vehicle, which he struck on the front passenger side with considerable force (the "Accident"). The defendants have admitted liability for the Accident. Ms. Kondor's head struck her windshield and her body hit the steering wheel and dashboard. Ms. Kondor was transported to Royal Columbian Hospital by ambulance for treatment. She suffered bruises and abrasions to her face and body. She also suffered soft tissue injuries to her cervical spine and low back. Prior to the Accident, Ms. Kondor had a history of depression, anxiety, and Obsessive Compulsive Disorder ("OCD"). The Accident caused an increase in her anxiety and OCD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Ms. Kondor held the position of Coordinator of Parenteral Services in the Pharmacy Department at Children's Hospital ("Children's"). She reported directly to the Director of Pharmacy, and was a valued employee. She graduated with her BSc in pharmacy from the University of British Columbia in 1991 at the top of her class. Following her graduation, she completed a one-year residency program which enabled her to work in a hospital pharmacy. Thereafter, in 1992, she started working at Children's and has worked there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Kondor was on vacation when the Accident occurred. She returned to work on September 15, 2009, only a few days after her scheduled return. However, at that time she could only work part time. She gradually increased the length of her workday until she was able to work five and a half hours a day. She has continued to work at that reduced level since late 2009. Ms. Kondor says she is unable to work full days because she suffers from pain which is now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These circumstances and the parties' positions require a close examination of Ms. Kondor's injuries, the ongoing symptoms, and her prognosis. The parties have widely differing views regarding the extent to which her symptoms were caused by injuries suffered in the Accident, and whether the symptoms were caused or contributed to by her pre-existing condition and non-Accident stresses. The main areas of contention between the parties are the amounts to be awarded for non-pecuniary damages,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Kondor was in good physical health prior to the Accident and had no difficulty performing her work duties. She was an avid gardener, knitter, and enjoyed playing with her nieces and nephew. While she had difficulties with OCD prior to the Accident, she was able to deal with the symptoms which did not interfere with her ability to work. Ms. Kondor says this is a classic "thin skull" case: her pre-existing condition made her susceptible to the injuries and symptoms she suffered as a result of the Accident. She argues that causation is easily established by the medical evidence. She functioned well before the Accident but now, five years later, she has developed chronic pain and is unable to return to full-time work. She says that as a result of the Accident, her career advancement has been stymied. She is unable to take part in gardening or knitting, two extra-curricular activities she enjoyed. She is no longer able to maintain the postures required for prolonged engagement in these activities, as they exacerbate her symptoms. She says it is unlikely her condition will improve. In view of chronic pain and the exacerbation of psychological symptoms, Ms. Kondor submits that an award of $125,000 for non-pecuniary damages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Kondor argues the reduction in her ability to work a full day is entirely attributable to injuries suffered in the Accident. She maintains that without the Accident she would have continued to work full time until age 70. She testified that she loved her job and never intended to retire early to pursue other interests. In essence, she says she would have worked as long as possible. She also submits that without the injuries suffered in the Accident, she would have been appointed to a more senior position. She says she would likely have been promoted to the position of Distribution Coordinator by approximately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Kondor submits her net past income loss is $96,509, with $1,849 in pre-judgment interest. This amount is premised on the assumption she would have continued to work full time at the salary level she was earning at the time of the Accident. Based on the assumptions outlined above, she says she should be awarded approximately $1.45 million for loss of future earning capacity. Ms. Kondor also seeks an award for cost of future care, in the amount of $36,363, to pay for future OCD therapy, attendance at a pain clinic, and an award for interference with homemaking capacity. The parties are agreed as to the amount of special damages, at $15,000.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acknowledge that Ms. Kondor suffered physical and psychological injuries in the Accident, but say she overstates the severity of the symptoms. The defendants also argue that her pre-existing OCD, anxiety, and depression have significantly impacted her ongoing physical and psychological well-being. They say many of her symptoms were caused by her pre-existing psychological condition or would have occurred in any event. They point to a number of the plaintiff's pre-existing avoidance behaviours which caused significant impairment in her daily life. The defendants also say there have been significant stressors in Ms. Kondor's life which would have affected her ability to function even without the Accident. These include the death of her father and the re-organization of the Children's Pharmacy Department, commencing in 2010. In addition, the defendants say there is a reasonable prospect for a significant improvement in her psychological condition and, if that occurs, a reduction to her level of chronic pain. This may enable her return to full-time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submit that Ms. Kondor's non-pecuniary damages should be assessed at $75,000 based on Ms. Kondor's ongoing complaints and modest aggravation of her OCD. However, the defendants say this figure should be discounted by 40% to take into account the extent to which her difficulties are caused by the pre-existing psychological conditions. Thus, the defendants submit that an award of $45,000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do not dispute the amount of time Ms. Kondor missed at work. However, they dispute the calculation of the past wage loss, and say she has suffered a loss of only $81,860.34. The rationale for the difference is that Ms. Kondor voluntarily decided to take a job at a lower hourly rate. The defendants argue she should not receive compensation for the reduction in earnings because the change of position was not caused by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say the future income loss should not be calculated on an earnings approach but rather on the basis of a loss of capacity. They submit that an appropriate award which takes all factors into account is $150,000. Alternatively, the defendants say that if an earnings approach is used, the court should conclude that Ms. Kondor would have retired at age 61, the average retirement age for employees in her category. They also argue that Ms. Kondor would never have obtained a more senior position given her anxiety and OCD. Applying those factors to the computation, the defendants submit the future loss would be valued at approximately $420,000.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acknowledge the plaintiff requires continued therapy for her OCD. However, they take the position that this need for future therapy is unrelated to the Accident. In the alternative, should the court determine that the Accident caused or contributed to the need for continued therapy, the defendants submit that loss of future care should be assessed at $18,220. This amount is comprised of OCD therapy and $15,000 for attendance at a pain clinic. In their submission, no amount should be awarded for 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Relevant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Kondor and her physicians described in detail her condition before the Accident, as well as the physical and psychological symptoms she has experienced since September 2009. I will set out her personal and medical history by reviewing that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Kondor is now 46 years old. She is the middle of three children, and was raised in a family which valued education and academic achievement. Her older brother is a lawyer and her sister is a doctor. She was a high achiever in everything she did, including education and extra-curricular activities, and developed perfectionist tendencies at an early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Ms. Kondor was 27 years old and experiencing stress from a broken relationship, she recognized that obsessive behaviours were beginning to have a significant impact on her everyday life. In 1997, she was referred by her family doctor, Dr. Keith Hatlelid, to a psychiatrist, Dr. Froese, because she was exhibiting moderate symptoms of depression and anxiety. Dr. Froese prescribed medication to treat those conditions. He recognized there was an OCD component to her presentation and the medication was also intended to assist with those symptoms. She continued to take medication to treat her depression and anxiety up to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December 1999, Dr. Froese referred Ms. Kondor to Dr. Maureen Whittal, the director of the UBC Anxiety Disorders Clinic (the "AD Clinic"). Dr. Whittal is a psychologist specializing in anxiety disorders. Dr. Whittal treated Ms. Kondor's OCD until 2001. In February 2013, Ms. Kondor was again referred to Dr. Whittal. Dr. Whittal provided a report and gave evidence at trial detailing her assessment and treatment of Ms. Kondor during the two time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her initial intake assessment in 1999 (the "Initial Assessment"), Ms. Kondor reported to Dr. Whittal a lifelong history of a need for symmetry and exactness. This did not impact her daily functioning until Ms. Kondor was in her mid-20s. A number of personal stresses caused an increase in obsessive thoughts and prompted the onset of OCD symptoms. Doctor Whittal explained that obsessions are intrusive thoughts which appear against an individual's will, which may be followed by compulsions. Compulsions are behaviours or acts to which an individual is driven because of the intrusive thoughts. Compulsive behaviours are directly related to obsessions and are an attempt to reduce anxiety. OCD is an anxiety disorder and it can be one of the most disabling of illnesses. OCD symptoms can wax and wane depending on other stressors in an individual's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Kondor's primary obsessive thought was the fear of becoming contaminated by bodily fluids. She was concerned she might contract an infectious disease and could spread the illness to others. This manifested in an obsessive need to wash her hands or other objects around her. She had other obsessional themes which focused on responsibility for the safety of others. This concern manifested in a tendency to remove potentially dangerous items from her environment, for example removing glass from the street. Similarly, she was concerned about exposing others to peanuts, which might result in serious allergic reactions. She was also concerned about the potentially toxic effect of chemicals used in chemotherapy or household cleaners. When driving, she had intrusive thoughts which caused her to believe she may have struck a pedestrian or cyclist. This caused her to check her mirrors repetitively and frequently circle around the block to look for a possible accident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Initial Assessment in 1999, Ms. Kondor reported near constant obsessions. She said she spent six to seven hours a day dealing with her compulsions. Ms. Kondor washed her hands as often as 60 times a day and obsessively cleaned inanimate objects. She developed avoidance behaviours, which included staying away from objects or places which she believed to be contaminated. She restricted people from entering her home to avoid further contamination. For example, at the time of the Initial Assessment, Ms. Kondor's fridge had been broken for more than a month and had not been fixed because she was unable to allow a repairman into her home. Dr. Whittal concluded that Ms. Kondor had a severe level of OCD and made a secondary diagnosis of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the Initial Assessment, Ms. Kondor underwent two treatment programs. She first tried cognitive behavioural therapy which did little to reduce her symptoms. She then underwent a series of exposure plus response prevention ("ERP") treatments. At the conclusion of those treatments, Ms. Kondor reported an approximately 45% decrease in symptoms. At that level, Dr. Whittal would have described Ms. Kondor's OCD symptoms as within the mild range. However, in early 2001 during her final attendance at the clinic, an unfortunate incident caused Ms. Kondor to develop a negative view of both the AD Clinic and Dr. Whittal. She believed the AD Clinic was contaminated and attending the premises became a trigger for her. Dr. Whittal tried to get her to return to the AD Clinic but Ms. Kondor stopped all treatment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Ms. Kondor said her OCD symptoms were generally under control after leaving Dr. Whittal and the AD Clinic. She still had issues with bodily fluids but was able to keep obsessions about peanuts and chemotherapy chemicals under control. She was also able to manage her obsessive thoughts about driving accidents. Dr. Hatlelid's evidence provides support for her assertion that her OCD symptoms were under control. He has been Ms. Kondor's family physician since 1997. He prepared two medical legal reports and gave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at trial. He described Ms. Kondor's long history of OCD. He was of the view that Ms. Kondor was able to keep her psychological issues under "reasonable control" through the use of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other pharmacists from Children's who testified were not aware of the nature or extent of Ms. Kondor's struggle with OCD. Kathleen Collin, a good friend who had worked at Children's throughout Ms. Kondor's tenure, described Ms. Kondor as a vibrant and energetic pharmacist and person before the Accident. She did not observe any disability and said Ms. Kondor "seemed to be normal". She described Ms. Kondor as a good supervisor who listened to employees and was an exemplary role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Kondor worked as a Clinical Pharmacist from 1992 until December 2007. During this time period she did not have a managerial or supervisory role. In 2007, John Hope became the Director of Pharmacy at Children's and stayed in that position until 2010. At that time the pharmacy was organized as a single facility which included Women's Hospital. In December 2007, he promoted Ms. Kondor to the position of Coordinator of Parenteral Services. He thought she was the strongest candidate for the management position. Mr. Hope had five coordinators who reported to him. He was a strong advocate for and supporter of Ms. Kondor. He believes she had the ability to progress higher in the hospital administration based on her performance under his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Hope was able to observe Ms. Kondor as his office was next to hers. As a Coordinator she was required to take on more responsibility than she did as a clinical pharmacist. She supervised three or four pharmacists and technicians on a daily basis and was responsible for hiring those employees. She sat on numerous committees and worked on special projects for her department. Mr. Hope was of the view she could manage her increased responsibilities and said she made a positive contribution right away. She was able to deal well with the kind of change which is a regular feature in hospital pharmacies.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Before the Accident, Mr. Hope regarded her as an excellent employee. He did a performance appraisal of Ms. Kondor in September 2010, about a year after the Accident. He concluded she was an excellent employee in all respects. From his perspective, she performed at a very high level both before and after the Accident. He described his observations of Ms. Kondor after the Accident, and noted that although he could see she struggled with the physical demands of the job, she remained an excellent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primary focus of Ms. Kondor's life before the Accident was her work. She formed the goal of becoming a hospital pharmacist early in her adult life and as her career moved forward this remained the central focus of her life. She has not had a romantic relationship since 1999. That relationship ended poorly and was a significant stressor in her life. Her main outside interest is gardening. With that in mind she purchased a home in East Vancouver in 2003 (the "House"). She lived there for a while but the House became seriously run down and is now uninhabitable. She moved out of the House in December 2011. The House needed repairs that were simply too expensive. She says that when she purchased the House it was only marginally inhabitable so she expected it to deteriorate. She also says she was unable to look after the home as a result of her injuries. While there is some truth to these assertions, they do not provide a complete explanation for what happened to her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Kondor purchased the property to have a garden. She used the garden for some time and was able to do so because gardening did not give her contamination concerns. However, she was unable to maintain the House in part because of her OCD contamination concerns. She would not have people into the House to provide the assistance she needed. She was content to focus on her work and her aging parents. As a result, she simply did not have the time or ability to maintain the House and it fell into disrepair. Unfortunately, a home can be a source of serious contamination issues for someone with her form of OCD. As the House aged and required maintenance, she was in no position to either do the work or allow someone inside to assist. Accordingly, she eventually moved into her parents' home and rented an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 dramatic example of the problems that can arise for someone suffering from OCD is Ms. Kondor's failure to file tax returns. At some point she became concerned about a Revenue Canada letter she received in the mail which she believed was contaminated with dog feces. She placed the letter in a cabinet in her home where her tax information was kept. That cabinet became associated with contamination such that she could no longer deal with its contents and therefore her tax issues. As a result, Ms. Kondor did not file a tax return from 1998 until sometime shortly before trial. While the failure to file tax returns is not a home maintenance issue, it demonstrates the debilitating impact that obsessive thoughts can have on Ms. Kondor's ability to function. Ms. Kondor previously had difficulty getting her fridge, furnace, and roof fixed because of a reluctance or inability to let a stranger into her home. It is not surprising the home became uninhabitable when she had no ability to deal with ongoing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Ms. Kondor maintained her OCD was under control in the years before the Accident, she received about $3,500 to $4,000 in sick pay on an annual basis. I infer that more of her sick time was related to psychological rather than physical issues. In February 2009, she reported to Dr. Hatlelid's partner Dr. Dodeck that her OCD was still prevalent and that it contributed to thoughts of depression. Dr. Dodeck considered a possible re-referral to the AD Clinic, but he did not do so, nor did Dr. Hatlelid.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Prior to the Accident, Ms. Kondor's physical health was very good. She had no physical complaints and had never experienced neck or back pain. She did not participate in sports but walked daily for approximately 30 to 40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other important part of Ms. Kondor's life before the Accident was her family. She was very close to her aging parents. She was the sibling who assumed the primary responsibility for assisting her parents. Her siblings were both married and had young families. Her sister could not assist their parents as she lived in Ontario. When her father was diagnosed with Alzheimer's in 2008 and her mother had a recurrence of breast cancer, Ms. Kondor was called upon to spend a lot of time with her parents. Her parents' health issues were significant stressors for Ms. Kondor.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Kondor has a good relationship with her brother, who lives in Vancouver, and has two young children. Ms. Kondor saw her brother's family once every few weeks. Ms. Kondor enjoyed visiting and playing with her niece and nephew. Her brother knew of her fear of germs which developed as a child, but stated he did not think it was serious. Ms. Kondor managed to keep her OCD diagnosis from him. Indeed, her brother was surprised to learn of it in the witness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Kondor also has a good relationship with her sister and her two young daughters. Her sister testified that Ms. Kondor was active and in good health when she visited Ontario shortly before the Accident. She was able to actively play with her nieces. The Accident occurred very shortly after Ms. Kondor returned to Vancouver. Her sister was aware of the OCD diagnosis but did not have any knowledge as to how serious the symptoms were. She noticed that Ms. Kondor was more vigilant about cleanliness than others, but described her manifest OCD behaviours as "not very evident on a continuous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evident from the testimony of her siblings and co-workers that Ms. Kondor was successful in hiding her OCD symptoms from her family and from fellow employees at Children's.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Accident occurred when Ms. Kondor was driving home from her parents' home. Ms. Kondor was immediately stunned and felt quite dazed. She was taken to Royal Columbian Hospital following the Accident but did not stay for long as she was concerned about contamination. She took a taxi home at the earliest opportunity. In the first few days after the Accident, Ms. Kondor experienced pain and stiffness in her neck, right shoulder, upper back, and chest. She was badly bruised over her arms and legs and suffered bruises and abrasions to her head and face. She started to experience headaches which became frequent and painful. She immediately experienced heightened anxiety when driving. There is no doubt she was fully disabled in the period immediately following September 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spite of the injuries, Ms. Kondor attempted to return to work 11 days after the Accident. She participated in a very informal graduated return to work program. As a result of the support she received from Mr. Hope, she was able to set her own working hours. Ms. Kondor found it difficult to work in the early morning and so she came in later in the day and worked through as much of the afternoon as she could. By the end of October 2009, she was working about 50% of her regular hours. This fluctuated somewhat, but by the end of 2009 she was working 5.5 hours per day. She was not able to work longer because of the level of pain she experienced. As a full-time employee, she was required to work 7.5 hours per day. In the years before the Accident, she often worked more than the required time without claiming overtime. She was no longer able to put in those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Hatlelid's first report, dated October 2, 2011, sets out his initial diagnosis and documents the progression of Ms. Kondor's symptoms for the first two years after the Accident. He concluded that, as a result of the Accident, Ms. Kondor sustained the following injuries:</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grade II musculoligamentous injury to her cervical spine;</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grade I musculoligamentous injury to her low back;</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bruises and lacerations to face, arms, and legs;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muscle contraction headaches;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muscular injury to the chest wall;</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strained ankles;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mild concussion;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secondary to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Hatlelid's report of October 2011 notes that the bruising, facial lacerations, muscular injury to the chest wall, and strained ankles had all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Hatlelid was of the view that Ms. Kondor experienced some degree of post-traumatic stress, and that the Accident resulted in a significant increase in her anxiety and depression levels. Shortly after the Accident, he increased her anti-depressant medication to provide relief for those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Hatlelid prescribed massage therapy and physiotherapy. Ms. Kondor tried massage therapy but did not go to many sessions as her concerns about hygiene made the experience uncomfortable. She began physiotherapy about a month after the Accident and has continued with it ever since. Ms. Kondor has tried every type of therapy offered including laser, ultrasound, manual therapy, manipulation, deep tendon friction, acupuncture, exercise, IMS, and taping.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Kondor attended at Dr. Hatlelid's office eight times during the course of the first year after the Accident. He noted improvement in her range of motion. By February 2010, she reported feeling very upset with the persistence of the pain. By March 2010, she found that her level of pain increased with activities including long drives, sitting at a computer, household chores, and playing with her nieces. On subsequent visits she reported little improvement in her pain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Hatlelid encouraged Ms. Kondor to get more exercise and discussed the possibility of a progressive exercise program. While she did not pursue a formal exercise program, she did some exercises at home. She continued with physiotherapy as it provided some assistance with pain management, but it did not assist in reducing her overall pain symptoms or improve her ability to function. The only other treatment prescribed for Ms. Kondor was the anti-depressant medication and Naprosyn, an anti-inflammatory. She was also advised to use Ibuprofen and has continued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report of October 2, 2011, Dr. Hatlelid concluded that Ms. Kondor's neck and back pain was having a significant impact on her occupational, recreational, and social activities. He found that her anxiety and depression had not returned to pre-Accident levels. He concluded with the following comments on prognosis and future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over two years since Ms. Kondor's accident and she continues to have significant symptoms of pain which are causing limitations in all aspects of her life... Despite this, I believe that there is still a fairly good prognosis for continued improvement in her condition and perhaps, at some point in the future, for complete resolution of her symptoms. However, given the length of time which has [elapsed] since the accident, and the slow improvement, any further improvement is likely to be very slow and [may] take 6 months to a year or longer. There is also a slight chance that her symptoms will be even more long-term or perhaps even permanent.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her symptoms are not improving, she might benefit from a referral to a Rehabilitation Specialist (a Physiatrist) to see if any further investigations such as MRI etc., would be warranted or if other modalities (special exercise program, muscle injections etc.) would be useful. This referral would need to come through her lawyer's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Hatlelid also suggested she might benefit from psychological counselling or a referral to a chronic pain clinic. He suggested a referral to a psychiatrist to optimize her medication regime. Finally, he suggested a referral to a kinesiologist, or personal trainer, and that an ergonomic assessment of her workplace might be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One unusual feature of this case is that after this report was sent, Dr. Hatlelid never actually referred Ms. Kondor to a physiatrist, a chronic pain clinic, a kinesiologist, or a personal trainer. His report of October 2, 2011 was provided to Ms. Kondor's lawyer and the suggested referrals were not pursued. Dr. Hatlelid did not directly recommend such referrals to Ms. Kondor. She has had an ergonomic assessment of her workplace and has continued to see a psychiatrist on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Kondor experienced some important changes in her personal and work life in the period after the Accident. Mr. Hope left his position in 2010 and the pharmacy administration underwent a significant re-organization. The pharmacy had operated as a single unit with Women's Hospital under the direction of the Provincial Health authority. Under Mr. Hope, the Children's pharmacy had an assistant director and five coordinators. After the re-organization, the pharmacy became part of the Fraser Health Unit. A Director of Lower Mainland Pharmacy Services, Ms. Linda Morris, was appointed to have regional responsibility for four hospital units which included Children's. Beneath the director were two coordinators with regional responsibilities; one for dispensary services, and one for clinical services. In other words, the management positions in the four hospital units were consolidated so the number of positions was reduced and the directors' responsibilities were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Under the re-organization, Ms. Kondor was given the position of Supervisor of Dispensary/ Parenteral services, and in that role she reported to the Coordinator of Dispensary Services. The effect of the re-organization was that Ms. Kondor's job duties increased somewhat and she did not have the flexibility she used to have. She found it somewhat difficult to be responsible for the increased scope of work and larger portfolio. Her former position involved a lot of project work which she was permitted to do on her own schedule. She also lost the benefit of Mr. Hope's support and his close presence.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Her new position was at a lower pay grade, however she was "red circled"; in essence she was grandfathered at her former level of pay. She remained at that pay level until she decided to change positions in September 2012. She felt that she could not adequately perform the work required of her as Supervisor of Dispensary/ Parenteral services while she was working reduced hours. In September 2012, she changed roles and worked as a Clinical Pharmacist, Drug Information at Children's. After leaving her supervisory role, she was no longer "red circled", and accordingly she dropped three pay grades which meant a reduction in her wage of approximately $10 an hour. Shortly thereafter, in January 2013, she was seconded into the position of Coordinator of Information Services and Technology which is considered a clinical position but involves maintaining the systems and planning projects with other stakeholders.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These changes at work occurred in the period after Ms. Kondor moved out of the House. The move was motivated both by the upkeep issues with the House, outlined above, and by her desire to be closer to her parents. She initially lived with her parents, but in July 2012 she rented an apartment close to her parents' home in Port Moody. Her new residence significantly extended her drive to and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Kondor's father had been diagnosed with prostate cancer years earlier but in early 2012 the cancer metastasized. He slowly declined and passed away in early November. This was a very stressful time for Ms. Kondor. She took stretches of time off work to care for her father and give her mother some respite. To that end, in September 2012, she took a compassionate care leave for six weeks. Her father passed in November,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the stress at home and work and the persistent neck and back pain, Ms. Kondor's OCD symptoms became worse in 2012. In February, she reported to Dr. Hatlelid that her OCD symptoms were out of control. In October, she made a similar report and was also showing symptoms of depression. Ms. Kondor also reported poor sleep and ongoing neck, arm, and upper and lower back pain. She was referred to a new psychiatrist, Dr. Moniwa, who confirmed her level of OCD symptomology by way of letter to Dr. Hatlelid in November 2012. Shortly thereafter, she was again referred to Dr. Whittal for additional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2012, the Fraser Health administration realized that Ms. Kondor was working reduced hours without having gone through any formal process. She was required to seek accommodation for reduced hours. Dr. Hatlelid provided a supportive medical opinion and in May 2013, Ms. Kondor received formal approval to work 5.5 hours per day (the "Accommodation Agreement"). The Accommodation Agreement also placed limits on sustained neck flexion, sitting, or standing. However, aside from the need for a reduction of hours, she was able to do all of the activities required in her role. The only accommodation truly required for her condition was the reduced hours. A limitation was placed on how much intravenous equipment she could lift, however that was not part of her everyday routine. An ergonomic assessment of her workspace was undertaken and some changes were made to facilitate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Kondor saw Dr. Whittal on February 18, 2013 and reported that her OCD symptoms increased significantly after the Accident. Dr. Whittal treated Ms. Kondor 17 times between April 2013 and January 2014 using the ERP protocol. She believes Ms. Kondor is responding positively to the treatment, although her response is slower than it was in the 1990s and early 2000s. She believes this is "perhaps due to a more complex presentation with the addition of driving fears, frequency of appointments and the presence of chronic pain." Dr. Whittal concluded her report with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does appear as if the motor vehicle accident likely increased her anxiety and OCD, although it is not possible to definitively state this, as I had no contact with her between 2000 and February 18, 2013. Overall Ms. Kondor has worked hard in treatment and her prognosis for continued improvement is optimistic.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Kondor will likely require maintenance treatment, even if infrequently, for the next 1 - 2 years. I anticipate that the contamination concerns will continue to decrease with ERP but the scrupulosity concerns, which are reflected in her beliefs that she is a bad person, will take longer to resolve. With sustained treatment, I do believe that it will be possible, from an OCD perspective only, to return Ms. Kondor to a level of functioning she enjoyed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Kondor has continued to receive excellent performance reviews from her employer. Since 2013, she has continued in the position of Coordinator of Pharmacy Information Systems. This is only one pay grade below her former position. She continues to work reduced hours. She continues to be the primary support for her mother who has rheumatoid arthritis but remains mostly independent.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the present time, Ms. Kondor experiences pain in her neck, upper back, and arms every day. The pain continues to impact her activities and work. She does little or no gardening in her own home but does some limited gardening for her mother. Prior to the Accident she did a lot of knitting but has had to give up that activity. As reported to Dr. Hatlelid, she is able to do all of her housework including cooking and cleaning but must pace herself to get it accomplished. She continues to have symptoms of OCD,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second report dated January 25, 2014, Dr. Hatlelid notes that Ms. Kondor continues to have daily symptoms more than four years post-Accident. While there has been some very slight improvement, he opines that there is unlikely to be significant change in the future. He believes that with the Accommodation Agreement in place "she can continue to work at her present level and, if she keeps a regular exercise program, it is unlikely that her condition will deteriorate or that she will need to restrict her job further in the future." He is also of the opinion that Ms. Kondor's "pre-existing anxiety problems have played a role in maintaining the muscle pain and tightness, and in turn the pain and resulting limitations have increased her anxiety." He recommends ongoing counselling with Dr. Whittal but anticipates that the OCD will be a chronic condition which Ms. Kondor can attempt to manage with medication and therapy. Finally, he recommends a referral to a physiatrist and that she work on flexibility and muscle strength with a kinesiologist or 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parties have no issue between them regarding the law of causation. The difficulty is how to apply the law to the unusual circumstances in this case. In </w:t>
      </w:r>
      <w:r>
        <w:rPr>
          <w:rFonts w:ascii="arial" w:eastAsia="arial" w:hAnsi="arial" w:cs="arial"/>
          <w:i/>
          <w:color w:val="000000"/>
          <w:sz w:val="20"/>
          <w:lang w:val="en-US" w:eastAsia="en-US" w:bidi="ar-SA"/>
        </w:rPr>
        <w:t>Raikou v. Spencer</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2014 BCSC 1</w:t>
        </w:r>
      </w:hyperlink>
      <w:r>
        <w:rPr>
          <w:rFonts w:ascii="arial" w:eastAsia="arial" w:hAnsi="arial" w:cs="arial"/>
          <w:color w:val="000000"/>
          <w:sz w:val="20"/>
          <w:lang w:val="en-US" w:eastAsia="en-US" w:bidi="ar-SA"/>
        </w:rPr>
        <w:t>, Skolrood J. recently summarized the current status of the law. I can do no better than adopt that 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It is well established that the plaintiff must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13-17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see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the present case, it is clear there is a tortious cause for Ms. Kondor's continuing symptoms. However, there is also a non-tortious cause, being Ms. Kondor's pre-existing psychological condition. In </w:t>
      </w:r>
      <w:r>
        <w:rPr>
          <w:rFonts w:ascii="arial" w:eastAsia="arial" w:hAnsi="arial" w:cs="arial"/>
          <w:i/>
          <w:color w:val="000000"/>
          <w:sz w:val="20"/>
          <w:lang w:val="en-US" w:eastAsia="en-US" w:bidi="ar-SA"/>
        </w:rPr>
        <w:t>Raikou</w:t>
      </w:r>
      <w:r>
        <w:rPr>
          <w:rFonts w:ascii="arial" w:eastAsia="arial" w:hAnsi="arial" w:cs="arial"/>
          <w:color w:val="000000"/>
          <w:sz w:val="20"/>
          <w:lang w:val="en-US" w:eastAsia="en-US" w:bidi="ar-SA"/>
        </w:rPr>
        <w:t>, Skolrood J. explained the proper approach to assessing the contribution of pre-existing conditions at para.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Where, as here, a plaintiff has pre-existing conditions, the court must consider the relationship of those conditions to the current complaints. A defendant tortfeasor is liable for all injuries caused by the tort even if those injuries are more severe than might otherwise be the case due to the pre-existing condition (the "thin skull rule"). However, the defendant is liable only for the injuries actually caused by the accident and not for any effects of the pre-existing condition that the plaintiff would have experienced in any event (the "crumbling skull rule"). Put another way, the defendant is liable for the additional damage but not the pre-existing damage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Esson J.A. commented on the difficulty in applying the crumbling skull rule where there is a chance the plaintiff would have suffered the resulting harm in any event,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crumbling skull rule is difficult to apply when there is a chance, but not a certainty, that the plaintiff would have suffered the harm but for the defendants' conduct. Major J. addressed this issue in Athey when he wrote, at paragraph 35, that damages should be adjusted only when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a risk of harm need not be proved on a balance of probabilities, which is the appropriate standard for determining </w:t>
      </w:r>
      <w:r>
        <w:rPr>
          <w:rFonts w:ascii="arial" w:eastAsia="arial" w:hAnsi="arial" w:cs="arial"/>
          <w:i/>
          <w:color w:val="000000"/>
          <w:sz w:val="20"/>
          <w:lang w:val="en-US" w:eastAsia="en-US" w:bidi="ar-SA"/>
        </w:rPr>
        <w:t>past</w:t>
      </w:r>
      <w:r>
        <w:rPr>
          <w:rFonts w:ascii="arial" w:eastAsia="arial" w:hAnsi="arial" w:cs="arial"/>
          <w:color w:val="000000"/>
          <w:sz w:val="20"/>
          <w:lang w:val="en-US" w:eastAsia="en-US" w:bidi="ar-SA"/>
        </w:rPr>
        <w:t xml:space="preserve"> events but not </w:t>
      </w:r>
      <w:r>
        <w:rPr>
          <w:rFonts w:ascii="arial" w:eastAsia="arial" w:hAnsi="arial" w:cs="arial"/>
          <w:i/>
          <w:color w:val="000000"/>
          <w:sz w:val="20"/>
          <w:lang w:val="en-US" w:eastAsia="en-US" w:bidi="ar-SA"/>
        </w:rPr>
        <w:t>future</w:t>
      </w:r>
      <w:r>
        <w:rPr>
          <w:rFonts w:ascii="arial" w:eastAsia="arial" w:hAnsi="arial" w:cs="arial"/>
          <w:color w:val="000000"/>
          <w:sz w:val="20"/>
          <w:lang w:val="en-US" w:eastAsia="en-US" w:bidi="ar-SA"/>
        </w:rPr>
        <w:t xml:space="preserve"> ones. Future or hypothetical events should simply be given weight according to the probability of their occurrence. At paragraph 27, Major J. wrote that "if there is a 30 percent chance that the plaintiff's injuries will worsen, then the damage award may be increased by 30 percent of the anticipated extra damages to reflect that risk." In the same paragraph, he went on to say that a future event should be taken into account as long as it is a "real and substantial possibility and not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Justice Esson went on to explain that it is appropriate even in a "thin skull" case to reduce the plaintiff's damages where there is a proven measurable risk that he or she would have relapsed in any event. However, it is not necessary to establish that a pre-existing condition is already manifest and disabling before it can be taken into account: </w:t>
      </w:r>
      <w:r>
        <w:rPr>
          <w:rFonts w:ascii="arial" w:eastAsia="arial" w:hAnsi="arial" w:cs="arial"/>
          <w:i/>
          <w:color w:val="000000"/>
          <w:sz w:val="20"/>
          <w:lang w:val="en-US" w:eastAsia="en-US" w:bidi="ar-SA"/>
        </w:rPr>
        <w:t>Zacharias</w:t>
      </w:r>
      <w:r>
        <w:rPr>
          <w:rFonts w:ascii="arial" w:eastAsia="arial" w:hAnsi="arial" w:cs="arial"/>
          <w:color w:val="000000"/>
          <w:sz w:val="20"/>
          <w:lang w:val="en-US" w:eastAsia="en-US" w:bidi="ar-SA"/>
        </w:rPr>
        <w:t>,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critical issue in this case is the relationship between Ms. Kondor's pre-existing OCD and her ongoing pain and the resulting disability. There is both a prospective and retrospective aspect to the analysis. The extent to which Ms. Kondor's pre-existing condition is the cause of the pain and disability she has experienced to date must be assessed. This is so, because she should not be compensated for pain and disability she would have suffered without the Accident. In addition, I must consider whether the defendants have established a measurable risk that she will likely suffer future symptoms and disability in any event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found the reports of Dr. Hatlelid very useful for providing an accurate history of the progression of Ms. Kondor's OCD, depression, and pain symptoms. However, the opinions of Dr. Whittal and Dr. Koch were critical to properly understand the relationship between the pre-existing OCD and Ms. Kondor's ongoing pain symptoms. I found their explanation of the relationship between the pre-existing condition and the Accident symptoms instructive. I accept their opinions regarding the nature of Ms. Kondor's OCD and depression symptoms, and their opinions regarding the past and future impact of her pre-existing condition on her physical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Whittal noted in cross-examination that Ms. Kondor's work in a hospital pharmacy can increase her OCD symptoms in two ways. First, the nature of the work provides opportunities for her to perceive contamination. Second, Ms. Kondor's concern about the health of her patients produces additional stress. Indeed, the intrusive thoughts which lead to her compulsions are all related to concern over the health or well-being of others. Dr. Whittal described Ms. Kondor as someone who has an excessively high level of responsibility and concern for others. She is concerned about being contaminated herself, but is much more concerned about passing it on to others. Dr. Whittal also agreed that OCD would impact on Ms. Kondor's perception of pain. In other words, the greater the level of her OCD symptoms, the more likely it is her perception of pain would be increased. Ms. Kondor's depression is also related to the OCD. If her OCD is under control, then the reduction in the OCD symptoms will reduce the level of her symptoms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Koch, a registered psychologist and clinical adjunct professor with the Department of Psychiatry at UBC, saw Ms. Kondor for a psychological assessment. Dr. Koch prepared a medical legal report dated January 6, 2014, for the defendants and opined that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has more likely than not</w:t>
      </w:r>
      <w:r>
        <w:rPr>
          <w:rFonts w:ascii="arial" w:eastAsia="arial" w:hAnsi="arial" w:cs="arial"/>
          <w:color w:val="000000"/>
          <w:sz w:val="20"/>
          <w:lang w:val="en-US" w:eastAsia="en-US" w:bidi="ar-SA"/>
        </w:rPr>
        <w:t xml:space="preserve"> resulted in (a) modest exacerbation of Ms. Kondor's Obsessive Compulsive Disorder, (b) a Specific Phobia of motor vehicle travel (although part of her driving anxiety and avoidance can be explained by her OCD[)], and (c) a second episode of Major Depression, the latter now partially remitted. Her depression was very likely exacerbated by her father's last death and illness. It is probable that Ms. Kondor would have suffered a clinically significant depression associated with her father's death even in the absence of the subject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Koch provided the following opinion regarding the relationship between Ms. Kondor's OCD and the injuries suffered in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Regrettably, Ms. Kondor entered the subject MVA with a clinically significant OCD with a previous history of driving anxiety as part of her OCD. She also had at least one episode of Major Depression. In my opinion, these pre-existing conditions </w:t>
      </w:r>
      <w:r>
        <w:rPr>
          <w:rFonts w:ascii="arial" w:eastAsia="arial" w:hAnsi="arial" w:cs="arial"/>
          <w:i/>
          <w:color w:val="000000"/>
          <w:sz w:val="20"/>
          <w:lang w:val="en-US" w:eastAsia="en-US" w:bidi="ar-SA"/>
        </w:rPr>
        <w:t>more likely than not</w:t>
      </w:r>
      <w:r>
        <w:rPr>
          <w:rFonts w:ascii="arial" w:eastAsia="arial" w:hAnsi="arial" w:cs="arial"/>
          <w:color w:val="000000"/>
          <w:sz w:val="20"/>
          <w:lang w:val="en-US" w:eastAsia="en-US" w:bidi="ar-SA"/>
        </w:rPr>
        <w:t xml:space="preserve"> contributed to her current difficulties in the following ways.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pre-MVA OCD status made it more likely that any psychosocial stressor would lead to worse OCD symptoms.</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previous OCD concerns about harming others (i.e., hitting a pedestrian when driving) and associated excessive feelings of responsibility for others' safety made her more likely to develop driving anxiety and phobic avoidance of driving.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pre-MVA OCD status made her more likely to doubt her cognitive functioning and thus contribute to self-perceived problems in concentration and work efficiency.</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previous episode of Major Depression increased her probability of developing a subsequent episode of Major Depression independent of specific psychosocial stressors from an approximate base rate of 15% (estimated lifetime prevalence of MDD in women) to at least 50%.</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high level of pre-MVA anxiety, including her OCD, made her more attentive to pain sensation and likely contributes at least partially to pain-related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R. Douglas Hamm, a specialist in occupational medicine, provided an independent medical opinion on Ms. Kondor's functional ability and fitness to work, which was based in part on a Functional Capacity Evaluation ("FCE") performed by Louise Craig, a physiotherapist. I found Dr. Hamm's report of limited assistance for two reasons. First, for his assessment of functional ability he relied on Ms. Craig's FCE. I conclude that her FCE was flawed in ways outlined in the rebuttal report of Gary Worthington-White, an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With regard to Ms. Craig's FCE, I accept the following criticisms outlined by Mr. Worthington-White:</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Kondor did not provide consistent full effort during testing and, as a result, the test and evaluation is likely not a full and accurate representation of her physical abilities and work tolerances.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Kondor's reports of pain during the evaluation did not correspond with her actual demonstrated ability outlined in the functional pain scale utilized. In other words, she overrated the actual impact of her pain on her abilities.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Kondor's work is primarily administrative and, contrary to Ms. Craig's conclusion, she has the demonstrated ability to perform the basic job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Worthington-White does accept Ms. Craig's opinion that Ms. Kondor presents as deconditioned. He notes that if she could improve her general physical conditioning, she would likely improve her functional and activity tolerances. I agree with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Hamm did not have access to Dr. Whittal's reports in the preparation of his report. This fact grounds my second criticism of his report, insofar as it does not fully consider the impact Ms. Kondor's OCD symptoms have on her physical symptoms and ability to function at work. In that sense, Dr. Hamm's report is one dimensional; it examines Ms. Kondor's reported physical limitations without adequately considering the relationship between the physical symptoms and her pre-existing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Prior to setting out my conclusions on the crucial causation issues, I must comment on the way in which Ms. Kondor's post-Accident medical care was managed. I have already noted that Dr. Hatlelid made a number of recommendations to counsel regarding possible referrals to deal with chronic pain. However, up to the date of trial, Dr. Hatlelid had not made any of those recommendations to Ms. Kondor. She was not referred to a physiatrist, a chronic pain clinic, a kinesiologist, or a personal trainer. She was, however, referred to two psychiatrists and Dr. Whittal. It is evident that Dr. Hatlelid perceived that the best approach to treating Ms. Kondor's symptoms was through professionals dealing with the OCD and depression issues, rather than the professionals to whom individuals with chronic pain issues are usually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should note the defendants do not argue that the failure to seek such resources amounts to a failure to mitigate, and I make no such finding. However the treatment plan implemented is, at the very least, suggestive that Ms. Kondor's ongoing symptoms are closely tied to her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Having set out the background circumstances in some detail and my view of the various expert reports, I arrive at the following conclusions with regard to causation:</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Kondor suffered the physical injuries noted in Dr. Hatlelid's reports which I have summarized at paragraph 37. In addition, the Accident caused an increase in her anxiety and OCD symptoms.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Kondor's OCD symptoms were, at the time of the Accident, increasing as a result of the family stress impacting her life. She was also finding the challenges presented by the Coordinator position she had taken on two years earlier somewhat stressful. The combination of these factors elevated the OCD symptoms which were, in any event, chronic.</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overlay of the physical symptoms from the Accident on Ms. Kondor's pre-existing psychological condition has been problematic for her. Many accident victims would recover from such physical injuries within 6 to 18 months. However, the interplay between Ms. Kondor's OCD and her neck and back strain has led to a level of chronic pain. In other words, this is a classic "thin skull" situation.</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same time, some of her present difficulties were not caused by the Accident. A simple example of this is her perception that she is not performing well at work. This appears to be a persistent view held by Ms. Kondor. She believes that her work performance is below the standard expected of her and fears that children in the hospital will be harmed as a result of her substandard work. In fact, she performs her work at an extremely high level. She has never had a poor performance review, either before or after the Accident. All of her supervisors are effusive in describing her work ethic and product. Her decision to take a lower paying job in September 2012 was not necessitated by an inability to do work as a result of Accident injuries; she chose to change jobs because of her persistent obsessive concerns.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her care team to refer her to a physiatrist or a chronic pain clinic is unfortunate. I would expect that a multi-disciplinary approach to her chronic pain condition could have provided some earlier symptom relief. However, I accept the opinions of Drs. Hatlelid and Hamm that it is unlikely her pain symptoms will completely resolve in the future.</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Accident had not occurred, Ms. Kondor would have had an episode of severe depression and an increase in her OCD symptoms in 2012. The death of her father was very difficult for her. It occurred at a time when there was a great deal of stress at work. She would have taken the compassionate leave from work in any event.</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Ms. Kondor's pain symptoms will likely never fully resolve, I conclude there is a good possibility that the increase in OCD symptoms and depression caused by the Accident will resolve through counselling and treatment with Dr. Whittal. As noted by both Dr. Koch and Dr. Whittal, any decrease in the OCD symptoms will result in a corresponding improvement to her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also arrive at the following conclusions with regard to Ms. Kondor's future:</w:t>
      </w:r>
      <w:r>
        <w:rPr>
          <w:rFonts w:ascii="arial" w:eastAsia="arial" w:hAnsi="arial" w:cs="arial"/>
          <w:sz w:val="20"/>
          <w:lang w:val="en-US" w:eastAsia="en-US" w:bidi="ar-SA"/>
        </w:rPr>
        <w:cr/>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light of Ms. Kondor's struggles with OCD, I conclude there was little or no possibility she would have been promoted to a more senior position in Children's even if the Accident had never occurred. While this may initially appear inconsistent with the glowing reviews she received from supervisors, I arrive at the conclusion because of her profound and ongoing struggle with OCD. As she acknowledged, dealing with the symptoms was and is exhausting. Ms. Kondor has done an admirable job of hiding the extent to which she experiences intrusive thoughts and engages in compulsive behaviour from family and work colleagues. However, the impact of that struggle is evident from her home life. She was not able to manage and keep up the House. Even without the Accident, she would never be free from the ongoing struggle. As Dr. Whittal noted, unfortunately the pharmacy work environment provides fertile ground for Ms. Kondor's intrusive thoughts.</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reasoning which leads me to conclude that Ms. Kondor would not have been promoted leads me to conclude that it is very unlikely she would have worked past age 65, let alone to age 70 in the absence of the Accident. Ms. Kondor's ongoing struggle with OCD symptoms would have prevented her from continuing past the age where she will be entitled to maximum pension benefits. In my view it is very likely she would have retired between the age of 61 and 65 in any event of the Accident. Ms. Kondor's emphasis on career development, and her continued efforts in her present employment, lead me to conclude that even with her current injuries, she is likely to work into her 60s. However, given her injuries, it is unlikely she will be able to work as long as she might otherwise have been able. Further, she is restricted to working on a part-time basis.</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conclude there is some possibility that Ms. Kondor will be able to work more than 5.5 hours per week in the future. I would place that possibility in the range of 25%. I arrive at this conclusion in part because of the benefit she will receive through the continued counselling with Dr. Whittal. Although Dr. Hatlelid made a number of recommendations for future care, these were never passed on to Ms. Kondor, namely, attending a physiatrist, and working on flexibility and muscle strength with a kinesiologist or personal trainer. If she follows these recommendations, there is some chance she will increase her stamina and ability to work. However, it is more likely than not that she will be unable to return to full-time work for a sustained period. Of course, my conclusions about the possibility of her being promoted and the likelihood she would work past the age of 65 have been rendered virtual certainties with Ms. Kondor's chronic pain.</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Accident had not happened, I conclude she would have attempted to work full time until retirement. There would have been periods when she would have gone on leave as she did when her father passed away. There is also some chance she would have had to reduce her work hours to accommodate her ongoing struggles. This is a material risk because of her OCD symptoms and her ongoing, but unreasonable, concern about the quality of her work. Quite simply, there was a material risk she would have had a similar kind of reduction in her work hours because of the effect of life stressors on her chronic anxiety and OCD. I assess that risk at about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Having arrived at these conclusions on the nature and extent of Ms. Kondor's injuries and the relationship between her pre-existing condition and the symptoms caused by the Accident, I must consider the following damage questions:</w:t>
      </w:r>
      <w:r>
        <w:rPr>
          <w:rFonts w:ascii="arial" w:eastAsia="arial" w:hAnsi="arial" w:cs="arial"/>
          <w:sz w:val="20"/>
          <w:lang w:val="en-US" w:eastAsia="en-US" w:bidi="ar-SA"/>
        </w:rPr>
        <w:cr/>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much should Ms. Kondor be awarded for non-pecuniary damages?</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much should she be awarded for past income loss?</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much should she be awarded for loss of future income or earning capacity?</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much should she be awarded for cost of future care?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any amount be awarded for loss of housekeeping capacity?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factors to consider when assessing the amount to award for non-pecuniary damages are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In the circumstances here, the most important factors include the severity and duration of the injuries and the impact of those injuries on Ms. Kondor's lifestyle, and most significantly on her ability to work. She is suffering from chronic pain and is only 46 years old. The ongoing symptoms from the Accident will affect her enjoyment of life for many years. Of particular significance is that her ability to work has been impaired. Her chosen career as a hospital pharmacist was at the core of her identity. The limitation on her ability to work is a significant loss to Ms. Kondor. It is, however, tempered by the fact that she has continued to work and will likely be able to do so into her 60s.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Kondor's activities outside of work were somewhat limited prior to the Accident. She is still able to spend time with her mother, other family members, and friends. However, the quality of that time, especially the time she spends with her nephews and nieces has been negatively impacted. In addition, her two main recreational pastimes, knitting and gardening, have been restricted because of her pain. I have concluded it is unlikely she will ever be able to perform such activities in a manner equivalent to her pre-Accident level. These losses will have a measurable impact on her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Kondor submits that the appropriate award of non-pecuniary damages in these circumstances is $125,000. In support of this submission, she relies on the following cases: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Zhang v. Law</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2009 BCSC 991</w:t>
        </w:r>
      </w:hyperlink>
      <w:r>
        <w:rPr>
          <w:rFonts w:ascii="arial" w:eastAsia="arial" w:hAnsi="arial" w:cs="arial"/>
          <w:color w:val="000000"/>
          <w:sz w:val="20"/>
          <w:lang w:val="en-US" w:eastAsia="en-US" w:bidi="ar-SA"/>
        </w:rPr>
        <w:t>;</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2010 BCSC 770</w:t>
        </w:r>
      </w:hyperlink>
      <w:r>
        <w:rPr>
          <w:rFonts w:ascii="arial" w:eastAsia="arial" w:hAnsi="arial" w:cs="arial"/>
          <w:color w:val="000000"/>
          <w:sz w:val="20"/>
          <w:lang w:val="en-US" w:eastAsia="en-US" w:bidi="ar-SA"/>
        </w:rPr>
        <w:t xml:space="preserve"> (cost of future care award varied on appeal, </w:t>
      </w:r>
      <w:hyperlink r:id="rId542"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non-pecuniary damages were not a ground of appeal);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(cost of future care award varied on appeal, but non-pecuniary damages were not at issue and therefore were undisturbed: </w:t>
      </w:r>
      <w:hyperlink r:id="rId422"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 of these cases involve plaintiffs who developed chronic pain with some symptoms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submit that the appropriate range of damages is $75,000 to $80,000. In support of this, they rely on the following cases: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Beaudry v. Kishigweb</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2010 BCSC 915</w:t>
        </w:r>
      </w:hyperlink>
      <w:r>
        <w:rPr>
          <w:rFonts w:ascii="arial" w:eastAsia="arial" w:hAnsi="arial" w:cs="arial"/>
          <w:color w:val="000000"/>
          <w:sz w:val="20"/>
          <w:lang w:val="en-US" w:eastAsia="en-US" w:bidi="ar-SA"/>
        </w:rPr>
        <w: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Sendher v. Wong</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2014 BCSC 140</w:t>
        </w:r>
      </w:hyperlink>
      <w:r>
        <w:rPr>
          <w:rFonts w:ascii="arial" w:eastAsia="arial" w:hAnsi="arial" w:cs="arial"/>
          <w:color w:val="000000"/>
          <w:sz w:val="20"/>
          <w:lang w:val="en-US" w:eastAsia="en-US" w:bidi="ar-SA"/>
        </w:rPr>
        <w:t>;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Raikou</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They also say that in order to put Ms. Kondor in the position she would have been if the Accident had never taken place, a reduction of 40% should be applied to account for her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Eccelston</w:t>
      </w:r>
      <w:r>
        <w:rPr>
          <w:rFonts w:ascii="arial" w:eastAsia="arial" w:hAnsi="arial" w:cs="arial"/>
          <w:color w:val="000000"/>
          <w:sz w:val="20"/>
          <w:lang w:val="en-US" w:eastAsia="en-US" w:bidi="ar-SA"/>
        </w:rPr>
        <w:t xml:space="preserve">, the 49-year-old plaintiff was awarded $120,000 for non-pecuniary damages six years after suffering soft tissue injuries in a motor vehicle accident. She went on to develop chronic pain and depression as a result of the injuries suffered in the MVA. At the time of the trial the injuries were almost completely debilitating. She was unable to return to the workforce. In </w:t>
      </w:r>
      <w:r>
        <w:rPr>
          <w:rFonts w:ascii="arial" w:eastAsia="arial" w:hAnsi="arial" w:cs="arial"/>
          <w:i/>
          <w:color w:val="000000"/>
          <w:sz w:val="20"/>
          <w:lang w:val="en-US" w:eastAsia="en-US" w:bidi="ar-SA"/>
        </w:rPr>
        <w:t>Zhang</w:t>
      </w:r>
      <w:r>
        <w:rPr>
          <w:rFonts w:ascii="arial" w:eastAsia="arial" w:hAnsi="arial" w:cs="arial"/>
          <w:color w:val="000000"/>
          <w:sz w:val="20"/>
          <w:lang w:val="en-US" w:eastAsia="en-US" w:bidi="ar-SA"/>
        </w:rPr>
        <w:t>, the plaintiff was awarded $125,000 eight years after an accident for injuries which included soft tissue injuries, chronic pain, depression, and a mild traumatic brain injury. She was unable to pursue any of the many recreational activities she took part in before the accident and had a limited capacity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Shapiro</w:t>
      </w:r>
      <w:r>
        <w:rPr>
          <w:rFonts w:ascii="arial" w:eastAsia="arial" w:hAnsi="arial" w:cs="arial"/>
          <w:color w:val="000000"/>
          <w:sz w:val="20"/>
          <w:lang w:val="en-US" w:eastAsia="en-US" w:bidi="ar-SA"/>
        </w:rPr>
        <w:t xml:space="preserve">, the 29-year-old plaintiff was left with a constellation of chronic pain and mood disorder symptoms that meant she would face "a lifetime of struggling with pain and fatigue in everything she does". The decision with the most similarity to the present case is </w:t>
      </w:r>
      <w:r>
        <w:rPr>
          <w:rFonts w:ascii="arial" w:eastAsia="arial" w:hAnsi="arial" w:cs="arial"/>
          <w:i/>
          <w:color w:val="000000"/>
          <w:sz w:val="20"/>
          <w:lang w:val="en-US" w:eastAsia="en-US" w:bidi="ar-SA"/>
        </w:rPr>
        <w:t>Tsalamandris</w:t>
      </w:r>
      <w:r>
        <w:rPr>
          <w:rFonts w:ascii="arial" w:eastAsia="arial" w:hAnsi="arial" w:cs="arial"/>
          <w:color w:val="000000"/>
          <w:sz w:val="20"/>
          <w:lang w:val="en-US" w:eastAsia="en-US" w:bidi="ar-SA"/>
        </w:rPr>
        <w:t>. The plaintiff was a 47-year-old overachiever who suffered from debilitating chronic pain and depressive disorder as a result of injuries sustained in two motor vehicle accidents. She was awarded $110,000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cases cited by the defendants are of less assistance. The circumstances of the plaintiff in </w:t>
      </w:r>
      <w:r>
        <w:rPr>
          <w:rFonts w:ascii="arial" w:eastAsia="arial" w:hAnsi="arial" w:cs="arial"/>
          <w:i/>
          <w:color w:val="000000"/>
          <w:sz w:val="20"/>
          <w:lang w:val="en-US" w:eastAsia="en-US" w:bidi="ar-SA"/>
        </w:rPr>
        <w:t>Raikou</w:t>
      </w:r>
      <w:r>
        <w:rPr>
          <w:rFonts w:ascii="arial" w:eastAsia="arial" w:hAnsi="arial" w:cs="arial"/>
          <w:color w:val="000000"/>
          <w:sz w:val="20"/>
          <w:lang w:val="en-US" w:eastAsia="en-US" w:bidi="ar-SA"/>
        </w:rPr>
        <w:t xml:space="preserve"> are not similar to those of Ms. Kondor. The decision in </w:t>
      </w:r>
      <w:r>
        <w:rPr>
          <w:rFonts w:ascii="arial" w:eastAsia="arial" w:hAnsi="arial" w:cs="arial"/>
          <w:i/>
          <w:color w:val="000000"/>
          <w:sz w:val="20"/>
          <w:lang w:val="en-US" w:eastAsia="en-US" w:bidi="ar-SA"/>
        </w:rPr>
        <w:t>Beaudry</w:t>
      </w:r>
      <w:r>
        <w:rPr>
          <w:rFonts w:ascii="arial" w:eastAsia="arial" w:hAnsi="arial" w:cs="arial"/>
          <w:color w:val="000000"/>
          <w:sz w:val="20"/>
          <w:lang w:val="en-US" w:eastAsia="en-US" w:bidi="ar-SA"/>
        </w:rPr>
        <w:t xml:space="preserve"> provides fewer details of the plaintiff's circumstances. It is evident the plaintiff in that case suffered injuries with some similarity to those of Ms. Kondor, but it appears the consequences to her work life were not as dramatic as those suffered here. Further, the long-term consequences were uncertain. The decision in </w:t>
      </w:r>
      <w:r>
        <w:rPr>
          <w:rFonts w:ascii="arial" w:eastAsia="arial" w:hAnsi="arial" w:cs="arial"/>
          <w:i/>
          <w:color w:val="000000"/>
          <w:sz w:val="20"/>
          <w:lang w:val="en-US" w:eastAsia="en-US" w:bidi="ar-SA"/>
        </w:rPr>
        <w:t>Sendher</w:t>
      </w:r>
      <w:r>
        <w:rPr>
          <w:rFonts w:ascii="arial" w:eastAsia="arial" w:hAnsi="arial" w:cs="arial"/>
          <w:color w:val="000000"/>
          <w:sz w:val="20"/>
          <w:lang w:val="en-US" w:eastAsia="en-US" w:bidi="ar-SA"/>
        </w:rPr>
        <w:t xml:space="preserve"> is of little assistance, simply because of the complicated circumstances of that plaintiff, a 35-year-old female. The assessment of damages involved injuries sustained in four motor vehicle accidents and the court found the plaintiff exaggerated her symptoms. Further, the analysis was complicated by a finding that the plaintiff failed to mitigate. The court also had great difficulty in assessing the plaintiff's prognosis. The award of $75,000 for non-pecuniary damages, reduced by 20%, provides little guidance for the present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Awards in other cases involving similar injuries to plaintiffs in similar circumstances provide a useful guide to the court. However, I must make an award that is tailored to the specific circumstances of Ms. Kondor. Of course, the amount awarded must be fair to both parties: </w:t>
      </w:r>
      <w:r>
        <w:rPr>
          <w:rFonts w:ascii="arial" w:eastAsia="arial" w:hAnsi="arial" w:cs="arial"/>
          <w:i/>
          <w:color w:val="000000"/>
          <w:sz w:val="20"/>
          <w:lang w:val="en-US" w:eastAsia="en-US" w:bidi="ar-SA"/>
        </w:rPr>
        <w:t>Miller v. Lawlor</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2012 BCSC 387</w:t>
        </w:r>
      </w:hyperlink>
      <w:r>
        <w:rPr>
          <w:rFonts w:ascii="arial" w:eastAsia="arial" w:hAnsi="arial" w:cs="arial"/>
          <w:color w:val="000000"/>
          <w:sz w:val="20"/>
          <w:lang w:val="en-US" w:eastAsia="en-US" w:bidi="ar-SA"/>
        </w:rPr>
        <w:t xml:space="preserve"> at para. 109, citing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In these circumstances I conclude that a fair amount to award for non-pecuniary damages, taking into account Ms. Kondor's particular circumstances and having regard to similar cases, is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However, I am also of the view this award must be reduced to take into account my conclusions on the relationship between Ms. Kondor's pre-existing condition and the injuries suffered in the Accident. As I have noted, she would have suffered depression and anxiety as a result of her father's death in any event of the Accident. Similarly, independently of the Accident, she would have had an increase in anxiety and OCD symptoms as a result of the difficulties at work arising from her increased responsibilities and the changes in structure in her workplace. These circumstances created a material risk that Ms. Kondor would have difficulty at work and trouble with her daily and recreational activities even if the Accident had not occurred. In other words, her loss of enjoyment of life has been caused, to some extent, by her pre-existing psychological condition. I find that in order to place her in the position she would have been but for the Accident, I must reduce the award by 15%. Accordingly, the amount awarded for non-pecuniary damages is $93,500.</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parties are not far apart on their positions on the amount of Ms. Kondor's past income loss. The sole issue is whether her reduction in hourly wage in September 2012 when she accepted a lower paying position was caused by the injuries she suffered in the Accident. I have concluded the decision was not caused by the Accident. It was caused by Ms. Kondor's perception she was not working at a level sufficient to fulfill her duties. She was of the view she could not fulfill her duties because of the Accident symptoms she was experiencing. However, there is no support for this position. Ms. Kondor was performing her supervisory position fully to the satisfaction of her employer. She continued to be regarded as an exemplary employee and received excellent reviews. Her decision to take the lower paying position was motivated by her anxiety and her skewed perception of her own performance. Her perception that she could not do the work was incorrect and unreasonable. It was driven by what Dr. Whittal described as Ms. Kondor's excessively high level of responsibility and concern for others. This perception was not caused by any injury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Having concluded that Ms. Kondor is not entitled to recover the wage difference arising because of her change to the lower paid position in 2012 means that Ms. Kondor is entitled to damages of $80,321.47 for past wage loss to the trial date, plus $1,538.87 for prejudgment interest. This amounts to $81,860.34. I have accepted the defendants' calculations of those amounts.</w:t>
      </w:r>
      <w:r>
        <w:rPr>
          <w:rFonts w:ascii="arial" w:eastAsia="arial" w:hAnsi="arial" w:cs="arial"/>
          <w:sz w:val="20"/>
          <w:lang w:val="en-US" w:eastAsia="en-US" w:bidi="ar-SA"/>
        </w:rPr>
        <w:cr/>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 loss of future earning capacity may be awarded where the plaintiff has established a "real and substantial possibility of a future event leading to an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The loss is to be assessed based on the probability of the occurrence of future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 claim for loss of future earning capacity engages two key questions:</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by his or her injuries; and, if so</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compensation should be awarded for the resulting financial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assessment will necessarily involve a comparison between what the plaintiff would probably have earned if the Accident had never occurred and what she probably will earn having suffered the injuries in the Accident. However,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In essence, the court must endeavour, insofar as possible, to put the plaintiff in the position she would have been in, if not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It is possible to assess the future loss of income using either an earnings approach or a capital asset approach. The appropriate approach will depend on the circumstances of the case. Whichever approach is used, it is important to calculate the loss taking into account all negative and possible contingencies. Of course, the assessment is not a mathematical calculation; it is an exercise in judgment based on all relevant evidence: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use of a multiplier of annual income is one possible method of assessing the future loss. An economist's projections based on multipliers can be of assistance to the court. It may be useful in appropriate circumstances to start the analysis of future loss with reference to projections based on multipliers: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is no doubt the evidence has established a real and substantial possibility that Ms. Kondor will suffer a future loss of income as a result of the injuries suffered in the Accident. Given the circumstances of this case, the loss must be assessed by comparing what Ms. Kondor would probably have earned without the Accident with what she will probably earn in the future. This requires the court to consider two hypothetical futures, those being the future she might reasonably have expected to live in the absence of the Accident, and that which she will live now, having sustained her injuries. I have set out my conclusions on how Ms. Kondor's work future would probably have unfolded if she had not been injured in the Accident at para. 73 of these reasons. I have also set out my conclusions on how her future will probably unfold given her constellation of symptoms and ongoing psychological challenges. My conclusions that she will likely continue to work into her 60s and that she likely would have been able to do so full time without the Accident, make this an ideal case to start the assessment by using the earnings approach. However, a pure loss of earnings approach is not possible in these circumstances, given the number of contingencies that could affect either hypothetical future scenario. In these circumstances I will start the analysis by utilizing the future income multipliers provided by Mr. Kevin Turnbull, the chartered accountant and economist who provided opinion evidence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order to use the multipliers, I must first arrive at the probable figure for Ms. Kondor's annual loss of income. I accept the approach to the calculation of this figure put forward by the defendants. That is to say, it is to be based on the assumption Ms. Kondor will continue to work 5.5 hours per day or 27.5 hours per week. I note that Mr. Turnbull's calculations utilized a much shorter work week of 19.5 hours based on the assumption that Ms. Kondor's future work hours would be similar to those she worked during a short period of time in late 2013. That assumption is clearly inconsistent with Ms. Kondor's actual work history since the Accident. I also accept the defendants' submission that the appropriate wage figure to use post-Accident is $58.67 per hour. This figure is the wage rate she received in her position as Supervisor of Dispensary/ Parenteral services, and not the lower wage rate Ms. Kondor was earning at the trial date. Using these assumptions, Ms. Kondor's annual loss of income is $30,473.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Using the multipliers provided by Mr. Turnbull for each $1,000 of lost income based on the new discount rate of 1.5% and the annual income loss of $30,473, produces the following income loss amounts for retirement ages of 61-64: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1778"/>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Retirement Age</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Multiplier</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Income Loss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1464"/>
        <w:gridCol w:w="1987"/>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 years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13.764</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$419,430</w:t>
            </w:r>
          </w:p>
        </w:tc>
        <w:tc>
          <w:tcPr>
            <w:tcW w:w="522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 years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14.514</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$442,285</w:t>
            </w:r>
          </w:p>
        </w:tc>
        <w:tc>
          <w:tcPr>
            <w:tcW w:w="522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 years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15.250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$464,713</w:t>
            </w:r>
          </w:p>
        </w:tc>
        <w:tc>
          <w:tcPr>
            <w:tcW w:w="522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 years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15.970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$486,654</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This is a helpful starting point to guide the assessment of the future loss. However, the numerous contingencies, both positive and negative, in both future scenarios mean that I must take a global view of the evidence to assess the fairness of the future award. Upon doing so, I conclude there is a much better chance that Ms. Kondor would have worked longer before retiring without the Accident than she will now, suffering with her current chronic pain symptoms. That probability means that the use of the multiplier applied to an annual earnings loss, while helpful, likely understates her total income loss. It is simply a matter of fairness that the loss of capacity should include an amount for those additional years of earning capacity of which she has likely been deprived. Accordingly, I find that a fair assessment of her loss of future earning capacity is $550,000.</w:t>
      </w:r>
      <w:r>
        <w:rPr>
          <w:rFonts w:ascii="arial" w:eastAsia="arial" w:hAnsi="arial" w:cs="arial"/>
          <w:sz w:val="20"/>
          <w:lang w:val="en-US" w:eastAsia="en-US" w:bidi="ar-SA"/>
        </w:rPr>
        <w:cr/>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Kondor will continue to require treatment from Dr. Whittal. Ms. Kondor asks for an award of approximately $4,100, based on Dr. Whittal's recommendation as to the number of future treatments. The defendants dispute that the need for future therapy is related to the Accident. In the alternative, they say that Ms. Kondor would have required some of that counselling in any event and suggest the figure of $2,500 would be appropriate. I accept Ms. Kondor would have required further treatment from Dr. Whittal at some future point in time; however, the timing of her current need was to a large extent caused by the Accident. I award $3,500 for that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defendants agree that an award of $15,000 for attendance at a pain clinic is appropriate. Accordingly, I award $15,000 for that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Kondor seeks an award for the cost of 12 physiotherapy treatments a year for 25 years. Ms. Kondor says the physiotherapy provides her with limited pain relief and improvement in range of motion. However, it has not improved the plaintiff's conditioning. Thus the defendants, by contrast, suggest this treatment has provided her only with temporary relief of symptoms. Accordingly, the defendants say she should not receive an award for a treatment which is largely ineffective. I agree that the limited benefit of the physiotherapy is such that Ms. Kondor has not satisfied the burden of proving it is a required future care expense. However, she will be attending a pain clinic and, it is very likely she will see a physiatrist based on the evidence presented at trial. On that basis, I can fairly conclude that she will continue with some form of personal training or physiotherapy for some time in the future. The defendants suggest the amount of $720, which represents the cost for one year of treatment, is a fair amount for such an award. In my view that is inadequate. I award the sum of $3,500 for future physiotherapy or similar physical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total award for cost of future care is $22,000.</w:t>
      </w:r>
      <w:r>
        <w:rPr>
          <w:rFonts w:ascii="arial" w:eastAsia="arial" w:hAnsi="arial" w:cs="arial"/>
          <w:sz w:val="20"/>
          <w:lang w:val="en-US" w:eastAsia="en-US" w:bidi="ar-SA"/>
        </w:rPr>
        <w:cr/>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seeks an award of $20,000 under this head of damages. I decline to award any amount for loss of housekeeping capacity. As Dr. Hatlelid noted in his second report, Ms. Kondor is able to do all of her housework, cooking, and cleaning. In addition, she provides assistance to her mother with these tasks. However, Dr. Hatlelid did note that Ms. Kondor must pace herself to perform these chores. While she can no longer do all of the gardening she did before the Accident, it is unlikely she will need gardening assistance in the future because of the change in her living circumstances. She is able to do some gardening to assist her mother and it is likely that her mother's house will be sold in the near future. She is no longer living in the House which will also have to be sold. In these circumstances, the appropriate way to approach her loss of ability to garden is to take that into account when arriving at a fair award for non-pecuniary damages. I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summary, I award Ms. Kondor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$ 93,500.00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81,860.34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550,000.00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22,000.00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15,000.00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$762,360.34</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Kondor is also entitled to costs at Scale B. If any offers made by either party are relevant to the costs award and the parties are unable to agree on costs, they may arrange through trial scheduling to make written submissions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5" style="position:absolute;z-index:2517852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Leslie v. Dool, [2019] I.L.R. para. M-3145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Winteringham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April 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M1648915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[2019] I.L.R. para. M-3145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[2019] B.C.J. No. 584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2019 BCSC 518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Sophie Melissa Leslie v. Kenneth Clifford Dool, Chad Douglas Leslie, Jenna Nicole Tewinkel; Insurance Corporation of British Columbia (Third Party)</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6"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7" w:name="Keywords_15"/>
      <w:bookmarkEnd w:id="127"/>
      <w:r>
        <w:rPr>
          <w:rFonts w:ascii="arial" w:eastAsia="arial" w:hAnsi="arial" w:cs="arial"/>
          <w:b/>
          <w:color w:val="000000"/>
          <w:sz w:val="20"/>
          <w:lang w:val="en-US" w:eastAsia="en-US" w:bidi="ar-SA"/>
        </w:rPr>
        <w:t>Tort, motor vehicle — Personal injury damages — Breast pain — Chronic pain — Plaintiff was involved in motor vehicle accident in June 2014, at age 23 — At time of accident, plaintiff was nursing student — Six days before accident, plaintiff had undergone bilateral breast augmentation surgery — When accident took place, plaintiff felt seatbelt tighten against left breast — Plaintiff experienced ongoing pain in left breast and underwent two corrective surgeries — Plaintiff graduated with nursing degree in May 2016 and began working full time — Plaintiff brought action for damages related to personal injuries — Court found plaintiff suffered injury to left breast which required corrective surgeries and resulted in chronic pain — Plaintiff also suffered mild psychological condition and her pre-existing back injury was temporarily exacerbated — Breast pain was likely permanent but there was possibility of improvement with treatment — Breast pain impacted plaintiff's ability to function as nurse and took toll on her energy levels — Court awarded $125,000 in non-pecuniary damages — Parties agreed to award of $1,000 for missed work while recovering from second corrective surgery — Evidence was that plaintiff would be unable to sustain current pace of work much longer — Court found plaintiff would be able to work at 85 per cent of full-time capacity to age 67 — Court awarded loss of future earning capacity at $190,000 — Court awarded $25,000 in costs of future care and $21,000 for attendance at pain clinic — Action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8" w:name="Case Summary_14"/>
            <w:bookmarkEnd w:id="128"/>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involved in a rear-ending motor vehicle accident in June 2014. At the time of the accident, she was 23 years old, was a nursing student, and was working at Boston Pizza. Before the accident, the plaintiff experienced a number of seizures and had intermittent back pain which she claimed did not affect her daily activities. Six days before the accident, the plaintiff had undergone bilateral breast augmentation surgery. When the accident took place, the plaintiff felt her seatbelt tighten against her left breast and she felt an immediate pain. The plaintiff graduated with a nursing degree in May 2016 and began working full-time. The plaintiff experienced pain in her left breast and felt pain when performing activities that involved the use of her chest muscles. She underwent two corrective surgeries which corrected cosmetic issues but did not relieve her breast pain. The plaintiff did not take any days off work other than recovery days after her corrective surgeries. The plaintiff claimed she also experienced back pain after the accident that resolved within a couple of months and anxiety. The plaintiff brought an action for damages related to her personal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9" w:name="Holdings of Court_11"/>
            <w:bookmarkEnd w:id="129"/>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accepted that the plaintiff suffered an injury to her left breast which required corrective surgeries and resulted in chronic pain. The plaintiff also suffered a mild psychological condition and her pre-existing back injury was exacerbated. The breast pain was likely permanent but there was a possibility of improvement with lidocaine injections and attendance at a multi-disciplinary pain clinic. The breast pain impacted the plaintiff's ability to function as a nurse and took a toll on her energy levels. The plaintiff required the use of her days off work to recuperate from her shifts. The Court awarded $125,000 for non-pecuniary damages. The Court did not find that the plaintiff failed to mitigate by not attending a pain clinic sooner. It considered that the plaintiff has seen practitioners and had engaged in various treatments, such as the corrective surgeries.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agreed to an award of $1,000 for missed work while recovering from the second corrective surgery. Although the plaintiff had been able to continue working full-time, the evidence was that she would be unable to sustain her current pace much longer. The Court found that the plaintiff would be able to work at 85 per cent of full-time capacity to age 67. It awarded loss of future earning capacity at $190,000. The plaintiff was further awarded $25,000 in costs of future care, $21,000 for attendance at a pain clinic, and special damages of $15,066. The total award was $377,066.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0" w:name="Counsel_24"/>
      <w:bookmarkEnd w:id="1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Byl and B. Quinn for the plaintiff; J. Haines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1" w:name="Judgment_24"/>
      <w:bookmarkEnd w:id="131"/>
      <w:r>
        <w:pict>
          <v:line id="_x0000_s1128" style="position:absolute;z-index:2517862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Background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Injuries and what followed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Medical Evidence</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experts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Christine Kurz</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Cecilia Siegling</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Jugpal Arneja</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Gerard Kerr</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Michael Boucher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ICBC's experts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Nancy Van Laeken</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Paul Latimer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ASSESSMENT AND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Injuries and diagnosis/prognosis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Past Wage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Loss of Future Earning Capacity</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Future Earning Capacity - Legal Principles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a loss of earning capacity been proven?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of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2" w:name="WINTERINGHAM J."/>
            <w:bookmarkEnd w:id="132"/>
            <w:r>
              <w:rPr>
                <w:rFonts w:ascii="arial" w:eastAsia="arial" w:hAnsi="arial" w:cs="arial"/>
                <w:b/>
                <w:color w:val="000000"/>
                <w:sz w:val="30"/>
                <w:lang w:val="en-US" w:eastAsia="en-US" w:bidi="ar-SA"/>
              </w:rPr>
              <w:t>WINTERINGHAM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29, 2014, Sophie Melissa Leslie</w:t>
      </w:r>
      <w:bookmarkStart w:id="133"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33"/>
      <w:r>
        <w:rPr>
          <w:rFonts w:ascii="arial" w:eastAsia="arial" w:hAnsi="arial" w:cs="arial"/>
          <w:color w:val="000000"/>
          <w:sz w:val="20"/>
          <w:lang w:val="en-US" w:eastAsia="en-US" w:bidi="ar-SA"/>
        </w:rPr>
        <w:t xml:space="preserve"> was a rear-seat passenger in a vehicle driven by her brother when it was struck by another vehicle, driven by the defendant, Kenneth Dool. This minor impact collision was complicated because six days before the accident, Ms. Leslie had bilateral breast augmentation surgery. She was recovering from this surgery when the accident occurred. The seatbelt tightened around her left breast, resulting in a persistent injury. The plaintiff has required corrective surgeries and says she is suffering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did not participate in the litigation. The third party, Insurance Corporation of British Columbia ("ICBC") defended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evidence elicited at trial related almost exclusively to damages. ICBC asks the court for a determination of liability although takes no position with respect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ICBC does not dispute that the accident caused Ms. Leslie's injuries. However, the parties presented vastly different quantum assessments for the injuries suffered by Ms. Leslie. Ms. Leslie seeks damages close to $1 million. ICBC says Ms. Leslie is entitled to damages, including special and general damages totalling about $100,000. The most significant issue between the parties is the plaintiff's claim for loss of future earning capacity and future care costs. Much of this dispute relates to ICBC's assertion that the plaintiff's ongoing pain and suffering relates to a pre-existing back injury and not to the breast injury as alleged. This, ICBC says, requires the court to embark on a credibility assessment to critically examine the plaintiff's reports to various practitioners and her testimony in court. Also in relation to the future earning capacity claim, ICBC contends the plaintiff has failed to prove there is a realistic possibility she will be less able to compete in the market place. In addition, ICBC submits the plaintiff failed to mitigate in part, because she is yet to embark upon the prescribed course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a nursing student at the time of the accident. She commenced her professional life as a nurse two years after the accident. The earning capacity claim is one based on her contention that the totality of the evidence presented in this case demonstrates that there is a real and substantial possibility of future loss. This is so despite the fact that she had missed minimal time off work at the time of the trial. She submits that the medical evidence establishes that her ability to earn income in the future is diminished because of the injuries she sustained. In other words, she says even though she has been working full-time as a nurse and she intends to continue to work as a nurse, her ability to work to her fullest capacity has been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and her brother testified about the circumstances surrounding the accident. In addition, the plaintiff tendered a video-recording depicting the collision. ICBC did not challenge the evidence tendered relating to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With respect to the accident itself, Ms. Leslie testified that she was a passenger seated in the rear and on the right hand side of a Ford Escape. Chad Leslie (her brother) and his partner were going to the store to shop for some items and Ms. Leslie was accompanying them. At the time of the accident, their vehicle was stopped at the Canadian Tire Gas Station in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Leslie recalled the events leading up to the collision but was unable to testify about the events thereafter. That is because she suffered from a non-epileptic pseudo-seizure in the moments immediately following the accident. She has had these seizures since childhood, although she had not experienced one for many years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Chad Leslie described the collision. He testified that a large motor home appeared to be blocking the driver of a Chevrolet truck.</w:t>
      </w:r>
      <w:bookmarkStart w:id="134"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34"/>
      <w:r>
        <w:rPr>
          <w:rFonts w:ascii="arial" w:eastAsia="arial" w:hAnsi="arial" w:cs="arial"/>
          <w:color w:val="000000"/>
          <w:sz w:val="20"/>
          <w:lang w:val="en-US" w:eastAsia="en-US" w:bidi="ar-SA"/>
        </w:rPr>
        <w:t xml:space="preserve"> The driver attempted to make his way around the obstacle by reversing his vehicle three to five car lengths. Chad Leslie thought the driver saw his vehicle but he did not. As such, the collision occurred when the Chevrolet backed into Mr. Leslie's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Having observed the video-recording of the collision and considering the testimony of Chad Leslie and the testimony of Sophie Leslie and the circumstances presented here, I have no difficulty concluding that the accident was caused by the defendant Dool. Accordingly, I find the defendant Dool 100%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ICBC agrees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Ms. Leslie's breast injury. ICBC frames the issues for the court's determination in this way:</w:t>
      </w:r>
      <w:r>
        <w:rPr>
          <w:rFonts w:ascii="arial" w:eastAsia="arial" w:hAnsi="arial" w:cs="arial"/>
          <w:sz w:val="20"/>
          <w:lang w:val="en-US" w:eastAsia="en-US" w:bidi="ar-SA"/>
        </w:rPr>
        <w:cr/>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credibility and reliability of the plaintiff's reporting regarding her left breast and back/neck symptoms and resulting limitations.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prognosis for future improvement of the plaintiff's left breast symptoms; and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functional effects of the plaintiff's breast symptoms and pre-existing back/neck condition including any future limitation on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ICBC submits that a determination must be made regarding the admissibility of, and weight to be accorded to,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To examine each of these issues, I will first review the evidence of Ms. Leslie and her spouse, mother and brother. I will then examine the medical evidence and conduct the necessary credibility assessment. Finally, I will turn to my assessment and conclusions on the damages claims advanced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Leslie was born in 1991 and had just turned 28 years old at the time of trial. She married Matthew Aikens in 2017 and at the time of the trial, she was 33 weeks pregnant with their first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Her parents, both retired police officers, raised their four children in 100 Mile House and later, Prince George. By all accounts, Ms. Leslie was a good student, played on various sports teams and started working part-time at Booster Juice at the age of 16 years. She worked at Boston Pizza from 2009 through 2016, to help put herself through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Following graduation, she commenced university, intending to become a teacher. She did not do well in this program and ended up taking a year or two away from post-secondary studies. After traveling, she returned to her studies, enrolling at a college, then transferring to the University of Northern British Columbia to complete the nursing program. She put herself through school by working at Boston Pizza and graduated with a Bachelor of Science in Nursing in May 2016. Almost immediately thereafter, she began working full-time (casual) for Northern Health and obtained a full-time permanent position in January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touch on Ms. Leslie's medical history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about grade 5 or 6, she experienced the first of a number of seizures as a child. She called these episodes non-epileptic pseudo-seizures. She testified that she had experienced two such episodes after high-school graduation, once while working at Boston Pizza and the second following this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Leslie also experienced back pain which she believed was caused by an incident in a swimming pool when she was in elementary school. She testified she has experienced intermittent back pain since that incident. She also described an incident at Boston Pizza where she hurt her back when she tried to stand on some crates after drinking alcohol. She testified that her back has not troubled her too much in the past three or four years. She attributes the decrease in back pain to the fact that she now works out less than she did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Other than the pseudo-seizures and intermittent back pain, Ms. Leslie stated that she was in generally good physical condition. In the years before the accident, she testified that she exercised five or six times per week. She would run, bike-ride, go to the gym or use her at-home workout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Leslie's mother and brother testified about Ms. Leslie's personality and physical activity before the accident. Both described an energetic and physically active individual. I will address their observations in more detail when I examine Ms. Leslie's post-accident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describe now the elective bilateral breast augmentation surgery Ms. Leslie had six days prior to the accident. Dr. Christine Kurz, a plastic surgeon, performed the surgery at G.R. Baker Memorial Hospital in Quesnel. ICBC does not take issue with the surgery (or the corrective surgeries that were performed thereafter) and agrees that it was an "uneventful surgery and without complication." In other words, ICBC does not suggest any intervening cause attributable to Ms. Leslie's current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Leslie was asked to describe her condition from the time of the surgery to the accident. She testified that she experienced a lot of pain when she first came out of surgery and that she needed to take pain medication to deal with it. She testified her pain subsided over the next few days. By the time of the accident, Ms. Leslie testified that the pain was "barely there."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accident occurred at the Canadian Tire Gas Station when the defendant Dool backed his vehicle into the Ford Escape driven by Chad Leslie. Ms. Leslie was wearing a seatbelt at the time of impact and she felt it tighten against her left breast. She testified that she noticed an immediate sharp and burning pain to her left breast. Because of the seizure, she has no recollection of the events that followed that day (or the 24 hours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Leslie testified that he heard his sister say, "my chest hurts" after the collision. He described his own dealings with the other driver and that his spouse and his sister went to the other vehicle to check on an infant who had been in the other car. Chad Leslie then described seeing his sister sitting on the curb and holding her head. As he approached her, she said she felt like she was going to have a seizure. Having observed the seizures when they were children, Mr. Leslie had some awareness about the seizures. They moved Ms. Leslie to the Ford Escape and he described her convulsing. Ms. Leslie was taken by ambulance to the University Hospital of Northern B.C. ("UHNBC"). She was discharged later that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Injuries and what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Leslie's first memory after the accident was the following day when she texted Dr. Kurz. In her text, she reported to Dr. Kurz that she had a lot of pain in her chest. At Ms. Leslie's residence, Dr. Kurz examined her breasts. The examination did not reveal anything at that time. To assist with the pain, Dr. Kurz prescribed another round of oxycodone.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July 03, 2014, Ms. Leslie reported that she was doing better but "they are still pretty sore now." By text dated July 14, 2014, Ms. Leslie relayed to Dr. Kurz that she was pleased with her surgery and was "very happy with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Over the next three months, Ms. Leslie testified that the pain to her right breast was barely there. However, she explained that her left breast seemed slow to recover. She described the ongoing noticeable pain. In terms of her work at Boston Pizza, she testified that she was able to continue working but she needed to compensate for the pain in her left breast. She complained that her left nipple had remained "hypersensitive" to the point that water drops from the shower caused pain. Despite the pain subsiding in her right breast (within 5 - 6 weeks), her left breast did not seem to be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middle of September 2014, Ms. Leslie was about to have a shower. Before stepping into the shower, she flexed her chest muscles in front of the mirror. It was during this exercise that she observed an indentation on her left breast. She contacted Dr. Kurz immediately and reported her observations. She also reported the ongoing pain to her left breast.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Kurz examined Ms. Leslie and initially recommended massage therapy. Pursuant to this recommendation, Ms. Leslie went to a number of massage therapy sessions. She testified that she found the massage treatment to be very painful. Ms. Leslie followed Dr. Kurz's recommendation regarding home massage. She testified that she performed self-massage twice daily but this was also very painful and difficult to tolerate.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Leslie saw Dr. Kurz for a six-month follow up appointment on January 26, 2015. Following this appointment, Dr. Kurz recommended the use of a breast band to assist with symmetry. Ms. Leslie used the breast band as recommended for a couple of weeks. However, she found it painful and was unable to detect any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Between September 2014 and January 2015, Ms. Leslie testified about her condition. She said that she was still experiencing pain to her left breast. However, she testified she was able to somewhat accommodate for her injury because she was in school and working at Boston Pizza. She was studying and not engaging her chest, so the pain although present, was manageable.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Described in more detail below, Ms. Leslie undertook several corrective surgeries. Before doing so, however, she began her first clinical practicum at the Fort St. John Hospital. In her closing submission, counsel for the plaintiff described the experience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was the first time in her training that she was exposed to the physical demands implicit in the nursing profession. That is where she realized that the constant demands of patient management, including transfers, boosting them in their beds, rolling them, dressing them and even picking them up off the floor was creating difficulty for her. Anything that involved the engagement of the left chest muscle was causing a substantial aggravation of her breast pain... the seriousness of her problems in her left chest area became apparent during this clinical practicum. She described in detail the physical demands that a nurse is put to, including the rolling, transferring, boosting, toileting and repositioning of patients. She testified that 70% of her work is spent on these type of activities. She also testified that she engages her chest muscles 100 % of the time when she is involved in these sorts of physical maneuvers.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spring of 2016, Ms. Leslie completed her second practicum, on the surgical floor at UHNBC. She was required to work 48-hour rotations with two 12-hour days followed by two 12-hour night shifts, followed by four days off. She testified that at the end of the rotation, her pain was so severe that she could do nothing but rest in the first two of her four days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Leslie testified that the second corrective surgery assisted cosmetically but did not resolve her left breast pain. She testified that she has dealt with the pain by taking various forms of pain medication. Before her pregnancy, she testified that she would medicate with two Tylenol 3s every four to six hours when she was not working. A chart indicating Ms. Leslie's drug use over the past four years was filed as an exhibit at trial. Dr. Cecilia Siegling testified about her concerns relating to drug addiction due to the amount of pain medication Ms. Leslie was 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Leslie described the demands of the nursing profession, including an incident where a patient kicked her and struck her left chest area. Ms. Leslie testified she missed one day of work as a result of this incident. There was also a stabbing incident that occurred while she was nursing. This was a traumatic incident and required Ms. Leslie to take a six-week leave from nursing. I mention these incidents of violence because of the minor psychological condition raised on the evidence and the parties' approach to any psychological injury connected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respect to the level of pain she currently experiences, Ms. Leslie testified that she has not had a pain-free day since the accident. She says the pain is at its worst when she is working because she cannot take any pain medication while on shift. She described the pain as starting in the incision and then traveling through the middle of the left breast to a point of throbbing. She explained how she has managed to keep going at work, stating, "I am 27 years old. I am determined to stay in the workforce and I get through it because I refuse to let it get me..." She added that it takes significant effort on her part to work through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During cross-examination, Ms. Leslie rejected the suggestion that "if the pain stayed the way it is now," she would be able to maintain employment as a nurse. She was presented with the following exchange from the examination for discovery conducted on August 10,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6"/>
        <w:gridCol w:w="826"/>
        <w:gridCol w:w="238"/>
        <w:gridCol w:w="7844"/>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So if the pain stayed the way it was now </w:t>
            </w:r>
            <w:r>
              <w:rPr>
                <w:rFonts w:ascii="arial" w:eastAsia="arial" w:hAnsi="arial" w:cs="arial"/>
                <w:color w:val="000000"/>
                <w:sz w:val="18"/>
                <w:u w:val="single"/>
                <w:lang w:val="en-US" w:eastAsia="en-US" w:bidi="ar-SA"/>
              </w:rPr>
              <w:t>or got better</w:t>
            </w:r>
            <w:r>
              <w:rPr>
                <w:rFonts w:ascii="arial" w:eastAsia="arial" w:hAnsi="arial" w:cs="arial"/>
                <w:color w:val="000000"/>
                <w:sz w:val="18"/>
                <w:lang w:val="en-US" w:eastAsia="en-US" w:bidi="ar-SA"/>
              </w:rPr>
              <w:t>, there wouldn't be an issue with doing it, the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941"/>
        <w:gridCol w:w="79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do not find an inconsistency between what the plaintiff stated at the examination for discovery and trial. The question asked at the discovery was different because it included the assumption "if the pain got better." That question is different from the one she was asked at trial, which did not assume any such improvement in the plaintiff's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Leslie was cross-examined at length about issues relating to her back. Specifically, it was suggested to her that she minimized her back pain and instead focused on her chest pain when she was describing her condition to medical practitioners. Ms. Leslie adamantly denied this suggestion. She testified that she focused on her chest pain because that was why she was consulting the various practitioners - she was not consulting those practitioners for her back. She stated several times that the accident exacerbated her back pain but that she had never alleged the accident caused her back pain. In her evidence, she stated that the back pain had resolved within one or two months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Except for recovery time following the corrective surgeries, Ms. Leslie took virtually no time off work because of her breast injury. With respect to one of the corrective surgeries, she had a ganglion removed at the same time. As such, she decided not to pursue a wage loss claim for this recovery time. She seeks approximately $1000 for the past wage loss associated to the recovery time for the second corrective surgery. ICBC does not dispute an entitlement to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Leslie's exemplary employment record was nonetheless the subject of much of her cross-examination. It was suggested to her that she had been able to maintain the hours and demands required of nursing even with ongoing breast pain. In addition, it was suggested to her that she had not sought any accommodation from her employer and as such had not tried nursing in a different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response to this line of cross-examination, Ms. Leslie maintained her position that she did not believe she would be able to maintain her routine with the demands of child-rearing and/or as she aged. As for the nature of her employment, Ms. Leslie did not believe there were any nursing positions available to her that would eliminate her pain entirely. She explained that pediatric, psychiatric or public health nursing positions all required some aspect of physical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Regarding her future employment, Ms. Leslie intends to return to nursing when her maternity leave finishes in February 2020. She is also planning for a second child and hopes to conceive in or around November 2019. She is fearful that she will be unable to work full time once her children are born because she will not have the recovery time after her shifts complete. In other words, she will not have time to manage her pain. She has contemplated part-time work, which may or may not be available to her. She testified that part-time "lines" are based on seniority and she may not necessarily be able to access those positions. Before the accident, she had thought she would retire at the age of 60 or 65. Now, she says, she has serious concerns that she would not make it past 40 without significantly decreasing her hours or retiring completely because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relatively minor in comparison to the breast injury, Ms. Leslie described other consequences from the accident. She testified that she has anxiety when it comes to driving and prefers to drive herself. She has had to take Ativan to deal with her anxiety for some road trips. Ms. Leslie was understated when she attributed this rather low level of anxiety to the accident. She also testified that her back pain was exacerbated, adding that the "back pain was not caused from the accident - just exacerbated."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addition, Ms. Leslie described her weight gain, which she attributes to the accident. She said that she has gained about 25 pounds (before her pregnancy) and attributes this to her reduced level of physical activity. She said that she now works out only one to three times per week, has greatly reduced cardiovascular ability and cannot run anywhere close to her pre-accident distance. She says this also relates to the pain she has with her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Leslie spent some time describing the pain she experienced relating to her left nipple and, in particular, the sensitivity she felt. She described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my stethoscope touches my nipple, I react. If Matt hugs me and strokes me - I incidentally bring my shoulders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Her injury has affected intimacy with her spouse. Their romantic life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couple moved into a house in June 2017. Ms. Leslie testified that she did a lot of the moving, but she needed to take pain medication throughout the day. She explained that lifting the boxes engaged her chest and caused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 described the impact of her pregnancy on her breast pain. She said that she stopped taking all pain medications when she started trying to get pregnant. She testified that as soon as her breasts started to enlarge with the pregnancy, she felt a "sharp burning and throbbing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Importantly, she described her fear about breast-feeding and whether the injury will interfere with her ability to nurse her baby. Frankly, she was unsure whether she could handle the pain of breastfeeding on her left side. Before the trial, she experimented with breast pumps and the different power options. One of the settings required her to immediately stop the device. She was able to withstand the setting with less suction, but only for two minutes and then had to stop because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Leslie has an almost three-year-old nephew that she has looked after from time to time. She described how difficult it was to pick him up and carry him on her left side. She anticipates similar difficulties with her newborn.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respect to household activities, Ms. Leslie testified that she is able to complete most tasks but does so with pain. She said that she is unable to do any housework for the first two or three days following a 48-hour rotation. After that time, she will do some tasks but Mr. Aikens assists with any heavy lifting, such as moving wet clothes to the dryer, carrying heavy groceries or removing dishes from the dishwasher to a higher counter. She likes to mow the lawn but this causes her pain. She is unable to assist with snow blowing.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During her direct examination, she admitted that her ability to manage her household has diminished only somewhat but she performs the housework with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With respect to extracurricular activities, Ms. Leslie described her enjoyment of hunting and fishing with Mr. Aikens. Since the accident, she testified that she is often unable to join him because the bumpy backroads cause pain. She also used to participate in archery but her skills have also diminished because of her limited ability to engage her chest muscles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ICBC has raised an issue regarding "untested treatments." Specifically, ICBC submits that Ms. Leslie has failed to demonstrate a real and substantial possibility of a future event leading to an income loss because she is yet to undergo some of the procedures available to her. I will address these procedures in more detail below. At this stage, as I complete Ms. Leslie's evidence, I review her experience as she explored the use of the proposed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Colin Phillips, a general practitioner, was described as a new pain specialist working at UHNBC. Ms. Leslie first saw him when she was in the early stages of her pregnancy. During the consult, they discussed some options regarding injections but he wanted to consider more fully the best medications taking into account her pregnancy. He prescribed nortriptyline for her pain, one of the few pain medications believed to be safe during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nortriptyline stopped working for Ms. Leslie, so she consulted Dr. Phillips again in August 2018. At that time, Dr. Phillips did a lidocaine injection, which provided almost instant relief. Ms. Leslie described that it was the first time she did not have any pain. However, after she went to bed that night, she rolled over during her sleep and was awoken by a sharp burning pain similar to how she felt right after her surgery. She did not sleep for the rest of the night. She went to work the following day but testified that she was in excruciating pain for the day. She described that the pain subsided over the next few days and she felt she had some further relief in the days that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for future treatments, Ms. Leslie testified that she would be prepared to receive further injections down the road. She was also interested in attending the pain management clinic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addition to his evidence regarding the collision, Chad Leslie testified about his observations regarding his sister. He testified that his sister was "like a best friend" and they spent a lot of time together. He testified that this had diminished somewhat since he had moved to another city. He was cross-examined about the exigencies of life (for example, his marriage and move to Kamloops) that played a role in their changed relationship. He agreed that life events had also affected the time he spent with his sister. He nonetheless described the changes he had noticed in his sister. He testified that they were not able to go to the gym or enjoy outdoor activities as they had before the accident. He testified that his sister had always been a confident person but she no longer carried herself with the same confidence. He observed that she was not the same energetic person that she had been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Leslie's mother, Brenda Leslie, who is a retired RCMP officer, testified about her observations of her daughter. The plaintiff and her mother have lived together for most of the plaintiff's life. Even today, Brenda Leslie resides on the bottom floor of the Aikens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Since the accident, Brenda Leslie described her daughter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used to call her an extravert. Now she is an introvert. She prefers to stay home and is a bit of a loner. She doesn't do any activities and watches a lot of TV and spends a lot of time on the couch.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Brenda Leslie described a decline in her daughter's physical activity. This was repeated throughout her testimony. Brenda Leslie expressed a genuine concern about the amount of pain medication her daughter was taking. She testified that she was "shocked" with the volume of pills. Before moving to the house in 2017, Brenda Leslie testified that she found her daughter sitting in the darkness and crying. She said that her daughter "never shared how much pain she was in - I would have to ask her." Brenda testified that she could not say how often she found her daughter sitting in the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cross-examination, Brenda Leslie was asked about her daughter's use of some home exercise equipment that had been set up at their residence. Brenda Leslie testified that her daughter had not used the equipment at all. This evidence is inconsistent with Ms. Leslie's. Ms. Leslie testified that she was using this equipment (albeit to a lesser degree than she had exercised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Matthew Aikens and Ms. Leslie met each other in 2009 or 2010, but did not become involved until April 2014 (and married February 24, 2018). In August 2014, Mr. Aikens moved into the townhouse where Ms. Leslie was residing with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Aikens and Ms. Leslie did not start living together until after the accident, so his observations are limited in some respects. He nonetheless described a change in his partner. He testified that when she returns home from work, she is in pain and just wants to relax. He testified that they are unable to do things together because she needs time to recover. He says that when she is in pain, it "puts a damper on things." When asked how often he believes she is in pain, he stated, "she hides it. Sometimes she will tell me but I would say she is in pain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Aikens described the way in which her breast pain interfered with their intimacy and how it affected this aspect of their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for household activities, Mr. Aikens testified that Ms. Leslie has difficulty carrying groceries, cleaning higher areas, clearing the snow and some of the heavier laundry. He could not recall any other difficulties she had with household activities. With respect to yard work, Mr. Aikens testified that Ms. Leslie continued to mow the lawn and that was something she liked to do.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is no dispute that Ms. Leslie suffered injuries as a result of the accident; most significantly, the injury to her left breast. ICBC also conceded Ms. Leslie suffered a minor psychological injury. The medical experts, called on behalf of Ms. Leslie (Mr. Gerard Kerr, Dr. Cecilia Siegling, Dr. Christine Kurz and Dr. Michael Boucher) and ICBC (Dr. Nancy Van Laeken and Dr. Paul Latimer) testified as much. The plaintiff also relies on the reports of Dr. Jugpal Arneja, a plastic surgeon. His reports were tendered as exhibits. The disagreement between the parties relates to whether the injuries have impacted her employment and her need for future care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Again, ICBC agrees that the accident caused the injury to Ms. Leslie's left breast. In its written submission, ICBC "takes issue with the frequency and extent of reported symptoms and associated disability. The diagnoses, required treatment and prognoses relating to this injury remain at issue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respect to the psychological injury, ICBC contends that any ongoing psychological complaints are relatively mild in nature with no resulting functional limitation and a prognosis for full resolution of symptoms. ICBC states its position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[ICBC] concedes that partially as a result of the accident and partially as a result of a workplace stabbing incident the plaintiff has sustained an adjustment disorder with associated mild anxiety and a positive future prognosis. [ICBC] concedes causation of this injury as well as the fact that it is an indivisible injury as between the accident and the ... stabbing.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With respect to the status of any psychological injury there is little dispute, except for the plaintiff's claim for future psychological counseling. I will deal with that claim later in these reasons. For the most part, I have focused on the breast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Plaintiff's experts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Christine Kurz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Christine Kurz, a plastic surgeon, performed the plaintiff's breast augmentation surgery before the accident and testified about her treatment for a period of time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Kurz reported that Ms. Leslie, a healthy young woman, underwent an elective bilateral breast augmentation surgery, which was performed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Kurz testified that six days postoperative, she was informed about the car accident. She then described her dealings with Ms. Leslie in the days following. Dr. Kurz reported that she received a text message from Ms. Leslie asking that Dr. Kurz examine the surgical site and provide her with more pain medication. Dr. Kurz confirmed that she went to Ms. Leslie's home and examined her briefly. She ensured that there was no significant edema, hematoma, seroma or skin abrasions and determined that the only treatment required at that time was rest and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Kurz next saw Ms. Leslie for a routine follow up appointment on September 25, 2014, during which Dr. Kurz recorded her observations and recommended treatment. Despite ICBC's concession regarding causation, I set out Dr. Kurz's observations in detail here to contextualize the events that followed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Kurz recorded her observations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Ms. Leslie has an indentation of the left medial breast at the 4 o'clock position, where there appears to be some tethering of the subcutaneous tissue to the underlying inferior border of the pectoralis major muscle overlying the implant. The left breast implant is sitting slightly higher than the right at this time. The left nipple areolar complex is also higher but the inframammary fold position is symmetric (both of which were present preoperative). The deformity is more noticeable when the patient flexes her pectoralis major muscles. At that time, the skin at the 3:30 - 5:00 o'clock position indents significantly with muscle movement. There is no increased edema or scarring palpated and certainly no hematoma or seroma present. Both implants are soft and nontender to palpation.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asymmetry is unexpected as her preoperative symmetry was actually very good and there were no intraoperative or immediately postoperative complications. I have not seen this type of deformity after breast augmentation previously and I believe that it is quite likely related to the incident that Ms. Leslie describes. The fact that the left breast implant is also sitting higher than the right, could be natural at this time but could also be due to some scarring in the medial breast area. The left nipple areolar complex was higher than the right preoperative. I have taken photographs today that show the deformity and have recommended that she attend massage therapy to see if the therapist can help her with the loosening up the tethered skin from the muscle. I have also recommended at home self massage of the areas twice daily. There are no restrictions on her exercise or work activity. I will see her in follow-up at the usual 6 month visit or sooner if there are any concerns. If the position of the left implant does not improve at that time, we will consider using a breast band to try to lower the left implant but the position does not warrant that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a first treatment option, Dr. Kurz recommended massage therapy to start.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Kurz described her examination on January 26,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that time she had been attending RMT as recommended but the deformity had not improved. She felt that the indentation on her left breast had actually become more noticeable since the postoperative edema had resolved and I agreed. The left breast implant was higher than the right and I recommended that she wear a breast band on her upper chest to push the left implant lower.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also discussed the possibility of another surgery to release the skin from the muscle and possibly do a series of fat injections to the area to lessen the deformity but I recommended waiting until at least a year after the surgery to perform another surgery as the scar tissue was still maturing. She was in agreement with this plan to trial the breast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Kurz saw Ms. Leslie on March 23, 2015, and noted that she had not observed any difference using the breast band. She recorded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she still had the animation deformity and at rest deformity of tethering of her left medial breast skin to the inferior edge of the pectoralis major muscle.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Leslie underwent two corrective surgeries to her left breast. The first corrective surgery was performed on April 12, 2016, and the second on December 5, 2016. In her report, Dr. Kurz described the two surgeries and subsequent recovery: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April 12, 2016 I performed a medial pectoral muscle release, scar excision and fat grafting ... We followed up after this procedure on May 3, 2016. Ms. Leslie reported that her surgical pain had resolved and there was no change in her chronic pain. She complained of pain when she flexes her left pectoral muscle. She was concerned about moving patients when she starts her career as a surgical nurse.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at this appointment, the skin continued to indent much more on the left side than the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appeared that there was still an inferior band of muscle that was tight across the implant. I recommended that she attend physiotherapy for ultrasound of the left breast scar and muscle in this region and that she attend massage therapy for scar massage...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Leslie returned for a follow up on November 22, 2016. [her surgical pain had resolved within two weeks] but she states that her left breast felt the same as it did before the corrective surgery. She complained of pain when she flexed her left pectoral muscle. She stated that she takes Tylenol #3 when she is not working to help with the pain. She has difficulty taking [non-steroidal anti-inflammatory drugs] due to gastritis and so this is not an option for her and she states that plain Tylenol is not enough. She stated that she has gained some weight since last spring...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underwent surgery on December 5, 2016 ... I performed fat grafting into the medial breast subcutaneous tissue and inferior pectoralis muscle...[Ms. Leslie] informed her that the cosmetic appearance was 90% better but there was no change in the pain level since the fat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Following a consult with Ms. Leslie in September 2018, Dr. Kurz reported that she had not previously seen a case such as Ms. Leslie's. At this appointment, Dr. Kurz noted that the chronic left breast pain has remained constant and that it had increased in 2015, when she began to do more clinical hospital work. Dr. Kurz noted that Ms. Leslie's pain symptoms have been stable for several years now and that she did not believe that any further surgery on the left breast would improve her pain. Dr. Kurz noted, "this is a very unique case and I have not seen any patients with this type of injury or deformity after breast surgery previously."</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Cecilia Siegling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Cecilia Siegling has been Ms. Leslie's family doctor since 2009. Dr. Siegling described her treatment of the plaintiff relating to the accident. She agreed that Dr. Kurz, as the treating plastic surgeon, dealt with much of Ms. Leslie's care regarding the breast injury. However, Dr. Siegling wrote many of the prescriptions for pain medication and recorded her concerns about the amount of pain medication consumed by the plaintiff. She also saw Ms. Leslie shortly after the accident when Ms. Leslie consulted her and reported that the "pain in her breasts made her have a seizure." At this first post-accident visit, Dr. Siegling recommended massage therapy. Dr. Siegling had deferred to Dr. Kurz about repairing the breast injury. Since the corrective surgeries, however, Dr. Siegling has been involved in assessing treatment options to address Ms. Leslie's ongoing breast pain, including referring Ms. Leslie to Dr. Phillips and the Pain Clinic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November 2015, Dr. Siegling recorded her prognosis, as Ms. Leslie's general practitioner,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for the left breast pain, left nipple hypersensitivity and left breast indentation, in my opinion, if nothing further is done treatment wise, is that she will have longstanding or even permanent discomfort as well as indentation of the left breast. I am unable to predict what the prognosis is expected to be should she have further surgery to the left breast.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At trial, Dr. Siegling confirmed her medical opinion regarding chronic breast pain. She testified that with respect to ongoing pain, her prognosis has not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Regarding pain management, Dr. Siegling testified about Ms. Leslie's use of pain medication and her concerns about health repercussions, including addiction. She stated that she gave the referral to the pain clinic because she was unable to control the amount of pain Ms. Leslie was having and "everything done at that point was not sufficient or helpful enough for her." She thus made a decision to refer her to a specialist to assist in controlling or improving her pain.</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Jugpal Arneja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Jugpal Arneja, plastic surgeon, wrote two reports dated March 10, 2017, and April 30, 2018. The first followed his assessment of Ms. Leslie and the second was prepared in response to Dr. Van Laeken, the plastic surgeon retained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Arneja examined Ms. Leslie on February 17, 2017. He formulated this opinion following his 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[breast] injury has created a post-traumatic left breast deformity which has produced aesthetic deformity requiring two surgical revisions. In addition, the trauma she sustained has created chronic left breast pain and hypersensitivity which limits her activities of daily living, affects her work, and has resulted in an inability to enjoy routine physical activity which ultimately has resulted in her to gain about 17 pounds since receiving a bilateral augmentation mammoplasty.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With respect to chronic pain, Dr. Arneja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more troubling problem producing significant symptoms for Ms. Leslie is the chronic breast pain and nipple hypersensitivity to the left breast that has resulted in challenges with work and the need for chronic narcotic usage in the form of Tylenol #3s. It is possible that her post-operative MVA resulted in a nerve injury or muscle fibrosis to the chest which are producing her symptoms. Nonetheless, this discomfort may benefit from evaluation at a chronic pain clinic as the medication and therapy provided at that venue may better help manage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Arneja responded to Dr. Van Laeken's opinion in a report dated April 30, 2018. Here, Dr. Arneja agreed with much of Dr. Van Laeken's comments as found in Dr. Van Laeken's first report.</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Gerard Kerr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Gerard Kerr, an occupational therapist, assessed Ms. Leslie and provided his opinion about her functional tolerances and work capacity. His evidence was presented by way of deposition, conducted a week before the trial commenced. In Mr. Kerr's assessment, he observed that Ms. Leslie's self-reports of function and pain were consistent with objective observations of function. In his report dated August 22, 2017, he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Leslie presents with functional range of motion with the exception of left shoulder flexion and abduction which was limited to approximately 125 degrees. Her limitation was due to reported pulling and pain in the left breast/chest region.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not suited to more than incidental left arm above shoulder or extended/outer range reaching demands or where the left chest muscles are engaged.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results of work capacity testing have identified functional limitations that will impact Ms. Leslie's capacity to perform certain physical work demands and select recreational and home activities. These limitations relate to tasks that involve prolonged or repetitive use of her left arm in conjunction with contraction of the left chest/pectoral muscles. In particular strong muscle contractions over this region produce increased left breast/chest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work capacity perspective therefore, Ms. Leslie is not well suited to nursing positions that involve exposure to patient handling demands. This includes her current work on a medical post surgery recovery ward and her future intended work in the emergency room. Her capacity to continue to work in her current role and similar nursing positions will likely be dependant on her willingness to work with persistent left breast/chest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Kerr was of the opinion that over the long term, Ms. Leslie would be better suited to nursing positions that involved minimal or no physical patient handling such as community health, mental health, teaching or supervisory positions. He also noted that she may require some time to explore these lighter options. With respect to home activities, Mr. Kerr was also of the opinion that Ms. Leslie would be limited in her ability to participate in the heavier yard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During cross-examination, Mr. Kerr was asked about Ms. Leslie's back issues and whether those impacted his opinion. He stated that although he had not considered back pain initially, his opinion had not changed. He put it this way: "So what I mean by that is if she only had those back problems and that was the only symptom, I don't think I would have found her restricted in performing her nursing duties. In fact, I'm pretty sure I wouldn't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Also during cross-examination, Mr. Kerr agreed that Ms. Leslie has demonstrated the capacity to work full-time even with the pain she has described. He testified, however, that he was not confident that she would be able to sustain that in the long term.</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Michael Boucher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turn now to deal with the evidence of Dr. Michael Boucher. He was tendered as a chronic pain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At the outset, ICBC objected</w:t>
      </w:r>
      <w:bookmarkStart w:id="135"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135"/>
      <w:r>
        <w:rPr>
          <w:rFonts w:ascii="arial" w:eastAsia="arial" w:hAnsi="arial" w:cs="arial"/>
          <w:color w:val="000000"/>
          <w:sz w:val="20"/>
          <w:lang w:val="en-US" w:eastAsia="en-US" w:bidi="ar-SA"/>
        </w:rPr>
        <w:t xml:space="preserve"> to the admissibility of Dr. Boucher's evidence. All of Dr. Boucher's evidence was the subject of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for the court to determine the admissibility objection. ICBC subsequently withdrew its objection but submitted all of the evidence tendered 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be considered on the issue of weight to be attributed to Dr. Boucher's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First, I give a brief summary of Dr. Boucher's testimony. I then turn to the objection and my determination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Boucher presented a lengthy and dense report prepared following his assessment of Ms. Leslie in April 2018. His report was difficult to follow because of his tendency to use explanatory paragraphs not unique to Ms. Leslie. He explained that he included the same explanatory paragraphs in about 90 per cent of his reports and he did so to assist the reader. Relevant to Ms. Leslie's case, I set out here the paragraphs specific to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Leslie's presentation is consistent with a pattern of incomplete recovery and the development of associated chronic pain problems that sometimes occurs after a motor vehicle collision. At the time of the subject collision, although she had previous difficulties with lower back and knee pain, these were no longer significantly impacting her ADLs, employment or social roles. Since the June 29, 2014 collision, she has been suffering from significant pain. It should be noted that, in my interaction with Ms. Leslie, I did not identify any evidence of non-organize response or symptom magnification.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Boucher said this after the effect of impairment on her function: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Leslie's impairments have been continuous since the time of the collision despite her having participated in treatment as recommended by various health professionals. I would not expect at this point that her condition will substantially improve as compared to individuals with similar circumstances and I consider her impairments to be permanent.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Realistically from a physical perspective, Ms. Leslie must be selective as to the type of work she could perform and for how long. She is competitively disadvantaged. She cannot perform work activities with the same vigor and endurance as an individual of similar age, education and training who does not suffer from the persistent physical and emotional deficits related to pain endured by Ms. Leslie since the time of the index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 address ICBC's objection to Dr. Boucher's report. In addition to the authorities cited by counsel, I am guided by the principles enunciated in the leading authorities on the issue of expert evidence and the interplay between factors relevant to admissibility and/or weight to be attributed to that evidence. Those authorities include </w:t>
      </w:r>
      <w:r>
        <w:rPr>
          <w:rFonts w:ascii="arial" w:eastAsia="arial" w:hAnsi="arial" w:cs="arial"/>
          <w:i/>
          <w:color w:val="000000"/>
          <w:sz w:val="20"/>
          <w:lang w:val="en-US" w:eastAsia="en-US" w:bidi="ar-SA"/>
        </w:rPr>
        <w:t>White Burgess Langille Inman v. Abbott and Haliburton Co.</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2015 SCC 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Orr</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2015 BCCA 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M.C.</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2014 ONCA 611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Singh</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2014 ONCA 791</w:t>
        </w:r>
      </w:hyperlink>
      <w:r>
        <w:rPr>
          <w:rFonts w:ascii="arial" w:eastAsia="arial" w:hAnsi="arial" w:cs="arial"/>
          <w:color w:val="000000"/>
          <w:sz w:val="20"/>
          <w:lang w:val="en-US" w:eastAsia="en-US" w:bidi="ar-SA"/>
        </w:rPr>
        <w:t xml:space="preserve">; and the useful summary provided by Saunders J. in </w:t>
      </w:r>
      <w:r>
        <w:rPr>
          <w:rFonts w:ascii="arial" w:eastAsia="arial" w:hAnsi="arial" w:cs="arial"/>
          <w:i/>
          <w:color w:val="000000"/>
          <w:sz w:val="20"/>
          <w:lang w:val="en-US" w:eastAsia="en-US" w:bidi="ar-SA"/>
        </w:rPr>
        <w:t>Anderson v. Pieters</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2016 BCSC 889</w:t>
        </w:r>
      </w:hyperlink>
      <w:r>
        <w:rPr>
          <w:rFonts w:ascii="arial" w:eastAsia="arial" w:hAnsi="arial" w:cs="arial"/>
          <w:color w:val="000000"/>
          <w:sz w:val="20"/>
          <w:lang w:val="en-US" w:eastAsia="en-US" w:bidi="ar-SA"/>
        </w:rPr>
        <w:t xml:space="preserve"> at paras. 37-42.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ICBC submitted there were a number of issues in Dr. Boucher's report that weakened his opinion. Those issues included the use of explanatory paragraphs (described above) and factual errors found in the report. In addition, Dr. Boucher lost the underlying data created during the assessment of Ms. Leslie. Dr. Boucher testified the data was lost during the electronic conversion of many of his files. This was particularly important, submits ICBC, because it became impossible to determine whether Dr. Boucher or an associate completed certain questionnaires and/or the assessment. During cross-examination, it was revealed that Dr. Boucher performed seven other lengthy assessments on the same day he conducted his assessment of Ms. Leslie. It seems Dr. Boucher conducts an inordinate number of assessments and ICBC points to this volume as another reason his opinion should attract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light of the record here, I do not address further the remarkable volume of assessments Dr. Boucher is performing on a daily basis. However, I wish to specifically address the issues relating to generic paragraphing and factual errors. The report was over forty pages long and it was not until cross-examination that it became clear that large portions of the report were cut and paste from a template used in the vast majority of Dr. Boucher's reports. With that kind of inclusion, it is difficult to assess his diagnosis of this plaintiff in the context presented. I have thus reviewed his report with some caution to ensure that only the information relevant to the plaintiff is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turn now to the factual errors identified by ICBC during cross-examination and the impact of those errors on Dr. Boucher's opinion. Most significant is an error found at page 18 of his report dealing, erroneously, with the impact of the plaintiff's breast injury on her employment ability. In his report,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Leslie's collision-related impairments have resulted in physical and functional restrictions that substantially interfere with her ability to access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During cross-examination, he was asked whether he knew Ms. Leslie had been working full time and had been since the accident. He then acknowledged that the above factual assertion was made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turn to Dr. Boucher's second report dated January 23, 2019. This report responded to Dr. Van Laeken's report. I deal with it now for completeness. In short, Dr. Boucher disagreed with Dr. Van Laeken's opinion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Unfortunately, I believe Dr. Van Laeken has oversimplified the management efficacy and potential prognosis of Ms. Leslie's neuropathic pain with respect to the use of interventional nerve block. While I am not surprised that Ms. Leslie achieved temporary relief with the guided injection of Lidocaine, it should be noted that these injections are diagnostic in nature and do not alter pathology. Short-term relief may be noted with lidocaine injection (four to eight hours); this is not a long-term solution. The use of nerve blockade is palliative in nature, as only some short-term relief is occasionally garnered, there is typically no long-term impact and certainly no alteration in pathology as a result of these injections.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best I would anticipate that Ms. Leslie may attain temporary relief after ultrasound guided injection; likely measured in days to weeks.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 am not inclined to alter my opinion regarding Ms. Leslie's prognosis based on the information provided... her primary diagnosis remains: left breast contusion; chronic left breast pain; left breast peripheral neuropathy with allodynia and hyperalgesia.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light of the issues raised during cross-examination, including the factual error and the manner in which the report was presented, I have assessed Dr. Boucher's opinion carefully. I have placed some weight on it where the opinion is confirmed elsewhere in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ICBC's experts</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Nancy Van Laeken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Nancy Van Laeken was asked to conduct an independent medical examination in her capacity as a consultant plastic surgeon. She met with Ms. Leslie on December 7, 2017, and has since written three reports dated January 17, 2018, October 24, 2018 (responding to Dr. Boucher's report), and January 18, 2019 (responding to Dr. Phillips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her January 2018 report, Dr. Van Laeken provided her opinion about causation, prognosis and diagnosis regarding Ms. Leslie's breast injury, stating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identify a specific causal relationship between the MVA and the breast pain. There is no 100% direct cause and effect. However, there is a high likelihood that the discomfort she is experienced was caused by the motor vehicle accident. This is not an uncommon finding after a seat belt injury post MVA in a patient who has undergone a breast augmentation.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diagnosis is difficult to classify. It is possible that this is post injury scar pain. It is possible that it is neurogenic in origin and it is possible that it is associated with a muscle imbalance.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feel that surgical intervention is appropriate, as she has had one previous operation with an attempt to release the muscle. Further surgery is unlikely to help and can make the pain worse. The fat grafting has improved the aesthetic appearance. There is no procedure that can guarantee elimination of the pain. In fact, further surgery may aggravate the scar tissue that is present at the site in question and hence might be considered to be contraindicated.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my area of expertise but I would recommend that Ms. Leslie be seen by a chronic pain specialist. This would be for multiple purposes of evaluation and treatment. It is possible that there is a better medication balance that will be useful for her so that she can avoid the use of the anti-inflammatories as well as the narcotics. In addition to that, she may benefit from some localized injections to the area of concern which will reduce the discomfort.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pain should not interfere with her ability to breastfeed in the future. The pain should not prevent her from working current status or in different areas of surgical/medical nursing. However, there would be a concern with the nipple hypersensitivity that it will be more difficult for her to breastfeed comfortably from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her October 2018 report, Dr. Van Laeken responded to Dr. Boucher's report. Dr. Van Laeken was of the view that Dr. Boucher had overstated the impact of the accident on Ms. Leslie's functioning. Dr. Van Laeken agrees with Dr. Boucher's diagnosis of neuropathic pain. However, she disagreed with his prognosis. Dr. Van Laeken recommended a referral to a chronic pain specialist with the idea that she be provided with a series of nerve blocks to assist with the pain, a modality she has used with some of her patients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her third report, written in January 2019, Dr. Van Laeken addressed Dr. Phillips clinical records. In her view, Ms. Leslie's response to the injection in August 2018 suggested that she would be a good candidate for further nerve block treatment. Dr. Van Laeken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would lead to the opinion that she will have ongoing improvement of the neurogenic pain associated with her left breast with further nerve block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Only further intervention will confirm this progress of gradual improvement; however, based on the 100% response to the first injection, it is likely that she will continue to improve. Even if the pain is not completely eliminated, it will at least allow her to function without requiring medications.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situation is currently complicated by the fact that Ms. Leslie is pregnant. Exposure to radiation that is required for the blocks may be contraindicated during pregnancy. This does not negate the potential for future improvement with blocks.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During cross-examination, Dr. Van Laeken agreed that there were no guarantees for any of the treatment modalities recommended for Ms. Leslie. She also agreed that the longer a person suffers from chronic pain, the more difficult it is to treat.</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Paul Latimer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Paul Latimer, a psychiatrist retained by ICBC, was of the opinion that Ms. Leslie suffered from a mild psychological injury as a result of the accident. The plaintiff in this case does not suggest her psychological condition is more serious than that expressed in Dr. Latimer's report. Although some of the other practitioners comment on certain psychological features of Ms. Leslie's overall condition, I have relied on Dr. Latimer for the opinions he expressed about diagnosis and prognosis as it relates to Ms. Leslie's psychological condition. Dr. Latimer was of the opinion that Ms. Leslie's anxiety related to pain will continue as long as pain is present. Dr. Latimer was of the view that psychological therapy such as cognitive behavioral therapy would not be effective in reducing Ms. Leslie's pain or nipple sensitivity. He also noted that based on his assessment, her motivation to engage in psychological therapy was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ICBC took the position that this mild psychological condition was better reflected in the non-pecuniary damages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motor vehicle injury cases, the plaintiff is typically required to speak on their own behalf and relay to the court the effects of the accident. This regularly leads to the plaintiff's credibility and reliability being placed in issue and Ms. Leslie is no exception. My factual findings regarding her condition after the accident and her prognosis are based in significant measure on her testimony, self-report and the observations of others, including medical professionals and members of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According to her counsel, Ms. Leslie was a straightforward and honest witness and relies on Dr. Latimer's description of the plaintiff's character where he states, "with respect to negative impression management, there is no evidence to suggest that [Ms. Leslie] was motivated to portray herself in a more negative or pathological light than the clinical picture would warrant." Regarding credibility, counsel agreed that there were some discrepancies in the pain scale used by some of the practitioners. However, this can be explained, according to her counsel, by her tendency to understate her levels of pain. This is also consistent with what her mother and husband said about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According to counsel for ICBC, Ms. Leslie's evidence should be assessed cautiously because, in counsel's submission, "while there is objective evidence of the plaintiff's breast injury, the plaintiff's reporting of resulting pain and limitation is subjective." Relying on </w:t>
      </w:r>
      <w:r>
        <w:rPr>
          <w:rFonts w:ascii="arial" w:eastAsia="arial" w:hAnsi="arial" w:cs="arial"/>
          <w:i/>
          <w:color w:val="000000"/>
          <w:sz w:val="20"/>
          <w:lang w:val="en-US" w:eastAsia="en-US" w:bidi="ar-SA"/>
        </w:rPr>
        <w:t>Price v. Kostryba (1982)</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70 B.C.L.R. 397</w:t>
        </w:r>
      </w:hyperlink>
      <w:r>
        <w:rPr>
          <w:rFonts w:ascii="arial" w:eastAsia="arial" w:hAnsi="arial" w:cs="arial"/>
          <w:color w:val="000000"/>
          <w:sz w:val="20"/>
          <w:lang w:val="en-US" w:eastAsia="en-US" w:bidi="ar-SA"/>
        </w:rPr>
        <w:t xml:space="preserve"> (S.C.), ICBC submits, "the defendant is often at the mercy of the plaintiff in actions for damages for personal injury because complaints of pain are not easily disproved."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such, ICBC submits that I must approach Ms. Leslie's evidence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When assessing the truthfulness of the testimony of any interested witness, I am guided by the words articulated many years ago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factors to be considered when assessing credibility were summarized by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393"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[1952] 2 D.L.R. 152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agree with ICBC that where a plaintiff's case relies on subjective symptoms with little or no objective evidence of continuing injury, the court must be careful in examining the evidence and assessing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If the plaintiff's account of his or her change in physical, mental, and/or emotional state as a result of the accident is not convincing, then the hypothesis upon which any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Bearing in mind these considerations, I will now turn to my assessment of Ms. Leslie's testimony. I start, however, with my assessment of the evidence of Chad Leslie, Brenda Leslie and Matthew Aikens. There was not a serious challenge to the credibility of these witnesses. Each of these family members struck me as simply describing their observations in a straightforward manner. I accept what each of them said about changes they had observed in Ms. Leslie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pause for a moment to address the evidence of Ms. Leslie's mother. She described Ms. Leslie as someone who simply did not complain. Particularly compelling was her evidence that, on more than one occasion, she found Ms. Leslie downstairs, crying in the dark. Brenda Leslie was not challenged on this evidence. She was, much like her daughter, matter-of-factly describing to the court what she had observed about her daughter and, importantly, how she had changed. I fully accept Brenda Leslie's evidence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turn to the evidence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Overall, I found Ms. Leslie to be a blunt and candid witness. I found that she was not one to mince words. There was nothing colorful in her description about the pain she experienced. I have considered her reporting to the medical practitioners over the years and I cannot conclude that she was anything but straightforward in what she was attempting to describe. I accept her testimony that she was doing whatever she could to manage her ongoing pain. Her actions are not consistent with someone trying to embellish a damages claim. She has maintained full-time work hours in a position where she need not have. She explained why it was that she continued to work. Based on her testimony, I accept her explanation that she "was not going to let this injury get her". She would manage as best she was able for as long as she could. I accept her evidence that maintaining her full-time hours has affected her physical abilities to maintain all that she managed before the accident. Before the accident, she was able to engage in regular exercise and enjoyed a higher quality of life than today. She attributes her weight gain (pre-pregnancy) to the lack of physical activity and I accept that there is evidence to support this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reject ICBC's suggestion that she intentionally (or otherwise) tried to minimize the impact of her back/neck condition on her overall functioning. In my view, the evidence simply does not support the contention that Ms. Leslie understated her back pain so as to strengthen her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making this finding, I have considered ICBC's submission regarding the Krell Chiropractic records, the plaintiff's evidence about those records and her other statements to medical practitioners. In her testimony, Ms. Leslie stated that she did not report her back pain because she was attending at the various appointments for her breast pain (not back pain). She testified that she has never alleged that the back pain was caused by the accident. Rather, in her words, she believed the accident exacerbated her pre-existing back condition. Again, I found Ms. Leslie to be candid about her disclosures relating to a myriad of medical conditions that she has experienced over the years, both pre- and post-accident, including the ganglion, knee pain and pseudo seizures.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considering her evidence on this point and the various records put to her, I do not accept that she was being untruthful about her back condition or how it affected her reporting about breast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To that end, I accept Mr. Kerr's evidence elicited during cross-examination that he was of the opinion that her back issues would not impact her functioning as a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ICBC submits that the plaintiff was not credible with respect to the impact of the breast pain on her ability to work. ICBC pointed to parts of her testimony that they say were inconsistent with both her discovery evidence and what she told the medical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Regarding her discovery evidence on this point (ability to work as a nurse in the future), I am not satisfied that her testimony at trial was inconsistent on this issue. Rather, I find that she was describing, as best as she was able, how she expected her breast pain (assuming improvement) would impact her future employability. I accept her answer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Overall, I did not find material inconsistencies between the plaintiff's testimony at trial and what she has told the various medical experts. Again, I accept that she was trying her best to describe her persistent breast pain in the circumstances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It is also noteworthy that the breast injury was not only based on self-report. ICBC conceded as much. The medical experts who were qualified to speak to this issue all agreed that corrective surgery was mandated in the circumstances and she undertook these additional surgeries as a direct result of the injury she suffered in the accident. Her case is therefore somewhat distinguishable from the authorities regarding purely subjective pain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ASSESSMENT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stated above, I have found Ms. Leslie to be a candid witness. She is someone who has demonstrated a toughness and driven desire to manage her ongoing pain in the best way she can. That does not mean that she is not affected in the way she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For the reasons that I set out below, I am satisfied that Ms. Leslie has proven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physical and to a much lesser extent, psychological injuries as described more fully in the paragraphs that follow. ICBC does not dispute causation and agrees Ms. Leslie is entitled to damages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dispute primarily relates to prognosis and I will deal with that issue first. I will then address whether ICBC has established a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Injuries and diagnosis/prognosis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For the most part, the medical experts agreed that Ms. Leslie suffered an injury to her left breast that required corrective surgeries and has caused ongoing pain. Dr. Boucher and Dr. Van Laeken agree with the diagnosis of neuropathic pain described by Dr. Van Laeken in this way: "she has chronic pain in the left breast, which is likely neurogenic in origin, and it does interfere with her ability to, in a symptom-free way, participate in activities of daily living, as well as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addition to the breast injury, I find that Ms. Leslie suffered a mild psychological condition relating to the accident. I will deal with this further when I address the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Finally, I am satisfied that Ms. Leslie's pre-existing back injury was exacerbated by the accident and any suffering she experienced that is related to the accident (and not her pre-existing condition) has long since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There is dispute about her prognosis and further treatment. The plaintiff submits that Dr. Kurz, Dr. Siegling and Dr. Boucher are of the opinion that Ms. Leslie's breast pain is permanent. Dr. Kurz wrote that it is "very probably that further fat grafting would not improve her pain." Notable at this stage is Dr. Siegling's concern about Ms. Leslie's ongoing use of pain medication and the possibility of her developing an addiction. Consistent in the medical evidence, including Dr. Van Laeken's opinion, is the recommendation that Ms. Leslie consult a chronic pain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Van Laeken and Dr. Boucher engaged in a back and forth of report writing in an effort to challenge the opinion of the other. This exercise is complicated by the fact that one doctor is an expert in breast health, the other in chronic pain and both tread on the other's area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Van Laeken is of the opinion that Dr. Boucher's opinion is too bleak.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For the reasons stated earlier in these reasons, I have approached Dr. Boucher's evidence with caution. I accept ICBC's submission that Dr. Boucher has overstated Ms. Leslie's physical impairment. I make this finding for two reasons. First, I agree with ICBC that Dr. Boucher's report-writing and assessment process detracted from the weight that the court can place on his opinion. That is due to the lost data and the use of generalized paragraphs that were not unique to Ms. Leslie's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second reason I approach Dr. Boucher's evidence with caution relates to the error revealed during cross-examination where Dr. Boucher had incorrectly recorded the impact of the breast injury on Ms. Leslie's ability to function as a nurse. I find this error permeates his later opinion regarding prognosis and viability of treatment options. As such, I have approached his evidence with these limitations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Regarding prognosis and treatment, I have concluded that Dr. Van Laeken, during cross-examination, resiled somewhat from the optimism expressed in her two most recent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have taken into account the limitations expressed above. Based on the totality of the evidence that I do accept, I make the following findings regarding Ms. Leslie's prognosis:</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Leslie continues to suffer ongoing pain and nipple hypersensitivity to her left breast directly attributable to the accident;</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Absent further intervention, the chronic pain to the left breast is likely permanent;</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breast injury impacts her functioning as a nurse and will continue to do so, absent some success with the treatment modalities recommended;</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recovery is currently limited because she is pregnant and her treatment options are restricted accordingly;</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light of the results of the lidocaine injection in August 2018, there is medical evidence that suggests she will find at least some improvement in the future when she is able to withstand injections;</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Leslie may also find some improvement by attending at a multi-disciplinary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am persuaded on the whole of the evidence that the accident caused injuries to Ms. Leslie, which continue to this day and are likely to be chronic and to continue into the future. I find on the medical evidence presented, including that of Dr. Kurz, Dr. Siegling and Dr. Arneja, that Ms. Leslie's prognosis for a full recovery is guarded, although she may make some further improvements by trying some of the treatments specified by Dr. Van Laeken.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this case, ICBC submits that Ms. Leslie failed to mitigate her losses with respect to physical injuries by failing to attend at a pain clinic as recommended by the various medical experts and by her own family doctor in October 2017. Relying on </w:t>
      </w:r>
      <w:r>
        <w:rPr>
          <w:rFonts w:ascii="arial" w:eastAsia="arial" w:hAnsi="arial" w:cs="arial"/>
          <w:i/>
          <w:color w:val="000000"/>
          <w:sz w:val="20"/>
          <w:lang w:val="en-US" w:eastAsia="en-US" w:bidi="ar-SA"/>
        </w:rPr>
        <w:t>Sendher v. Wong</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2014 BCSC 140</w:t>
        </w:r>
      </w:hyperlink>
      <w:r>
        <w:rPr>
          <w:rFonts w:ascii="arial" w:eastAsia="arial" w:hAnsi="arial" w:cs="arial"/>
          <w:color w:val="000000"/>
          <w:sz w:val="20"/>
          <w:lang w:val="en-US" w:eastAsia="en-US" w:bidi="ar-SA"/>
        </w:rPr>
        <w:t>, ICBC submits that the plaintiff's failure to mitigate should result in a reduction in the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Leslie explained that she did not believe she had access to a pain clinic because of the nature of her ICBC claim and believed she could not obtain treatment as a result of her status as an ICBC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will set out the authorities and then provide my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principles regarding mitigation were articulated in </w:t>
      </w:r>
      <w:r>
        <w:rPr>
          <w:rFonts w:ascii="arial" w:eastAsia="arial" w:hAnsi="arial" w:cs="arial"/>
          <w:i/>
          <w:color w:val="000000"/>
          <w:sz w:val="20"/>
          <w:lang w:val="en-US" w:eastAsia="en-US" w:bidi="ar-SA"/>
        </w:rPr>
        <w:t>Job v. Van Blankers</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2009 BCSC 230</w:t>
        </w:r>
      </w:hyperlink>
      <w:r>
        <w:rPr>
          <w:rFonts w:ascii="arial" w:eastAsia="arial" w:hAnsi="arial" w:cs="arial"/>
          <w:color w:val="000000"/>
          <w:sz w:val="20"/>
          <w:lang w:val="en-US" w:eastAsia="en-US" w:bidi="ar-SA"/>
        </w:rPr>
        <w:t>, where Justice Ker stated at para. 107: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imposes upon plaintiffs the duty to mitigate their losses. This includes taking reasonable steps to minimize any loss relating to injuries, so as to prevent plaintiffs from recovering for harm and loss caused by their own neglect. In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Rogers</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leave to appeal to S.C.C. refused, </w:t>
      </w:r>
      <w:hyperlink r:id="rId564"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 Madam Justice Rowles writing for a majority of the Court of Appeal succinctly stated the principle of mitigation of damages in personal injury cases at 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Mitigation goes to limit recovery based on an unreasonable failure of the injured party to take reasonable steps to limit his or her loss. A plaintiff in a personal injury action has a positive duty to mitigate but if a defendant's position is that a plaintiff could reasonably have avoided some part of the loss, the defendant bears the onus of proof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addition, I refer to </w:t>
      </w:r>
      <w:r>
        <w:rPr>
          <w:rFonts w:ascii="arial" w:eastAsia="arial" w:hAnsi="arial" w:cs="arial"/>
          <w:i/>
          <w:color w:val="000000"/>
          <w:sz w:val="20"/>
          <w:lang w:val="en-US" w:eastAsia="en-US" w:bidi="ar-SA"/>
        </w:rPr>
        <w:t>Lewis v. Gibson</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2018 BCSC 1713</w:t>
        </w:r>
      </w:hyperlink>
      <w:r>
        <w:rPr>
          <w:rFonts w:ascii="arial" w:eastAsia="arial" w:hAnsi="arial" w:cs="arial"/>
          <w:color w:val="000000"/>
          <w:sz w:val="20"/>
          <w:lang w:val="en-US" w:eastAsia="en-US" w:bidi="ar-SA"/>
        </w:rPr>
        <w:t>, where Justice Russel stated the following regarding the test for failure to mitigate:</w:t>
      </w:r>
      <w:r>
        <w:rPr>
          <w:rFonts w:ascii="arial" w:eastAsia="arial" w:hAnsi="arial" w:cs="arial"/>
          <w:sz w:val="20"/>
          <w:lang w:val="en-US" w:eastAsia="en-US" w:bidi="ar-SA"/>
        </w:rPr>
        <w:cr/>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78, the Court of Appeal affirmed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as the "guiding authority" on the question of mitigation.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the court said: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a case where the allegation of failing to mitigate involved a refusal to undergo cortisone injection treatment, the court said that it: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...would describe the mitigation test as a subjective/objective test. That is whether the reasonable patient, having all the information at hand that the plaintiff possessed, ought reasonably to have undergone the recommended treatment. The second aspect of the test is "the extent, if any to which the plaintiff's damages </w:t>
      </w:r>
      <w:r>
        <w:rPr>
          <w:rFonts w:ascii="arial" w:eastAsia="arial" w:hAnsi="arial" w:cs="arial"/>
          <w:color w:val="000000"/>
          <w:sz w:val="20"/>
          <w:u w:val="single"/>
          <w:lang w:val="en-US" w:eastAsia="en-US" w:bidi="ar-SA"/>
        </w:rPr>
        <w:t>would have been reduced</w:t>
      </w:r>
      <w:r>
        <w:rPr>
          <w:rFonts w:ascii="arial" w:eastAsia="arial" w:hAnsi="arial" w:cs="arial"/>
          <w:color w:val="000000"/>
          <w:sz w:val="20"/>
          <w:lang w:val="en-US" w:eastAsia="en-US" w:bidi="ar-SA"/>
        </w:rPr>
        <w:t>" by that treatment.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addition, I have considered </w:t>
      </w:r>
      <w:r>
        <w:rPr>
          <w:rFonts w:ascii="arial" w:eastAsia="arial" w:hAnsi="arial" w:cs="arial"/>
          <w:i/>
          <w:color w:val="000000"/>
          <w:sz w:val="20"/>
          <w:lang w:val="en-US" w:eastAsia="en-US" w:bidi="ar-SA"/>
        </w:rPr>
        <w:t>Antoniali v. Massey</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2008 BCSC 1085</w:t>
        </w:r>
      </w:hyperlink>
      <w:r>
        <w:rPr>
          <w:rFonts w:ascii="arial" w:eastAsia="arial" w:hAnsi="arial" w:cs="arial"/>
          <w:color w:val="000000"/>
          <w:sz w:val="20"/>
          <w:lang w:val="en-US" w:eastAsia="en-US" w:bidi="ar-SA"/>
        </w:rPr>
        <w:t>, a decision upon which ICBC relies, where the plaintiff had unreasonably failed to mitigate by failing to embark on an exercise program under the supervision of a personal trainer to rehabilitate herself and to alleviate the continuing effects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turn to my analysis regarding ICBC's submission that Ms. Leslie failed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have considered the medical evidence regarding the number of treatment providers the plaintiff has consulted since the accident. On two different occasions, Ms. Leslie was required to undergo corrective breast surgery - conceded by ICBC to be directly attributable to the injuries suffered in the accident. It is not unreasonable in the circumstances for Ms. Leslie to have tried these surgical options. Although successful cosmetically, the surgeries did not treat her ongoing pain. Since the last surgery, she has consulted her family doctor and Dr. Phillips, even to the point of trying the lidocaine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am not satisfied that Ms. Leslie has failed to mitigate her damages regarding her breast injury by not attending at a pain clinic sooner. I make this finding based on the medical evidence, which demonstrates the various treatments she undertook over the years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her testimony, she explained her rationale for certain decisions she made regarding treatment. Importantly, she had attended medical experts on a regular and consistent basis from the time of the accident to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am not persuaded that ICBC has met its burden that Ms. Leslie has failed to mitigate her damages with respect to her breast injury and resultant chronic pain. I make this finding based on the totality of the evidence presented and in considering the number of practitioners she engaged in the years following the accidents and the steps she took, including corrective surgeries, to try and deal, at least in part, with the chronic pain. The experts agree that Ms. Leslie's breast injury was unusual. Even though Ms. Leslie testified that she reviewed the expert reports (and presumably the recommendations for consultation with a pain specialist), I am not satisfied that "the duty to mitigate", in the circumstances presented here, required Ms. Leslie's immediate attendance at a pain clinic in Vancouver or elsewhere. It is also of note that she was pregnant and nonetheless exploring other options, such as Dr. Phillips' treatment in August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Ms. Leslie seeks compensation for the injuries she suffered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for:</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for pain and suffering:</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past wage loss in the amount of $1000;</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future earning capacity;</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future care costs and loss of homemaker capacity; and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have found Ms. Leslie's most significant injury to be chronic pain involving her left breast, hypersensitivity of her left nipple and, to a lesser extent, a mild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Regarding non-pecuniary damage awards, the case authorities make clear that any award is to compensate the injured party for pain, suffering, loss of enjoyment of life, and loss of amenities. The compensation awarded should be fair to all parties and fairness is measured against awards made in comparable cases. Though helpful, similar cases serve only as a rough guide. Of course,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Kirkpatrick J.A. outlined the factors the court should consider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non-exhaustive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proper approach to assessing injuries that depend on subjective reports of pain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by McEachern C.J., and was quoted with approval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at para. 2. In referring to an earlier decision, McEachern C.J.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at 397 and 399, Chief Justice McEachern, in remarks since quoted many times,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assessment of damages in a moderate or moderately severe whiplash injury is always difficult because plaintiffs, as in this case, are usually genuine, decent people who honestly try to be as objective and as factual as they can. Unfortunately, every injured person has a different understanding of his own complaints and injuries, and it falls to judges to translate injuries to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Ms. Leslie was in her early twenties at the time of the accident. I have found that her prognosis for a full recovery is guarded, although further treatment (injections and/or pain management through a pain clinic) may provide some improvement. Ms. Leslie has managed her pain in a manner that helps her carry on with her day to day activities. The impact of her pain has been significant despite her ability to satisfy her employment obligations and attend to her responsibilities around the home. It is clear from the evidence that Ms. Leslie's efforts in this regard have taken a toll on other aspects of her daily life, including reducing her energy for other activities she enjoyed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When considering the extent and nature of her injuries, the impact on her enjoyment of life and her uncertain prognosis, counsel for Ms. Leslie submits that $140,000 to $210,000 is a reasonable award for non-pecuniary damages. In support of this position, counsel relied on the following case authorities:</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Soligo v. Turner</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2001 BCSC 205</w:t>
        </w:r>
      </w:hyperlink>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Santi v. Pacific National Exhibition</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2000 BCSC 716</w:t>
        </w:r>
      </w:hyperlink>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Manoharan v. Kaur</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2016 BCSC 692</w:t>
        </w:r>
      </w:hyperlink>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Gill v. Lai</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2018 BCSC 101</w:t>
        </w:r>
      </w:hyperlink>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Bellaisac v. Mara</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2015 BCSC 1247</w:t>
        </w:r>
      </w:hyperlink>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Cumpf v. Barbuta</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2014 BCSC 1898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Ms. Leslie submits that these cases, adjusted roughly for inflation, support an award in excess of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ICBC submits that an award for non-pecuniary damages should be in the range of $65,000 - $75,000 and relied on the following case authorities:</w:t>
      </w:r>
      <w:r>
        <w:rPr>
          <w:rFonts w:ascii="arial" w:eastAsia="arial" w:hAnsi="arial" w:cs="arial"/>
          <w:sz w:val="20"/>
          <w:lang w:val="en-US" w:eastAsia="en-US" w:bidi="ar-SA"/>
        </w:rPr>
        <w:cr/>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Rennick v. Miller</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[1996] B.C.J. No. 1229</w:t>
        </w:r>
      </w:hyperlink>
      <w:r>
        <w:rPr>
          <w:rFonts w:ascii="arial" w:eastAsia="arial" w:hAnsi="arial" w:cs="arial"/>
          <w:color w:val="000000"/>
          <w:sz w:val="20"/>
          <w:lang w:val="en-US" w:eastAsia="en-US" w:bidi="ar-SA"/>
        </w:rPr>
        <w:t xml:space="preserve"> (S.C.)</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Hollis v. Birch</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[1990] B.C.J. No. 1059</w:t>
        </w:r>
      </w:hyperlink>
      <w:r>
        <w:rPr>
          <w:rFonts w:ascii="arial" w:eastAsia="arial" w:hAnsi="arial" w:cs="arial"/>
          <w:color w:val="000000"/>
          <w:sz w:val="20"/>
          <w:lang w:val="en-US" w:eastAsia="en-US" w:bidi="ar-SA"/>
        </w:rPr>
        <w:t xml:space="preserve"> (S.C.)</w:t>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Gregory v. Penner</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2010 BCSC 22</w:t>
        </w:r>
      </w:hyperlink>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Carreon-Rivera v. Zhang</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2014 BCSC 709</w:t>
        </w:r>
      </w:hyperlink>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Kingston v. Warden</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2017 BCSC 794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cases cited by both counsels are very different factually. Although the plaintiff's cases all included examples of chronic pain, the injuries were more serious than those presented here. For example, </w:t>
      </w:r>
      <w:r>
        <w:rPr>
          <w:rFonts w:ascii="arial" w:eastAsia="arial" w:hAnsi="arial" w:cs="arial"/>
          <w:i/>
          <w:color w:val="000000"/>
          <w:sz w:val="20"/>
          <w:lang w:val="en-US" w:eastAsia="en-US" w:bidi="ar-SA"/>
        </w:rPr>
        <w:t>Soligo v. Turner</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2001 BCSC 205</w:t>
        </w:r>
      </w:hyperlink>
      <w:r>
        <w:rPr>
          <w:rFonts w:ascii="arial" w:eastAsia="arial" w:hAnsi="arial" w:cs="arial"/>
          <w:color w:val="000000"/>
          <w:sz w:val="20"/>
          <w:lang w:val="en-US" w:eastAsia="en-US" w:bidi="ar-SA"/>
        </w:rPr>
        <w:t xml:space="preserve">, involved a former Olympic-level athlete who was no longer able to participate in her sport. Similarly, ICBC's cases, including </w:t>
      </w:r>
      <w:r>
        <w:rPr>
          <w:rFonts w:ascii="arial" w:eastAsia="arial" w:hAnsi="arial" w:cs="arial"/>
          <w:i/>
          <w:color w:val="000000"/>
          <w:sz w:val="20"/>
          <w:lang w:val="en-US" w:eastAsia="en-US" w:bidi="ar-SA"/>
        </w:rPr>
        <w:t>Gregory v. Penner</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2010 BCSC 22</w:t>
        </w:r>
      </w:hyperlink>
      <w:r>
        <w:rPr>
          <w:rFonts w:ascii="arial" w:eastAsia="arial" w:hAnsi="arial" w:cs="arial"/>
          <w:color w:val="000000"/>
          <w:sz w:val="20"/>
          <w:lang w:val="en-US" w:eastAsia="en-US" w:bidi="ar-SA"/>
        </w:rPr>
        <w:t>, do not have the same aggravating features as those demonstrated by Ms. Leslie and consistent with the findings of fact I have made regarding her injuries. I have also considered ICBC's position regarding the psychological aspect of Ms. Leslie's condition and have adjusted the pain and suffering award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Taking into account the authorities and the findings of fact made, I am satisfied that $125,000 will properly compensate Ms. Leslie for her pain and suffering and loss of past and future enjoyment of life, including the psychological features identified by Dr. Latimer and as submitted by ICBC.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parties agree that the plaintiff missed work while she was recovering from the second corrective surgery and agree that $1000 is an appropriate award for Ms. Leslie's past wage loss. Accordingly, I award $1000 under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This is the most significant aspect of Ms. Leslie's claim. I will deal here with the vocational evidence presented, the legal analysis and my findings. Again, ICBC takes the position that Ms. Leslie has failed to prove any entitlement to an award for loss of future earning capacity.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Vocational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To repeat somewhat, Ms. Leslie was a nursing student when the accident occurred. She completed her program in 2016, was employed full-time as a casual employee and was hired on a full-time permanent basis on the UHNBC surgical ward in January 2018. Ms. Leslie took time off work to recover from the corrective surgeries. She has otherwise not missed anytime off work as a result of her breast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Relevant to the loss of earning capacity claim is Ms. Leslie's evidence about pain management. Ms. Leslie testified that she works through the pain because she does not wish to take pain medication during her shifts. However, she described the toll her job takes on her and, importantly, the time necessary to recover. She testified that she typically uses her first two days off to recoup her energy and manage her pain. She is unable to perform any day-to-day tasks during this recovery time. Before her pregnancy and between rotations, she would take pain medication. This is reflected in Dr. Siegling's list of pain medication prescribed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Matthew Aikens described his observations of his spouse after she had finished a rotation. He described his partner when she returned home from work and testified she would want to just rest. Although she rarely expressed being in pain, Mr. Aikens testified that he believed, based on her actions, that she was in pain all the time. He described the long hours he also works and the fact that he now takes on much more of the household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Brenda Leslie was asked to describe how her daughter coped with her work schedule. She was perturbed by her daughter's use of pain medication. She described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 pills along that I see on her counter - shock me the volume she is taking - and not doing anything [physically].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For 2017, Ms. Leslie's reported total income to CRA was $87,382.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Dean Powers, a vocational rehabilitation consultant, testified about his observations and findings relating to Ms. Leslie's employability. In his report of October 31, 2017,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Ms. Leslie is in a difficult position. The available medical information indicates that she will likely have a permanent disability with longstanding and potentially permanent pain in her left breast/chest with physical exertion. Based on the results of functional testing, she is now poorly suited to nursing positions involving exposure to patient handling demands and is likely to experience exacerbated pain symptoms in such roles. I am guarded with respect to her ability to maintain her current work pace and schedule over the mid to long term and I would expert her to have difficulty taking on extensive overtime hours. Furthermore, with respect to her pre-injury aspiration to become an emergency room nurse, this is likely no longer a viable option given the higher paced setting, varied patient handling demands, potential need to give chest compressions under emergency conditions, and increased risk of being struck with a more varied patient population.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Considering Ms. Leslie's need for light or minimal patient handling demands over the long term, she would likely also be a poor candidate for several other nursing positions ... If she is to continue working in the nursing field, Ms. Leslie will need to be selective in her choice of employment and consider the requirements for patient handling with less independent patients, extensive hours, the degree and frequency of reaching and strength demands, and work pace in any future work opportunities. The need will be even more pronounced should she have children and be placed in the position of managing child-rearing demands along with post-work pain. In such an event, Ms. Leslie will more likely than not have to either significantly reduce her hours and/or duties or seek a lighter strength nursing position such as those found in community health, nursing education and research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final analysis, I am of the opinion that Ms. Leslie's situation is a tenuous one. Despite treatment to date including two corrective surgeries, she continues to experience ongoing left breast/chest pain and functional limitations that impact her ability to perform her work activities and negatively affect her quality of life outside of work. To her credit, she has been able to manage her work duties to date through a combination of perseverance and significant daily medication use... I am of the opinion that Ms. Leslie has sustained a significant loss in her competitive employability and capacity for working both within and outside her chosen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During cross-examination, Dr. Powers agreed that he relied on the medical reports provided to him because he is not a medical doctor. He had reviewed Dr. Arneja's and Dr. Siegling's medical report when he prepared his assessment and testified that his opinion regarding employability was based on those medical opinions.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Future Earning Capacity -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A loss of future earning capacity may be awarded where the plaintiff has established a "real and substantial possibility of a future event leading to an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The loss is to be assessed based on the probability of the occurrence of future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 claim for loss of future earning capacity raises two key questions: has the Plaintiff's earning capacity been impaired by his or her injuries; and, if so, what compensation should be awarded for the resulting financial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Fisher J. (as she then was) summarized the principles to be considered in determining a claim for loss of future earning capacity in </w:t>
      </w:r>
      <w:r>
        <w:rPr>
          <w:rFonts w:ascii="arial" w:eastAsia="arial" w:hAnsi="arial" w:cs="arial"/>
          <w:i/>
          <w:color w:val="000000"/>
          <w:sz w:val="20"/>
          <w:lang w:val="en-US" w:eastAsia="en-US" w:bidi="ar-SA"/>
        </w:rPr>
        <w:t>Chappell v. Loyie</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2016 BCSC 1722</w:t>
        </w:r>
      </w:hyperlink>
      <w:r>
        <w:rPr>
          <w:rFonts w:ascii="arial" w:eastAsia="arial" w:hAnsi="arial" w:cs="arial"/>
          <w:color w:val="000000"/>
          <w:sz w:val="20"/>
          <w:lang w:val="en-US" w:eastAsia="en-US" w:bidi="ar-SA"/>
        </w:rPr>
        <w:t xml:space="preserve"> at paras. 222-225:</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award for future loss of income is to compensate a plaintiff for his loss of earning capacity. This kind of loss is also proven, not on a balance of probabilities, but if the plaintiff establishes that it is a real and substantial possibility that he will suffer a future income loss: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 factors for courts to consider in assessing a loss of earning capacity were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factors must be considered in the context of each case in order to determine what a particular plaintiff would realistically have done in the future had the injuries not occurred. If the plaintiff proves a real and substantial possibility of a future event leading to an income loss, that loss may be quantified either on a capital asset approach (where the loss is not easily measurable) or an earnings approach (where it is easily measurable):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This assessment should also take into account both positive and negative contingencies to be given weight according to their relative likelihood: </w:t>
      </w:r>
      <w:r>
        <w:rPr>
          <w:rFonts w:ascii="arial" w:eastAsia="arial" w:hAnsi="arial" w:cs="arial"/>
          <w:i/>
          <w:color w:val="000000"/>
          <w:sz w:val="20"/>
          <w:lang w:val="en-US" w:eastAsia="en-US" w:bidi="ar-SA"/>
        </w:rPr>
        <w:t>Cook</w:t>
      </w:r>
      <w:r>
        <w:rPr>
          <w:rFonts w:ascii="arial" w:eastAsia="arial" w:hAnsi="arial" w:cs="arial"/>
          <w:color w:val="000000"/>
          <w:sz w:val="20"/>
          <w:lang w:val="en-US" w:eastAsia="en-US" w:bidi="ar-SA"/>
        </w:rPr>
        <w:t xml:space="preserve"> at para. 218.</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future loss of capacity may be established even where a plaintiff continues in the same job and continues to earn the same income as he did before the accident: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Chang v. Feng</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2008 BCSC 49</w:t>
        </w:r>
      </w:hyperlink>
      <w:r>
        <w:rPr>
          <w:rFonts w:ascii="arial" w:eastAsia="arial" w:hAnsi="arial" w:cs="arial"/>
          <w:color w:val="000000"/>
          <w:sz w:val="20"/>
          <w:lang w:val="en-US" w:eastAsia="en-US" w:bidi="ar-SA"/>
        </w:rPr>
        <w:t xml:space="preserve">. However, unless there is evidence that the plaintiff is disabled from performing some of his duties, or is unable to perform a realistic occupation, a future loss will not be proven: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Kathuria v. Wildgrove</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2015 BCCA 186</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(S.C.) at para. 24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paras. 18-19.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 assessment will necessarily involve a comparison between what the plaintiff would probably have earned if the accident had never occurred and what she probably will earn having suffered the injuries in the accident: </w:t>
      </w:r>
      <w:r>
        <w:rPr>
          <w:rFonts w:ascii="arial" w:eastAsia="arial" w:hAnsi="arial" w:cs="arial"/>
          <w:i/>
          <w:color w:val="000000"/>
          <w:sz w:val="20"/>
          <w:lang w:val="en-US" w:eastAsia="en-US" w:bidi="ar-SA"/>
        </w:rPr>
        <w:t>Kondor v. Shea</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2014 BCSC 2146</w:t>
        </w:r>
      </w:hyperlink>
      <w:r>
        <w:rPr>
          <w:rFonts w:ascii="arial" w:eastAsia="arial" w:hAnsi="arial" w:cs="arial"/>
          <w:color w:val="000000"/>
          <w:sz w:val="20"/>
          <w:lang w:val="en-US" w:eastAsia="en-US" w:bidi="ar-SA"/>
        </w:rPr>
        <w:t xml:space="preserve"> at para.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The "earnings approach" will generally be more useful when the loss is easily measurable: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Has a loss of earning capacity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The first issue to determine is whether Ms. Leslie has proven a loss of earning capacity. Ms. Leslie submits that even though she has continued to work and has not taken time off, her claim for loss of future earning capacity is nonetheless established. In support of her position, Ms. Leslie refers to a line of authorities based on the loss of capital asset. This approach was described by Justice Smith in, </w:t>
      </w:r>
      <w:r>
        <w:rPr>
          <w:rFonts w:ascii="arial" w:eastAsia="arial" w:hAnsi="arial" w:cs="arial"/>
          <w:i/>
          <w:color w:val="000000"/>
          <w:sz w:val="20"/>
          <w:lang w:val="en-US" w:eastAsia="en-US" w:bidi="ar-SA"/>
        </w:rPr>
        <w:t>Willett v. Rose</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2017 BCSC 627</w:t>
        </w:r>
      </w:hyperlink>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in circumstances where employment data appear to show no reduction or even an increase in income following an injury, where a plaintiff continues to suffer to some degree from the effects of an accident which have an impact on his work, there is an impairment of earning capacity. For example, in </w:t>
      </w:r>
      <w:r>
        <w:rPr>
          <w:rFonts w:ascii="arial" w:eastAsia="arial" w:hAnsi="arial" w:cs="arial"/>
          <w:i/>
          <w:color w:val="000000"/>
          <w:sz w:val="20"/>
          <w:lang w:val="en-US" w:eastAsia="en-US" w:bidi="ar-SA"/>
        </w:rPr>
        <w:t>Cheung v. MacDonald et al</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2004 BCSC 222</w:t>
        </w:r>
      </w:hyperlink>
      <w:r>
        <w:rPr>
          <w:rFonts w:ascii="arial" w:eastAsia="arial" w:hAnsi="arial" w:cs="arial"/>
          <w:color w:val="000000"/>
          <w:sz w:val="20"/>
          <w:lang w:val="en-US" w:eastAsia="en-US" w:bidi="ar-SA"/>
        </w:rPr>
        <w:t>, it was argued that the plaintiff's income following the accident was higher than it had ever been. Mr. Justice Ehrcke said at paras. 84 and 85: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[84] As logically rigorous as that approach seems to be, it ignores the reality that Dr. Cheung continues to suffer to some degree from the effects of the accident, and that these effects have an impact on his work. While he may have demonstrated that he can, if he wills himself to, carry on and produce billings as high as before, one must ask whether it is reasonable to expect him to do so in the face of the pain he must endure.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The proper question under this head of damages is not simply whether a plaintiff will suffer an actual wage loss, but rather whether there has been an impairment of his income-earning capacity. This latter approach treats the ability to earn income as a capital asset, and the proper question is then whether that asset has in any way been diminished by reason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6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view of the plaintiff's continuing pain and limitation, I find that her ability to earn income is likely to be impaired in the future. This impairment may be reflected by a reduced workload at some point or by the plaintiff retiring at a date earlier than she would otherwise have done. It is, of course, impossible to predict when those events may occur and there are no precise assumptions or reliable mathematical calculations that can be used in quantifying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ICBC takes the position that the evidence does not support an award for loss of earning capacity and does not agree that Ms. Leslie is entitled to damages for loss of future earning capacity. ICBC says there is no real and substantial possibility of future losses in the plaintiff's income as a result of the accident because:</w:t>
      </w:r>
      <w:r>
        <w:rPr>
          <w:rFonts w:ascii="arial" w:eastAsia="arial" w:hAnsi="arial" w:cs="arial"/>
          <w:sz w:val="20"/>
          <w:lang w:val="en-US" w:eastAsia="en-US" w:bidi="ar-SA"/>
        </w:rPr>
        <w:cr/>
      </w:r>
    </w:p>
    <w:p>
      <w:pPr>
        <w:numPr>
          <w:numId w:val="6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 strong history of post-accident work;</w:t>
      </w:r>
    </w:p>
    <w:p>
      <w:pPr>
        <w:numPr>
          <w:numId w:val="6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evidence does not support that she is limited in her line of employment; and</w:t>
      </w:r>
    </w:p>
    <w:p>
      <w:pPr>
        <w:numPr>
          <w:numId w:val="6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loss because she is a unionized employee entitled to reasonable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I have considered the words of Finch J.A.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 there is no clear medical evidence that the plaintiff has a diminished ability to earn income in the future, or, if so, the extent to which that ability is diminished. On the other hand, there is uncontradicted medical evidence of partial permanent physical disability which could have an effect on his capacity to work, and on his employability. I would conclude that his earning capacity has been reduced, even though he presently earns more than he did before he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Those words are apt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Leslie has persevered with her employment responsibilities. She described the enormous effort that was required to do so. Her testimony was not challenged when she testified that she believed her relative youth and drive to achieve were what enabled her to maintain her nursing duties. She nonetheless believes that she will not be able to maintain this pace much longer. Mr. Kerr was also of the opinion that she could not sustain her current schedule in the long term. In addition, the medical evidence supports the existence of ongoing chronic pain to her left breast. I am satisfied, based on the totality of the evidence, that there is a real and substantial possibility of a future event leading to income loss. In other words, I am satisfied that there is cogent evidence that demonstrates Ms. Leslie's earning capacity has been reduced, even though she presently has not missed time from work as a result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With the introduction of children, the evidence suggests that Ms. Leslie may no longer be able to use her days off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am satisfied that Ms. Leslie has established that there is a real and substantial possibility of a future loss of capacity to earn income.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Assessment of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Ms. Leslie presented a number of scenarios for assessing any loss of future earning capacity. Those scenarios suggest an award for loss of future earning capacity of $681,000 to $715,760. In support of these scenarios, she relies on Mr. Benning's earnings calculations and states "while the present case is best assessed as a loss of capital asset approach, actuarial evidence, implicit to the earnings approach is utilized in order to provide a series of benchmarks upon which a court can exercise its discretion in quantifying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Though the capital asset approach is not a "mathematical calculation", the trial judge must still explain the factual basis of the award: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Villing v. Husseni</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2016 BCCA 422</w:t>
        </w:r>
      </w:hyperlink>
      <w:r>
        <w:rPr>
          <w:rFonts w:ascii="arial" w:eastAsia="arial" w:hAnsi="arial" w:cs="arial"/>
          <w:color w:val="000000"/>
          <w:sz w:val="20"/>
          <w:lang w:val="en-US" w:eastAsia="en-US" w:bidi="ar-SA"/>
        </w:rPr>
        <w:t>, Savage J.A. wrote the following regarding the capital asset approach, employing it with respect to a 17 year-old Plaintiff:</w:t>
      </w:r>
      <w:r>
        <w:rPr>
          <w:rFonts w:ascii="arial" w:eastAsia="arial" w:hAnsi="arial" w:cs="arial"/>
          <w:sz w:val="20"/>
          <w:lang w:val="en-US" w:eastAsia="en-US" w:bidi="ar-SA"/>
        </w:rPr>
        <w:cr/>
      </w:r>
    </w:p>
    <w:p>
      <w:pPr>
        <w:numPr>
          <w:numId w:val="7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Using the capital asset approach does not mean the assessment is unstructured. I agree with Garson J.A.'s observations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w:t>
      </w:r>
    </w:p>
    <w:p>
      <w:pPr>
        <w:numPr>
          <w:numId w:val="7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assessment is still to be based on the capital asset approach the judge must consider the four questions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in the context of the facts of this case and make findings of fact as to the nature and extent of the plaintiff's loss of capacity and how that loss may impact the plaintiff's ability to earn income. </w:t>
      </w:r>
      <w:r>
        <w:rPr>
          <w:rFonts w:ascii="arial" w:eastAsia="arial" w:hAnsi="arial" w:cs="arial"/>
          <w:color w:val="000000"/>
          <w:sz w:val="20"/>
          <w:u w:val="single"/>
          <w:lang w:val="en-US" w:eastAsia="en-US" w:bidi="ar-SA"/>
        </w:rPr>
        <w:t>Adopting the capital asset approach does not mean that the assessment is entirely at large without the necessity to explain the factual basis of the award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Morris v. Rose Estate</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at para. 24, </w:t>
      </w:r>
      <w:hyperlink r:id="rId583" w:history="1">
        <w:r>
          <w:rPr>
            <w:rFonts w:ascii="arial" w:eastAsia="arial" w:hAnsi="arial" w:cs="arial"/>
            <w:i/>
            <w:color w:val="0077CC"/>
            <w:sz w:val="20"/>
            <w:u w:val="single"/>
            <w:shd w:val="clear" w:color="auto" w:fill="FFFFFF"/>
            <w:lang w:val="en-US" w:eastAsia="en-US" w:bidi="ar-SA"/>
          </w:rPr>
          <w:t>75 B.C.A.C. 263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w:t>
      </w:r>
      <w:hyperlink r:id="rId420" w:history="1">
        <w:r>
          <w:rPr>
            <w:rFonts w:ascii="arial" w:eastAsia="arial" w:hAnsi="arial" w:cs="arial"/>
            <w:i/>
            <w:color w:val="0077CC"/>
            <w:sz w:val="20"/>
            <w:u w:val="single"/>
            <w:shd w:val="clear" w:color="auto" w:fill="FFFFFF"/>
            <w:lang w:val="en-US" w:eastAsia="en-US" w:bidi="ar-SA"/>
          </w:rPr>
          <w:t>63 B.C.A.C. 145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am satisfied that, based on the totality of the vocational evidence, Ms. Leslie has been rendered less capable overall of earning income because of her physical limitations caused by the accident. I am also satisfied that she could be less marketable as a nurse and is less valuable to herself as a person capable of earning income in her chosen vocation.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However, I am of the view that the scenarios presented in the plaintiff's closing submission are simply too pessimistic. Based on the submissions and the evidence presented regarding the impact of the injury on employability, I have adopted Mr. Benning's formula to assess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Weighing the different methods of assessment, and the positive and negative contingencies, and taking into account her age, I consider Ms. Leslie will be able to work at approximately 85% full-time capacity once she returns from maternity leave(s). In my view, based on the evidence presented, the reduced workload should take her through to the age of retirement of 67 years old. In reaching this conclusion, I have taken into account positive and negative contingencies, including a second maternity leave and treatment prospects from the pain clinic, which may include injections. I thus consider a reasonable assessment of the plaintiff's loss of earning capacity to be approximately $183,730. I have relied on Mr. Benning's report and used the example presented to him of an approximate $10,000 per year loss from the time Ms. Leslie re-enters the workforce (after maternity leave) and retires at age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appreciate Ms. Leslie's employment future is unknown, in part because she is yet to undertake treatment at the pain clinic and has not examined other nursing opportunities that may be more conducive to her condition. I have tried to address the uncertainty as best I am able and have structured the assessment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My consideration of these figures takes into account the positive contingency that she would continue to work a nurse, or in a similar position, with part-time accommodation working at about 85% capacity, with the anticipated earning increases over her professional life, along with the negative contingencies. Applying the economic multiplier identified by Mr. Benning, which includes labour market contingencies, the present value of this loss is $183,730. This does not take into account time out of the workforce but rather, it is based on working at about 85% capacity to retirement at a position similar to that of a nurse at her average pre-accident salary of approximately $87,000. As a round estimate, I assess Ms. Leslie's loss of future earning capacity as of January 29, 2019, to be $190,000.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Ms. Leslie is entitled to compensation for the cost of future care based on what is reasonably necessary to restore her to her pre-accident condition, insofar as that is possible. When full restoration cannot be achieved, the court must strive to ensure full compensation by ensuring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para. 172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(Guardian ad litem of) v. Low</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at para. 48; </w:t>
      </w:r>
      <w:r>
        <w:rPr>
          <w:rFonts w:ascii="arial" w:eastAsia="arial" w:hAnsi="arial" w:cs="arial"/>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at para. 55;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The test for determining the appropriate award for the future care is objective, and must be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199;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However, the award may also be reduced or increased based on the prospect of improvement or deterioration in the plaintiff's condition. Each case falls to be determined on its particular facts: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 Again, assessing a future cost of care award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plaintiff submits $131,292 represents the present day value of future care costs as set out more fully in the report of Claudia Walker, an occupational therapist. Ms. Walker considered the impact of the neuropathic pain in the plaintiff's left chest wall had on her ability to perform domestic labour. In addition to the future care costs as identified by Ms. Walker, the plaintiff seeks $21,000 for her attendance at five-week pain clinic in Vancouver. Although the court is warned to avoid duplication, the plaintiff also seeks an award for loss of homemaker capacity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ICBC disagrees that Ms. Leslie is entitled to any award for future care costs. ICBC submits that there is available treatment in the public health system that the plaintiff can access. In addition, ICBC says there is no basis for Ms. Leslie to attend at the pain clinic in Vancouver because the multi-disciplinary approach is not required in this case. As for psychological counseling, ICBC submits that this cost is not warranted on the evidence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am satisfied that the medical evidence establishes an entitlement to future care costs sought by Ms. Leslie, including the $21,000 for attendance at the pain clinic. Dr. Van Laeken recommended that Ms. Leslie consult a pain specialist "for multiple purposes." I have determined that the future care costs are reasonable in the circumstances and consistent with my finding that Ms. Leslie will be able to work at approximately 85% of full time employment to a retirement age of 67 years. That assessment is based on "successful" ongoing treatment for her chronic pain and includes attendance at a multi-disciplinary pain clinic - recommended almost universally by the medical experts who presented evidence at this trial. Each of the items identified here will support Ms. Leslie's employment responsibilities. I am satisfied that Ms. Leslie has established, on the medical evidence, the necessity of these specified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[QL:GRAPHIC NAME="19BC0584-1.jpg"/]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Regarding Ms. Leslie's claim for future housekeeping costs, I am satisfied based on the evidence of Ms. Leslie, Mr. Aikens and the medical experts that she is less able to contribute to household tasks than she performed before the accident. I heard evidence from Mr. Aikens about his contribution to household and yard activities after the accident. I am satisfied that working at almost full-time capacity will continue to impact her ability to contribute to day-to-day household tasks. As such, I am satisfied that some household service support has been established. That said, I have not allowed for yard work as, in my view, it was unclear on the evidence presented about the division of labour when it came to yard work. That is particularly so with respect to mowing the lawn. This was a task that Ms. Leslie insisted that she perform even after the accident and it seemed that would not change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have allowed for housekeeping services for 15 years taking into account Ms. Leslie's employment and the "burden" of having children. Once her children are older, it is likely that Ms. Leslie will no longer require the additional homemaking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Ms. Walker testified that Ms. Leslie would benefit from a short-term occupational therapy program after the birth of her child. This recommendation was based on her assessment, professional experience and the medical reports. She justified this expense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Caring for an infant requires a good level of manual handling capacity due to the amount of lifting and carrying required. This is all completed with both arms and is very likely to increase Ms. Leslie's pain levels - particularly as her child grows... I recommend that she receives education and training in alternative handling techniques and prescription of childcare equipment from an occupational therapist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have considered Mr. Benning's multiplier value in assessing the present day value of the items I have allowed. Considering most of the items will be expended at the outset and the only ongoing expense will be housekeeping, I have assessed the award for cost of future care to be $25,000.00.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addition, and having considered the limited admissions made by ICBC, I award $21,000 for the cost of Ms. Leslie's attendance at the pain clinic in Vancouver.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Ms. Leslie seeks $15,066 for special damages, including prescription medication and the cost associated with two corrective surgeries ($12,075.00). ICBC takes no issue with the cost of the corrective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 reviewed the collection of documents filed as Exhibit 11 at trial. The balance of the special damages claim relates to prescription medications. I am satisfied based on the medical evidence presented and Ms. Leslie's testimony that these costs were warranted in the circumstances. I therefore order special damages to be paid in the amount of $15,066.00.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summary, damages are awarded as follows:</w:t>
      </w:r>
      <w:r>
        <w:rPr>
          <w:rFonts w:ascii="arial" w:eastAsia="arial" w:hAnsi="arial" w:cs="arial"/>
          <w:sz w:val="20"/>
          <w:lang w:val="en-US" w:eastAsia="en-US" w:bidi="ar-SA"/>
        </w:rPr>
        <w:cr/>
      </w:r>
    </w:p>
    <w:p>
      <w:pPr>
        <w:numPr>
          <w:numId w:val="7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$125,000</w:t>
      </w:r>
    </w:p>
    <w:p>
      <w:pPr>
        <w:numPr>
          <w:numId w:val="7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 1,000</w:t>
      </w:r>
    </w:p>
    <w:p>
      <w:pPr>
        <w:numPr>
          <w:numId w:val="7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 190,000</w:t>
      </w:r>
    </w:p>
    <w:p>
      <w:pPr>
        <w:numPr>
          <w:numId w:val="7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Cost of Care 25,000</w:t>
      </w:r>
    </w:p>
    <w:p>
      <w:pPr>
        <w:numPr>
          <w:numId w:val="7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Attendance at Pain Clinic 21,000</w:t>
      </w:r>
    </w:p>
    <w:p>
      <w:pPr>
        <w:numPr>
          <w:numId w:val="7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Special Damages 15,066 </w:t>
      </w: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$377,066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If the parties are unable to agree on costs, they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 thank counsel for their helpful written submissions provided prior to the commencement of the closing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WINTERINGHAM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29" style="position:absolute;z-index:25182617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36"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36"/>
      <w:r>
        <w:rPr>
          <w:rFonts w:ascii="arial" w:eastAsia="arial" w:hAnsi="arial" w:cs="arial"/>
          <w:sz w:val="20"/>
          <w:lang w:val="en-US" w:eastAsia="en-US" w:bidi="ar-SA"/>
        </w:rPr>
        <w:tab/>
      </w:r>
      <w:r>
        <w:rPr>
          <w:rFonts w:ascii="arial" w:eastAsia="arial" w:hAnsi="arial" w:cs="arial"/>
          <w:color w:val="6D6E71"/>
          <w:sz w:val="18"/>
          <w:lang w:val="en-US" w:eastAsia="en-US" w:bidi="ar-SA"/>
        </w:rPr>
        <w:t>The Plaintiff married after the proceedings commenced and acquired the surname, Aikens. To avoid confusion and for consistency with the pleadings, counsel and exhibits, I will refer to her as Ms. Leslie in these reasons.</w:t>
      </w:r>
    </w:p>
    <w:p>
      <w:pPr>
        <w:spacing w:before="120" w:after="20" w:line="240" w:lineRule="atLeast"/>
        <w:ind w:left="720" w:hanging="360"/>
        <w:jc w:val="both"/>
        <w:rPr>
          <w:rFonts w:ascii="arial" w:eastAsia="arial" w:hAnsi="arial" w:cs="arial"/>
          <w:sz w:val="20"/>
          <w:lang w:val="en-US" w:eastAsia="en-US" w:bidi="ar-SA"/>
        </w:rPr>
      </w:pPr>
      <w:bookmarkStart w:id="137"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137"/>
      <w:r>
        <w:rPr>
          <w:rFonts w:ascii="arial" w:eastAsia="arial" w:hAnsi="arial" w:cs="arial"/>
          <w:sz w:val="20"/>
          <w:lang w:val="en-US" w:eastAsia="en-US" w:bidi="ar-SA"/>
        </w:rPr>
        <w:tab/>
      </w:r>
      <w:r>
        <w:rPr>
          <w:rFonts w:ascii="arial" w:eastAsia="arial" w:hAnsi="arial" w:cs="arial"/>
          <w:color w:val="6D6E71"/>
          <w:sz w:val="18"/>
          <w:lang w:val="en-US" w:eastAsia="en-US" w:bidi="ar-SA"/>
        </w:rPr>
        <w:t>In the Amended Notice of Civil Claim, the plaintiff claims that a 2004 GMC Sierra bearing BC license plate number HL1747 owned and operated by the Defendant Dool came into collision with a grey 2006 Ford Escape bearing BC license plate number 027MKS operated by the Defendant Mr. Leslie and owned by the Defendant Ms. Tewinkel.</w:t>
      </w:r>
    </w:p>
    <w:p>
      <w:pPr>
        <w:spacing w:before="120" w:after="20" w:line="240" w:lineRule="atLeast"/>
        <w:ind w:left="720" w:hanging="360"/>
        <w:jc w:val="both"/>
        <w:rPr>
          <w:rFonts w:ascii="arial" w:eastAsia="arial" w:hAnsi="arial" w:cs="arial"/>
          <w:sz w:val="20"/>
          <w:lang w:val="en-US" w:eastAsia="en-US" w:bidi="ar-SA"/>
        </w:rPr>
      </w:pPr>
      <w:bookmarkStart w:id="138"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138"/>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With respect to this objection, counsel relied on </w:t>
      </w:r>
      <w:r>
        <w:rPr>
          <w:rFonts w:ascii="arial" w:eastAsia="arial" w:hAnsi="arial" w:cs="arial"/>
          <w:i/>
          <w:color w:val="6D6E71"/>
          <w:sz w:val="18"/>
          <w:lang w:val="en-US" w:eastAsia="en-US" w:bidi="ar-SA"/>
        </w:rPr>
        <w:t>Lozinski v. Maple Ridge (District)</w:t>
      </w:r>
      <w:r>
        <w:rPr>
          <w:rFonts w:ascii="arial" w:eastAsia="arial" w:hAnsi="arial" w:cs="arial"/>
          <w:color w:val="6D6E71"/>
          <w:sz w:val="18"/>
          <w:lang w:val="en-US" w:eastAsia="en-US" w:bidi="ar-SA"/>
        </w:rPr>
        <w:t xml:space="preserve">, </w:t>
      </w:r>
      <w:hyperlink r:id="rId584" w:history="1">
        <w:r>
          <w:rPr>
            <w:rFonts w:ascii="arial" w:eastAsia="arial" w:hAnsi="arial" w:cs="arial"/>
            <w:i/>
            <w:color w:val="0077CC"/>
            <w:sz w:val="18"/>
            <w:u w:val="single"/>
            <w:shd w:val="clear" w:color="auto" w:fill="FFFFFF"/>
            <w:lang w:val="en-US" w:eastAsia="en-US" w:bidi="ar-SA"/>
          </w:rPr>
          <w:t>2015 BCSC 2565</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Turpin v. Manufacturers Life Insurance Company</w:t>
      </w:r>
      <w:r>
        <w:rPr>
          <w:rFonts w:ascii="arial" w:eastAsia="arial" w:hAnsi="arial" w:cs="arial"/>
          <w:color w:val="6D6E71"/>
          <w:sz w:val="18"/>
          <w:lang w:val="en-US" w:eastAsia="en-US" w:bidi="ar-SA"/>
        </w:rPr>
        <w:t xml:space="preserve">, </w:t>
      </w:r>
      <w:hyperlink r:id="rId585" w:history="1">
        <w:r>
          <w:rPr>
            <w:rFonts w:ascii="arial" w:eastAsia="arial" w:hAnsi="arial" w:cs="arial"/>
            <w:i/>
            <w:color w:val="0077CC"/>
            <w:sz w:val="18"/>
            <w:u w:val="single"/>
            <w:shd w:val="clear" w:color="auto" w:fill="FFFFFF"/>
            <w:lang w:val="en-US" w:eastAsia="en-US" w:bidi="ar-SA"/>
          </w:rPr>
          <w:t>2011 BCSC 1159</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Maras v. Seemore Entertainment Ltd.</w:t>
      </w:r>
      <w:r>
        <w:rPr>
          <w:rFonts w:ascii="arial" w:eastAsia="arial" w:hAnsi="arial" w:cs="arial"/>
          <w:color w:val="6D6E71"/>
          <w:sz w:val="18"/>
          <w:lang w:val="en-US" w:eastAsia="en-US" w:bidi="ar-SA"/>
        </w:rPr>
        <w:t xml:space="preserve">, </w:t>
      </w:r>
      <w:hyperlink r:id="rId586" w:history="1">
        <w:r>
          <w:rPr>
            <w:rFonts w:ascii="arial" w:eastAsia="arial" w:hAnsi="arial" w:cs="arial"/>
            <w:i/>
            <w:color w:val="0077CC"/>
            <w:sz w:val="18"/>
            <w:u w:val="single"/>
            <w:shd w:val="clear" w:color="auto" w:fill="FFFFFF"/>
            <w:lang w:val="en-US" w:eastAsia="en-US" w:bidi="ar-SA"/>
          </w:rPr>
          <w:t>2014 BCSC 1109</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Araya v. Nevsun Resources Ltd.</w:t>
      </w:r>
      <w:r>
        <w:rPr>
          <w:rFonts w:ascii="arial" w:eastAsia="arial" w:hAnsi="arial" w:cs="arial"/>
          <w:color w:val="6D6E71"/>
          <w:sz w:val="18"/>
          <w:lang w:val="en-US" w:eastAsia="en-US" w:bidi="ar-SA"/>
        </w:rPr>
        <w:t xml:space="preserve">, </w:t>
      </w:r>
      <w:hyperlink r:id="rId587" w:history="1">
        <w:r>
          <w:rPr>
            <w:rFonts w:ascii="arial" w:eastAsia="arial" w:hAnsi="arial" w:cs="arial"/>
            <w:i/>
            <w:color w:val="0077CC"/>
            <w:sz w:val="18"/>
            <w:u w:val="single"/>
            <w:shd w:val="clear" w:color="auto" w:fill="FFFFFF"/>
            <w:lang w:val="en-US" w:eastAsia="en-US" w:bidi="ar-SA"/>
          </w:rPr>
          <w:t>2017 BCCA 401</w:t>
        </w:r>
      </w:hyperlink>
      <w:r>
        <w:rPr>
          <w:rFonts w:ascii="arial" w:eastAsia="arial" w:hAnsi="arial" w:cs="arial"/>
          <w:color w:val="6D6E71"/>
          <w:sz w:val="18"/>
          <w:lang w:val="en-US" w:eastAsia="en-US" w:bidi="ar-SA"/>
        </w:rPr>
        <w:t xml:space="preserve">; and </w:t>
      </w:r>
      <w:r>
        <w:rPr>
          <w:rFonts w:ascii="arial" w:eastAsia="arial" w:hAnsi="arial" w:cs="arial"/>
          <w:i/>
          <w:color w:val="6D6E71"/>
          <w:sz w:val="18"/>
          <w:lang w:val="en-US" w:eastAsia="en-US" w:bidi="ar-SA"/>
        </w:rPr>
        <w:t>R v. King</w:t>
      </w:r>
      <w:r>
        <w:rPr>
          <w:rFonts w:ascii="arial" w:eastAsia="arial" w:hAnsi="arial" w:cs="arial"/>
          <w:color w:val="6D6E71"/>
          <w:sz w:val="18"/>
          <w:lang w:val="en-US" w:eastAsia="en-US" w:bidi="ar-SA"/>
        </w:rPr>
        <w:t xml:space="preserve">, </w:t>
      </w:r>
      <w:hyperlink r:id="rId588" w:history="1">
        <w:r>
          <w:rPr>
            <w:rFonts w:ascii="arial" w:eastAsia="arial" w:hAnsi="arial" w:cs="arial"/>
            <w:i/>
            <w:color w:val="0077CC"/>
            <w:sz w:val="18"/>
            <w:u w:val="single"/>
            <w:shd w:val="clear" w:color="auto" w:fill="FFFFFF"/>
            <w:lang w:val="en-US" w:eastAsia="en-US" w:bidi="ar-SA"/>
          </w:rPr>
          <w:t>2010 BCSC 1402</w:t>
        </w:r>
      </w:hyperlink>
      <w:r>
        <w:rPr>
          <w:rFonts w:ascii="arial" w:eastAsia="arial" w:hAnsi="arial" w:cs="arial"/>
          <w:color w:val="6D6E71"/>
          <w:sz w:val="18"/>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0"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Mattice v. Kirby, [2014] I.L.R. para. M-2762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Jenkins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April 16,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M134510</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[2014] I.L.R. para. M-2762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[2014] B.C.J. No. 687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2014 BCSC 657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Thomas Larry Mattice Plaintiff v. Gerald Arthur Kirby Defendant</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1"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9" w:name="Keywords_16"/>
      <w:bookmarkEnd w:id="139"/>
      <w:r>
        <w:rPr>
          <w:rFonts w:ascii="arial" w:eastAsia="arial" w:hAnsi="arial" w:cs="arial"/>
          <w:b/>
          <w:color w:val="000000"/>
          <w:sz w:val="20"/>
          <w:lang w:val="en-US" w:eastAsia="en-US" w:bidi="ar-SA"/>
        </w:rPr>
        <w:t xml:space="preserve">Tort, motor vehicle — Personal injury damages — Causation — Liability admitted for high impact accident that injured plaintiff — Plaintiff alleged chronic pain, depression, and rotator cuff injury — Medical experts had varying opinions about rotator cuff injury — Court accepted plaintiff's expert's evidence —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necessary part of causal sequence to plaintiff's rotator cuff injury — Accident caused injuries that made shoulder muscle vulnerable to tearing — Non-pecuniary damages of $90,000 awarded.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0" w:name="Case Summary_15"/>
            <w:bookmarkEnd w:id="140"/>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seriously injured in a high impact collision. Liability for the accident was admitted. The issues before the Court were causation of the plaintiff's injuries and the quantum of damages. The plaintiff alleged he suffered from chronic soft tissue injuries to his neck and back, a rotator cuff injury, and depression, among other things.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1" w:name="Holdings of Court_12"/>
            <w:bookmarkEnd w:id="141"/>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began by noting the dramatically different approaches taken by the medical experts for both sides. The Court found the defence medical expert's interview and physical examination of the plaintiff to be incomplete. The defence expert appeared predisposed to a finding that the injuries were either exaggerated or did not exist. Also, because he limited his opinions to musculoskeletal injuries, he was not qualified to opine on the alleged injuries, and as a result, his evidence was of little probative value. In contrast, the Court found the plaintiff's doctor to be thorough and generally credible. The Court found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one of the causal factors resulting in the plaintiff's rotator cuff injury. This was not a "thin skull" or "crumbling skull" case. Rather, the accident caused the injuries that made the plaintiff's shoulder muscle vulnerable to tearing. There was evidence that before the tear, the plaintiff was suffering from shoulder pain and restrictions in his motion.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necessary part of the causal sequence leading to the tear. The Court awarded $90,000 for non-pecuniary damages, and $250,000 for loss of earning capacity.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2" w:name="Counsel_25"/>
      <w:bookmarkEnd w:id="1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2"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 Findlay and M.A. Sandor for the plaintiff; P. Hamilton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25"/>
      <w:bookmarkEnd w:id="143"/>
      <w:r>
        <w:pict>
          <v:line id="_x0000_s1133" style="position:absolute;z-index:2517872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R.W. JENKINS J."/>
            <w:bookmarkEnd w:id="144"/>
            <w:r>
              <w:rPr>
                <w:rFonts w:ascii="arial" w:eastAsia="arial" w:hAnsi="arial" w:cs="arial"/>
                <w:b/>
                <w:color w:val="000000"/>
                <w:sz w:val="30"/>
                <w:lang w:val="en-US" w:eastAsia="en-US" w:bidi="ar-SA"/>
              </w:rPr>
              <w:t>R.W. JENKINS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case involves a significant claim for damages for personal injuries following a high impact collision on August 21, 2009. Of particular interest in this case is the dramatically different approaches taken by the medical experts for both sides. In spite of statements by these experts that they are aware of their obligations as expert witnesses under Rule 11-2(1)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and their duty to assist the Court and not be an advocate for any party, in some cases it is clear that the temptation to become an advocate takes priority over the obligation to assist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Plaintiff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Mattice is a 56 year old who has over 30 years of experience as an automotive mechanic. He has worked continuously for the past 24 years at Austin Automotive in Coquitlam, B.C. At trial, Mr. Mattice testified about the importance to him of being able to work as an automotive mechanic, stating "[i]t defines who I am. It is what I do." Over many years, he has also performed automotive work "on the side", repairing cars for friends and family at home. He stated he would often do these "on the side" repairs for a much reduced fee because he loves his job. He also assisted on weekends at the gift shop his wife owns in Maple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Mattice testified regarding the physical demands required to perform his employment including strength, fine motor skills, reaching, twisting, gripping, lifting and other physically demanding tasks. He stated that an auto mechanic is required to work in various positions including working on overhead tasks, working while lying on his back, and often work that involves pushing and pulling, all often in cramped quarters. The work of a mechanic is clearly physically demanding in many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Mattice testified, as did his employer, Mr. Springman, that Mr. Mattice was very efficient at his work and regularly used to beat the "book time", which is the amount of time manuals allow for performing specific tasks efficiently. If a mechanic can complete tasks in less than the "book time", he can move on to other tasks and is more productive for his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Mattice has no pension plan and, prior to the accident of 2009, stated he was intending to continue with his work to at least age 70, possibly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Mattice and his second wife built their home in Maple Ridge approximately fifteen years ago and they have been living in that house ever since. The house sits on a large lot which he describes as "park-like" with shrubs, flower beds, trees and a large lawn, which he previously tended to in his spare time. He and his wife both testified that prior to the accident of August 21, 2009, Mr. Mattice was very active in maintaining the home and yard, and participated in various recreational activities including hiking, camping, fly fishing and biking.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Mattice and Mrs. Jill Mattice both testified that prior to the accident, they would share household work "50/50", with Mr. Mattice doing the dishes, vacuuming, cleaning windows and occasionally cooking.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Mattice also testified that prior to the 2009 accident, he was in good health and had no sleep problems. He had been injured in a motor vehicle accident on November 28, 2008. He experienced a stiff neck and shoulders, was prescribed painkillers and a muscle relaxant, received physiotherapy treatment for a week, and stated he had no further symptoms or pain a few weeks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only other health issue Mr. Mattice faced prior to the 2009 accident was a history of low back pain, which he stated did not limit his work in any way. There was also a report in his doctor's medical records of a visit on April 5, 2009, regarding his right elbow. There were no details regarding any problem with his right elbow and he testified that he did not recall a problem with it or having spoken to his doctor about a problem with it. There were no other references to his elbow in any other medical records before the 2009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August 21,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the morning of August 21, 2009, Mr. Mattice and his fellow worker, Mr. Kugnut, were performing a diagnostic road test of a Chevrolet van owned by an Austin Automotive customer. Mr. Mattice was seated in the front passenger seat, wearing a lap and shoulder belt, with a diagnostic scanner on his lap that was about the size of a small keyboard. Mr. Kugnut was driving the van down a steep hill on Marmont Street in Coquitlam. Mr. Kugnut had stopped and was signalling a left turn onto Cartier Street. Mr. Mattice testified that while Mr. Kugnut was waiting for traffic to clear before turning left, Mr. Mattice was looking down at the scanner when their van was struck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front windshield shattered. Mr. Mattice testified that Mr. Kugnut could not see, so he put the van in park and forced his passenger-side door open, likely by ramming it with his shoulder, to try to help Mr. Kugnut, but Mr. Kugnut's door would not open. He found his cell phone, which had been in his pocket, in the back of the van and called his employer. Mr. Mattice testified that he did not know what had happened to his body on impact. He testified he felt "shaken up". He noticed the driver's side panel had buckled. He stated there had been no warning of the collision and no skid marks, which indicates the driver of the other vehicle had not attempted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Mattice testified the frame of the van was bent, the doors were ajar and the windshield shattered. In spite of this damage, he managed to drive the van back to Austin Automotive and Mr. Kugnut was taken to the hospital by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impact of the collision was significant as the defendant's vehicle did not attempt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Mattice then went back to work for the rest of the day as he was the only mechanic available in the shop since Mr. Kugnut had been taken to the hospital. Mr. Mattice testified that by the end of that day at work, his chin was sore, both shoulders were stiff, and his neck was stiff. Mr. Mattice stated that the next day he was suffering from headaches, his chin was sore, his elbow was sore, his neck and shoulders were both tight and sore, and he had a bruise on the underside of his right elbow. He also had some pain from the restraint by the seat belt. At the doctor's office, he was prescribed Tylenol 3 and a muscle relaxant, and was told to go see a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Liability for the accident is admitted. The issues before me are:</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has Mr. Mattice suffered, and were they caused by the accident?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if any, are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EVIDENCE OF THE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Injuries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Mattice claims the following injuries were caused by the August 21, 2009 accident (hereafter, "the accident"):</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soft tissue injuries to his neck and upper back;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his right elbow which developed into chronic right ulnar nerve irritation;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infraspinatus partial thickness tear with chronic myofascial pain involving the right trapezius and infraspinatus muscles (whether this was caused by the accident is very contentious);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disruption due to pain;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Evidence of the injuries suffered by Mr. Mattice included the testimony of Mr. Mattice, his wife Jill Mattice, medical records of doctors attending to Mr. Mattice's injuries, the expert opinions of Dr. David Koo for the plaintiff and of Dr. Keith Christian, an orthopaedic surgeon who provided an opinion on behalf of the defence. Janet Hunt, an occupational therapist, also provided an assessment of Mr. Mattice's "functional abilities and limitations in order to determine his work capacity" to the Court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Farron Fedechko, is a kinesiologist who treated Mr. Mattice for his workplace injury in 2010. His evidence was not particularly useful considering the issues before me in this action. It was suggested that Mr. Mattice, while being treated for the workplace accident injuries, would have mentioned the 2009 accident injuries to the therapist and there was no record of that. Whether or not the therapists were so advised is not significant as he was specifically being treated for workplace injuries and there is other evidence of the accident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Mattice went for physiotherapy on August 28, 2009, a week after the accident. He told the physiotherapist of his headaches, decreased right hand strength, pain in his right forearm, hand and elbow, and of his experiencing "pins and needles" in his right hand. He continued with physiotherapy sessions until January 28, 2010, when he testified he reported to his physiotherapist that he was doing well; he estimated he was at 90% of normal, had some pain on and off at work, and had two more weeks left in his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his physiotherapist's recommendation, Mr. Mattice also attended an exercise-based kinesiology program between late October 2009 and January 13, 2010. He had on-going pain in his right shoulder and right hand for which he continued to take painkillers. When visiting his doctor on February 10, 2010, he reported continuing pain in his neck and shoulders, and pins and needles in his right hand. He testified that the numbness in his right hand would become painful at work and the pain would go from his hand up his arm and into his neck. He missed very little work in this period of time, that is, up to April 1, 2010. He had been managing the pain in his right shoulder with the painkillers but was concerned the painkillers may be doing more harm than good as they would "mask"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April 1, 2010, Mr. Mattice was injured at work (hereafter "the workplace injury"). He was standing on a mezzanine attempting to use a rope to lift a snow plow up to the mezzanine. His co-worker suddenly let go of the rope and Mr. Mattice ended up pulling the snow plow up on his own. He testified that he suffered a groin injury as a result. Later on that day he missed a step going off of a curb and his "lower back went out". He stated that there was no increase at that time in the pain in his right shoulder and in his right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Mattice made a claim for a workplace injury with the Workers Compensation Board. His claim was accepted and he was work for three months as a result. On April 6, 2010, he returned to Pitt Meadows Physiotherapy for relief from what he then referred to as a hip injury. The prescription written by Dr. Richards of the Cottonwood Medical Clinic prescribed physiotherapy for "back sprain" and "disc injury" but made no reference to the neck, right elbow or right shoulder problems or the "pins and needles" in this right hand that resulted from the accident of August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April 2010, Mr. Mattice engaged Dr. D. Patidar as his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Mattice continued with treatment for his workplace injury and returned to work on a part-time basis on June 30, 2010 and on a full-time basis at the end of July 2010. He testified that all the treatment received at Pitt Meadows physiotherapy was for the workplace injury with a focus on his hip and not for the injuries suffered in the 2009 accident. He also stated that by the end of the physiotherapy program in early July 2010, his right shoulder, arm and the "pins and needles" sensation in his right hand were not improved and he was having problems performing some functions of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Mattice testified that in the fall of 2010: the pain in his right hand, arm and shoulder continued, it hurt when he had to work overhead, most tasks at work aggravated the pain, and he was not enjoying any of the recreational pursuits he had previously enjoyed. He no longer could fly fish due to the pain in his right arm. He could not golf. He gave an example of how he was picking mushrooms during a hike and had to "pull himself up the mountain" as he was so fatigued. He also stated he abandoned pain killers.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Also in the fall of 2010, his sleep was poor as he would wake up multiple times during the night, his energy level was low and on one occasion he hired someone to do some heavy work around the yard. He and Mrs. Mattice both testified that they also reduced the rent of Mr. Mattice's stepson who was living in the basement of his house by $200 per month in exchange for his stepson performing heavier house and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By March 2011, he consulted Dr. Patidar again regarding his injuries from the motor vehicle accident. Mr. Mattice testified that he is "not one to run to the doctor" and so the impetus for this visit was his wife's insistence that he go to a doctor because he was not getting better. He consulted Dr. Patidar regarding numbness in his hand, his shoulder pain, his lack of sleep and the loss of intimacy with his wife, for which Dr. Patidar prescribed him Viagra. Dr. Patidar wrote an undated letter to counsel for Mr. Mattice. It was entered as an exhibit at trial, but only as evidence as to facts described in the letter, not as an expert opinion. The letter is not dated but has a facsimile transmission record dated May 19, 2011 and in it Dr. Patidar referenced having last seen Mr. Mattice on March 24,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Among other items, Dr. Patidar wrote about the accident of August 2009 (in respect of which he was presumably reviewing clinical records) and noted he had also been made aware of the workplace accident and treatment Mr. Mattice had received for it. After a brief history of Mr. Mattice's complaints to other medical practitioners about, and treatment for, the accident injuries, Dr. Patidar wrote the following about his own interactions with Mr. Mattice: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Mattice first consulted me on April 14, 2010 and reported he had sprained his lumbar spine at work. He injured his back while carrying a snow plough. He reported that he was rear ended in August 2009 but his whiplash was stable.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last consulted on March 24, 2011. He still gets pain between his shoulders in his thoracic area, and reported that occasionally he gets tingling in his hands.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Mattice has recovered well from his MVA as he was symptom free until he reinjured his lumbar spine at work.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Counsel for the defence submits that I should draw an adverse inference from the plaintiff's failure to call Dr. Patidar as a witness and cites several authorities including</w:t>
      </w:r>
      <w:r>
        <w:rPr>
          <w:rFonts w:ascii="arial" w:eastAsia="arial" w:hAnsi="arial" w:cs="arial"/>
          <w:i/>
          <w:color w:val="000000"/>
          <w:sz w:val="20"/>
          <w:lang w:val="en-US" w:eastAsia="en-US" w:bidi="ar-SA"/>
        </w:rPr>
        <w:t xml:space="preserve"> Lau v. Insurance Corporation of British Columbia,</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2012 BCSC 1226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Travis v. Kwan</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Having considered the authorities and reviewed Dr. Patidar's statements, I am of the opinion that Dr. Patidar's statements are of little, if any, assistance to me other than the evidence of Dr. Patidar reporting what Mr. Mattice told him. To the extent the letter from Dr. Patidar is reporting the subjective statements of Mr. Mattice, those statements appear to contradict Mr. Mattice's evidence regarding his recovery from the injuries suffered in the accident of August 2009. Specifically, Dr. Patidar reports that Mr. Mattice said that "his whiplash was stable" at the time of the workplace injury and "he still gets pain between his shoulders in his thoracic area, and ... occasionally he gets tingling in his hands." The final statement, that Mr. Mattice had recovered from the accident and was symptom-free until his workplace injury, is Dr. Patidar's opinion, and therefore largely irrelevant. However, it can be used, in a very limited way, as indirect evidence that Mr. Mattice was not reporting serious symptoms to Dr. Patidar, as he likely would have if the accident injuries were causing him as much pain as he testified to; however, I approach this last point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Therefore, Dr. Patidar's letter calls into question whether the plaintiff's injuries truly were as debilitating as he testified at trial, as Dr. Patidar's record in the letter likely would have indicated more extensive complaints from Mr. Mattice. Dr. Patidar's reference in this letter to "whiplash" could only relate to Mr. Mattice's neck and back injuries he claimed to have suffered in the August 2009 accident but Dr. Patidar does not refer to any complaint about an injury to his right shoulder and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Mattice testified that he continued through the spring of 2011 to have poor sleep, to be moody and depressed, and to be unable to do the recreational activities he enjoyed. He was no longer attending meetings as the Masonic Lodge as he was too tired. He stated he was too tired by the end of a work day to do anything but sit in a large chair at home. He testified his shoulder was aching, pain was nagging him "all the time", and then added it would go away briefly. Work aggravated his shoulder, the pins and needles continued in his hand, and he found twisting, gripping and other necessary tasks of a mechanic to be very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being assessed by Dr. Koo for the first time in June 2011, Mr. Mattice attempted to enroll in a rehabilitation program that Dr. Koo recommended. Mr. Mattice's lawyer wrote to ICBC, enclosing a copy of a report from Dr. Koo and asking ICBC to fund an exercise program. I understand this request was refused; however, it may be more accurate to say the request was ignored. Mr. Mattice eventually funded the program from his own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March 28, 2012, Mr. Mattice entered a rehabilitation program at West Coast Kinesiology. Up to that time, his right shoulder, arm, elbow and numbness and pain and pins and needles in his hand had not improved. Mr. Mattice testified that, in fact, his right shoulder was gradually getting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West Coast Kinesiology began with an assessment of Mr. Mattice. He was asked to lie face down on a padded table with his head over the edge and raise his arms up, in front of himself, as high as possible. His left arm came up and down without incident. He then raised his right arm to the level of the table. A trainer then lifted it another two inches, causing Mr. Mattice "excruciating pain instantly". He stated he screamed out in pain. The pain was in his back near his shoulder, the same location where he had been experiencing pain in his shoulder while at work and otherwise. It is this incident that is controversial in this litigation as a result of Dr. Koo's testimony, which I will refer to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the incident of March 28, 2012 at West Coast Physiotherapy, Mr. Mattice continued with a program of light exercise, lifting light weights and other forms of therapy. Mr. Mattice testified that the exercise did not help alleviate his pain. As a result, one of the kinesiologists suggested to Mr. Mattice that he should have an MRI taken of his right shoulder. The MRI was taken on August 13, 2012 in a private clinic at a cost of $900 and revealed, according to Dr. Koo, a rotator cuff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Later, in October 2012, as recommended by Dr. Koo, Mr. Mattice underwent nerve conduction tests with Dr. Sadowski, a neurologist. Dr. Sadowski corrected Mr. Mattice's arm posture which has reduced some of the pain that had been radiating up to his neck from his right arm. As well, the nerve conduction test revealed that the nerves passing through Mr. Mattice's elbow had been crushed.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Mattice testified that during the fall of 2012, the pain in his shoulder was not improving but he continued to work, using his left hand when possible. Mr. Mattice is right hand dominant. He did not miss any work during the fall of 2012 and stated that his right hand and arm improved slightly and there was "not so much pain" in his neck. He stated that his sleep was poor as he could not sleep on his right side due to pain. He had previously always slept on his right side. He also testified that he was less productive at work, that he was completing tasks in the "book time" or longer, and that he was experiencing cramping. Mr. Mattice also explained that he had cut himself at work on some protruding screws, which were apparently prevalent on Chrysler vehicles. His concern was that due to the numbness in his hands, he was not even aware he had been cutting himself on the screws.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Mattice testified that in 2013 there had been no improvement to his right shoulder and his arm and hand had experienced a slight improvement but he continued to experience hand cramps.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Mattice did state that he felt better when he was taking his pain medicine, either Tylenol 3 or Advil, but he generally stopped taking the medicine. Mr. Mattice stated he was concerned that the medications would "cover up" his injuries and worsen his situation. I understand him to mean that the pain medicine would relieve the pain, allowing him to continue to work or continue with activity which would ultimately result in even more pain once the medicine began to wear off. In other words, the medicine improved his tolerance and worsened his condition because he was temporarily not feeling the pain after taking pain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Jordan Springman, co-owner of Austin Automotive, testified that Mr. Mattice has been a long-time outstanding employee who gave 100% effort to his job. Mr. Springman spoke of observing Mr. Mattice working since the accident of 2009. He described Mr. Mattice continually having problems with his right shoulder, his arm and his hand, particularly when doing overhead work and working on his back. He also said that Mr. Mattice was constantly shaking his hand, presumably due to "pins and needles". He stated that from his observations, Mr. Mattice's discomfort in his right shoulder is getting progressively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possible, Mr. Springman testified he would assign work in the shop in such a way that would allow Mr. Mattice to avoid work which would aggravate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of early September 2013, Mr. Mattice reduced his work schedule to three days per week as had been recommended to him by Janet Hunt, an occupational therapist. At the time, Mr. Mattice was concerned about whether he was going to be able to continue his work as a mechanic due to the pain and exhaustion he was experiencing. Upon switching to a three-day work week, he stated that having fewer hours "helped a bit" and he had a "bit more energy to help at the house". His arm was helped slightly by working less, but his shoulder continued to be just as painful as it had for a considerable time. His sleep and emotions did not improve with the three day week and he testified that his mood became even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Springman testified that he accommodated Mr. Mattice's request to work three days per week commencing September 2013, but cannot allow Mr. Mattice to work only when he is feeling well enough, which is reasonable as it would not be feasible to properly schedule work and his staff in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Mattice testified that he believed he could continue to work for another six months to a year, and "previously never thought of not working". He stated that he cannot afford to retire; he thought he would be working to the age of 70 or more and he did not have a pension plan. His financial situation has also been negatively affected as, in recent years, he has not been taking on any "side jobs" due to fatigue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Mattice testified he has not returned to his recreational pursuits of fishing, hiking, camping and biking due to the pain and exhaustion he experiences. He hiked the Grouse Grind with his wife but it took an inordinate amount of time and he could not keep up with his wife. As counsel elicited on cross examination, Mr. Mattice was able to undertake trips to China, Thailand, Dallas, Edmonton and Seattle, the latter three being business trips when he accompanied his wife on buying 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Mattice also testified that he could only minimally contribute to household chores compared to before the accident. He had also paid painters to paint a portion of the exterior and interior of the house when previously he would have performed that work. Mrs. Mattice testified that because Mr. Mattice can no longer perform his share of household chores, she is looking for a housekeeper to perform those chores at a cost of some $20-$25 per hour, in addition to having reduced her son's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Mattice testified that he has been "moody, down", "not able to do my job". At the end of the work day was too tired to do anything once he got home. At times, he would help out at his wife's shop, watching for shoplifters. Mrs. Mattice's evidence was that prior to the 2009 accident, her husband was always positive and "upbeat" and he was always active, always doing something, whether it was chores, work or recreational activities. Emotionally, Mrs. Mattice described her husband as depressed. He was coming home every day exhausted from work. They are no longer intimate due to his depression and, from her evidence, I understand their life as a couple has generally become an emotional letdown. Generally, and as would be expected, she has supported her husband and I find some limited weight can be placed on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the whole, I find that Mr. Mattice is generally a credible witness, though I find that he had embellished his injuries somewhat. In addition to Dr. Patidar's reports of Mr. Mattice's subjective statements about his injuries which I already dealt with above, Dr. Koo's expert report, discussed below, sets out Mr. Mattice's "clinical history", based in part on his interviews with Mr. Mattice. Dr. Koo's most recent, 2013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last two years, he feels his shoulder pain is somewhat better, by 30 to 40 percent overall. The pain intensity has subsided, and he has learned to accommodate with his left arm, and avoid aggravating activities at work as much as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contributing to 30 to 40 percent of the household activities. He manages with most of the chores without too much difficulty. Vacuuming can be aggravating to his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This demonstrates that Mr. Mattice reported improvement to Dr. Koo, whereas Mr. Mattice testified that his pain is so much worse that he will not be able to go on working much longer. In addition, Mr. and Mrs. Mattice testified that Mr. Mattice was unable to do house and yard work, when he used to undertake half of the household tasks; clearly, Mr. Mattice gave a much more optimistic report to Dr. Koo. These discrepancies lead me to question whether Mr. Mattice's testimony was a true representation of the extent of the injuries. Mr. Mattice appeared to break down in tears on several occasions while delivering his testimony and his demeanour in court sometimes appeared disingenuous. It is also significant that Mr. Mattice stated he did not miss any work as a result of the injuries suffered in the 2009 accident until September 2013, when he changed to a three-day work week. Though I accept Mr. Mattice's evidence about the kinds of injuries he experienced and their effects generally, I find that Mr. Mattice has somewhat embellished the extent and frequency of the pain and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Mattice had an assessment with Dr. Christian on October 19, 2012, which will be referred to later in these reasons. He also went to see Dr. David Koo on two occasions, in June 2011 and June 2013, for assessments, diagnosis and recommendations as to care. I now turn to these visits and the findings of the experts.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Medical-Legal Evidence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David Koo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Koo was qualified as an expert in physical medicine and rehabilitation to give opinion evidence on the diagnosis, prognosis, management and rehabilitation of persons suffering from motor vehicle accident related injuries, both physical and psychological. Physical medicine and rehabilitation are collectively referred to as "Physiatry", which focuses on the treatment and rehabilitation of persons with physical impairments and disabilities. Dr. Koo's clinical practice is located at GF Strong Rehabilitation Centre in Vancouver and Dr. Koo is a Clinical Associate professor in the Division of Physical Medicine and Rehabilitation of the Department of Medicine at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Koo assessed Mr. Mattice on June 16, 2011 and June 17, 2013. On both occasions, Dr. Koo conducted an interview, a physical examination and reviewed medical records regarding Mr. Mattice's history. The physical examinations conducted by Dr. Koo were lengthy (approximately one hour each), and involved measurements and applying pressure to areas of Mr. Mattice's back, shoulder and arms; Dr. Koo described these methods in detail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Koo testified at trial and was cross-examined at length. On cross-examination Dr. Koo agreed that all of the medical-legal reports he writes are for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first report, dated June 16, 2011, Dr. Koo reported, based on his physical examination of Mr. Mattice, his review of medical records and the history he took from Mr. Mattice, that Mr. Mattice had suffered acute soft tissue injuries to his neck and upper back in the accident of November 28, 2008 and that prior to the second accident on August 21, 2009, Mr. Mattice was pain-free in his employment and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Koo's June 16, 2011 report included the following diagnoses relating to the accident of August 21, 2009: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following conditions were present at the time of today's assessment and were likely the resultant effects from his original acute injuries: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soft tissue injury with myofascial pain arising from:</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Cervical paraspinal muscles (right greater than left),</w:t>
      </w:r>
    </w:p>
    <w:p>
      <w:pPr>
        <w:numPr>
          <w:numId w:val="1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Trapezius muscles (right greater than left),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supraspinatus,</w:t>
      </w:r>
    </w:p>
    <w:p>
      <w:pPr>
        <w:numPr>
          <w:numId w:val="1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infraspinatus, and</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rhomboids.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Bilateral post-traumatic thoracic outlet syndrome (right greater than left).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sleep disruption secondary to 1 and 2;</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Adjustment reaction.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chronic irritation and activation of his neck and shoulder muscles has resulted in bilateral post-traumatic thoracic outlet syndrome.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Koo's report also included the following recommendations in relation to these diagnoses: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Physical therapy or kinesiology programs that emphasize conditioning or "work hardening" progression of physical tolerance, without paying attention to effect of trigger points may be too intensive and result in maintenance and irritation of peripheral pain generators, which in turn can cause additional central sensitization of a chronically painful condition, leading to an increase in pain perception. Therefore, I would recommend an integrated pain management approach for Mr. Mattice, with the use of pharmacologic and pain-reducing therapies, in conjunction with a gradual reactivation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particular, Mr. Mattice reports intolerance to prolonged elevation of his arms above shoulder-height, and avoidance of such activity would be preferred from a medical perspective, although this may not be easily accommodated given his workplace demands. His frequent position changes and stretching at work are useful with this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the aforementioned recommendations, I must emphasize that the duration of pain and stiffness for Mr. Mattice are negative prognostic predictors, and I believe that some degree of chronicity of symptoms will be probable despite following these treatment recommendations, which are intended to ameliorate a chronically painful condition, but not cure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Additionally, given his reports of pain exacerbation with his routine work activities and daily life, I believe that he remains at significantly increased risk for future pain exacerbation, and may require periods of activity limitation in the future in the event of re-injury or overuse.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Nerve conduction studies may be helpful in further ruling-out alternative neurologic causes to his intermittent tingling, however it is important to note that electromyography and nerve conduction studies are typically normal in most cases of thoracic outlet syndrome, and would not necessarily confirm such a diagnosis. I would suggest recommend nerve conduction studies if he fails to improve with physiotherapy management, or his symptoms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Koo stated the following about the effects of Mr. Mattice's motor vehicle accident injuries on his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chronic daily impairments and pain have led to a loss of his leisure activities, such as his ability to participate in golf, backpacking, and have resulted in a negative impact on his quality of life. He endorses periodic tearfulness and feelings of loss and frustration that do not meet criteria for a major depression. His general levels of fatigue and pain have led to a reduced interest and frequency in intimate relations with his wife as well, which he reports has been helped to some degree with Viagra prescribed by his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noted, Dr. Koo's report was based in part on the medical history he took from Mr. Mattice. His notes on this interview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continues to report persisting intrascapular mid back and right shoulder pain. This has been present since the accident. It is experienced as a "</w:t>
      </w:r>
      <w:r>
        <w:rPr>
          <w:rFonts w:ascii="arial" w:eastAsia="arial" w:hAnsi="arial" w:cs="arial"/>
          <w:i/>
          <w:color w:val="000000"/>
          <w:sz w:val="20"/>
          <w:lang w:val="en-US" w:eastAsia="en-US" w:bidi="ar-SA"/>
        </w:rPr>
        <w:t>pinching"</w:t>
      </w:r>
      <w:r>
        <w:rPr>
          <w:rFonts w:ascii="arial" w:eastAsia="arial" w:hAnsi="arial" w:cs="arial"/>
          <w:color w:val="000000"/>
          <w:sz w:val="20"/>
          <w:lang w:val="en-US" w:eastAsia="en-US" w:bidi="ar-SA"/>
        </w:rPr>
        <w:t xml:space="preserve"> sensation, and again is worse with elevation of the arms above shoulder height. Brief lifting below shoulder height is well tolerated, but sustained carrying with his arm by his side, such as groceries, will also cause pain. Stretching his right arm across the front of his chest can ease off this right posterior shoulder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had new tingling since the accident, which gradually came on approximately one year afterwards and appears to be worsening. When present, it is more noticeable in the right than left arm, and appears to originate along the back of the arm, forearm and into the fingers especially the little and ring finger. It is typically worse with elevating his arms or when holding a steering wheel. At times, he feels that the strength in his hands is less, i.e. with loosening an oil filter, and he now might use a tool instead of his bare hands.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reports persisting sleep disruption. His neck pain makes getting comfortable at night difficult and it takes him 15-20 minutes to fall asleep. Although he feels that he continues to sleep throughout the night, he awakens feeling unrefreshed and fatigued.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right elbow pain gradually improved and resolved after approximately three months. He no longer notices right elbow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Meanwhile, Dr. Koo's notes from his physical examination of Mr. Mattice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Upper extremity reflexes were all normal. There was no asymmetry of muscle bulk in the arms, hands, or forearms noted. Strength examination was normal and symmetric in the C5-C8 myotomes.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Active range of motion in both shoulders was normal. The shoulder joint movement itself was smooth and without evidence of intraarticular pathology or instability. Impingement testing was normal. Glenohumeral stability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demonstrates that Mr. Mattice's range of motion was normal. Dr. Koo also noted that there was no pain with certain movements. Therefore, it seems as though, taken together with the subjective statements of Mr. Mattice to Dr. Koo noted in the previous quote, he was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Koo was asked to prepare a further opinion which was to include reference to additional documents from the Workers Compensation Board files, Dr. Patidar's clinical records from January 2011 to January 2012, and Golden Ears Orthopaedic &amp; Sports Physiotherapy's clinical records from August 2009 to January 2012. Dr. Koo's further opinion was issued February 10, 2012. His opinion was unchanged. As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my review of the information provided, and my reevaluation of my initial medicolegal opinion, dated June 16, 2011, my diagnostic impressions of Mr. Mattice's accident-related injuries, causation, prognosis and treatment recommendations are unchanged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his second report, Dr. Koo confirmed, and elaborated at length about, the diagnosis of posttraumatic thoracic outlet syndrome from his first report. It was his opinion that the thoracic outlet syndrome was causing the pins and needles or numbness in the plaintiff's hand. He stated the following about Mr. Mattice's injuries in his second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particular, on October 2, 2009, it was noted that following three hours of overhead work he had pins and needles in the right hand.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it is probable that he had early symptoms of posttraumatic thoracic outlet syndrome at this point in his recovery that gradually improved alongside his neck injuries, which was not completely normal by the time of completion of treatment at Innovative Rehabilitation Services. In particular, he had not yet returned to active recreational pursuits, and although he had improvement in his cervical range of motion and subjective pain, he was </w:t>
      </w:r>
      <w:r>
        <w:rPr>
          <w:rFonts w:ascii="arial" w:eastAsia="arial" w:hAnsi="arial" w:cs="arial"/>
          <w:i/>
          <w:color w:val="000000"/>
          <w:sz w:val="20"/>
          <w:lang w:val="en-US" w:eastAsia="en-US" w:bidi="ar-SA"/>
        </w:rPr>
        <w:t>"still below the population norm in cervical range of motion and thoracic flexion. It is strongly recommended that Mr. Mattice continue with the exercise program independently".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probable that from the time of treatment discharge on January 27, 2010, to my assessment on June 16, 2011, he has had a deterioration of his neck, with increased stiffness on the basis of his chronic soft tissue injuries with gradual shortening and tightness of these painful neck muscles due to myofascial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concluded that Mr. Mattice's workplace injuries did not cause any of the injuries he had attributed to the accident in his first report. He re-iterated his conclusion that the motor vehicle accident caused the injuries he had set out in his first report. He stated the following about the causes of Mr. Mattice's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review of his WCB injuries, it appears that his other claims have been localized to his lower back, sarcroiliac region, hips and lower extremities. In my opinion, his other work-related injuries are unlikely to have been significant in terms of causation, or contribution to, his conditions of myofascial pain of the neck and upper back, cervicogenic headaches, and thoracic outlet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based on review of the updated clinical records you have provided, it remains my opinion that but for the subject motor vehicle accidents of November 28, 2008 and August 21, 2009, I can identify no other reasonable clinical cause for his post-accident problems related to recurrent pain and stiffness involving his neck and upper back, headaches or posttraumatic thoracic outlet syndrome, and subsequent functional limitations as described in my original medicolegal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Koo's third report was issued July 10, 2013. Under the heading "Updated Clinical History" Dr. Koo noted continued difficulties in the same areas, except for slight improvement in his shoulder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attended West Coast Kinesiology, and recalls aggravation of his right shoulder injury during the initial assessment process; he recalls being face down on an examination table, asked to extend his outstretched arms towards the ceiling, and then had the therapist hyperextend his shoulder that aggravated his right shoulder pain.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continues to remind his employer to accommodate his injuries, with avoidance of overhead lifting or reaching, and hammering, which continue to aggravate his right shoulder pain, and cause numbness and tingling to the right hand. There are some jobs that cannot be delegated to other workers, however, and he continues to do these activities from time to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last two years, he feels his shoulder pain is somewhat better, by 30 to 40 percent overall. The pain intensity has subsided, and he has learned to accommodate with his left arm, and avoid aggravating activities at work as much as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continues to avoid fly fishing, golfing or backpacking due to fear of re-injury of the right shoulder, which would negatively impact his work capability.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contributing to 30 to 40 percent of the household activities. He manages with most of the chores without too much difficulty. Vacuuming can be aggravating to his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Under the heading "Investigations", Dr. Koo found that the MRI Mr. Mattice paid for on the recommendation of his kinesiologist, revealed what is commonly referred to as a rotator cuff tear: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MRI scan of the right shoulder on August 13, 2012 showed tendonosis or infrasubstance tear of the infraspinatus tendon. There is a partial thickness tear of the articular surface at the infraspinatus tendon, measuring 10 x 7 mm, consistent with a rim rent tear. There was some deltoid bursitis.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the most significant injury claimed by Mr. Mattice and the injury which has contributed more than any other injury to his claim that he will soon no longer be able to continue with his occupation as an auto mechanic.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Koo's third report sets out the following injuries caused by the August 2009 motor vehicle accident:</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soft tissue injuries to the neck, upper back, chest;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soft tissue injury to the right elbow with chronic right ulnar nerve irritation at the elbow;</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infraspinatus partial thickness tear with chronic myofascial pain involving the right trapezius and infraspinatus muscles;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Cervicogenic headaches (resolved);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neck pain (resolved);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disruption due to pain (persisting)[.]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Significantly, Dr. Koo stated that with the benefit of the nerve conduction studies and re-examination, it became evident to him that Mr. Mattice did not have thoracic outlet syndrome, as he had diagnosed in his previous two reports. Rather, he found that the right hand numbness and tingling was likely due to irritation of the ulnar nerve at the elbow, not thoracic outlet syndrome.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chronic ulnar neuropathy that has caused ongoing numbness and tingling, and pain in the hand and arm since MVA-2, is likely a direct consequence of the initial soft tissue injuries to the right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Koo also re-iterated what he stated in his second report following a review of the MRI: that the shoulder symptoms were the result of a tear in the infraspinatus tendon (or rotator cuff).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a partial thickness tear of the infraspinatus tendon on the MRI scan, which likely accounts for his sub-deltoid bursitis, as well as positive painful arc during active abduction of the shoulder. The localization of his pain with palpation, however, is in the mid-body of the infraspinatus and likely represents secondary myofascial pain with a palpable and persisting trigger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According to Dr. Koo's third report, Mr. Mattice's recovery is unlikely. Under the heading "Prognosis", Dr. Koo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he has had partially improved pain in his shoulder, and numbness and tingling into the hand, it is now more than three years post MVA-2. Maximum medical recovery has likely taken place as it relates to his infraspinatus partial thickness tendon tear, myofascial pain, and posttraumatic ulnar neuropathy.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continues to have pain and limited strength with dynamic stabilization of the shoulder during forward and overhead reaching and activities with a weighted extremity. He continues to require accommodation at work to avoid heavier demand activities such as overhead reaching, hammering, or heavier lifting, and he has pain that interferes with his sleep at night.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work disability outlined in the work capacity evaluation of Ms. Hunt's report is likely permanent, given the duration and severity of his symptoms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Koo stated that, aside from altering the diagnosis from thoracic outlet syndrome to post-traumatic ulnar neuropathy, "the other recommendations made in his medical legal report remain relevant and on-going." Dr. Koo's recommendations in his third report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does have a partial thickness tear of the infraspinatus tendon. He would likely benefit from physiotherapy to help with dynamic shoulder stabilization exercises, strengthening of the remaining rotator cuff muscles, and education regarding avoidance of aggravating activities. </w:t>
      </w:r>
      <w:r>
        <w:rPr>
          <w:rFonts w:ascii="arial" w:eastAsia="arial" w:hAnsi="arial" w:cs="arial"/>
          <w:color w:val="000000"/>
          <w:sz w:val="20"/>
          <w:u w:val="single"/>
          <w:lang w:val="en-US" w:eastAsia="en-US" w:bidi="ar-SA"/>
        </w:rPr>
        <w:t>In my experience, chronic partial thickness tears of the infraspinatus tendon are often aggravated through daily activities, sleeping on the right side, and continue to be a source of pain and disability on an ongoing basis, as spontaneous cure or resolution is unlikely.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may benefit from an occupational therapy assessment of supportive surfaces around the home, with consideration to preventative padding when sitting or sleeping in 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ulnar neuropathy likely reduces his ability to perform sustained or repetitive activities involving the right upper extremity, particularly those that require prolonged flexion of the elbow, or repeated hammering movements, or strong and repetitive gripping.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he should experience increasing worsening of his numbness and tingling despite conservative therapy, he would likely benefit from repeat nerve conduction studies and possibly elecromyography to further evaluate the degree of ulnar nerve compression at the elbow. Ulnar nerve transposition surgery would be best reserved as a treatment of last resort, if his symptoms become unbearable, or if he should develop motor weakness.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Koo made the following findings and treatment recommendations regarding Mr. Mattice's psychological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chronic daily impairments and pain have led to an ongoing loss of leisure activities including his ability to participate in golf, backpacking and fly fishing.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adjustment disorder appears to have evolved into a mild depression; his PHQ-9 scored 11. In particular, in the last two weeks "nearly every day" he has had trouble falling/staying asleep; and felt tired or had little energy. On "more than half the days" he had had little interest or pleasure in doing things; and felt down, depressed or hopeless. "On several days" he has had trouble concentrating on things.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Accident-related factors contributing to his depression include ongoing loss of leisure and recreational pursuits, worry and apprehension about his future health and symptom progression, loss of work tolerance, and ongoing sleep disruption.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recommend ongoing psychological counseling for coping and adjustment to his injury and disability, and supportive psychotherapy. The relative mildness of his depression likely does not warrant pharmacologic management or referral to a psychiatrist for psychiatric review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At trial, I found Dr. Koo to be very thorough and generally credible. Although his answers to questions were often rambling, he was cooperative and I detected no attempt to avoid questions. He demonstrated a willingness to agree with counsel on cross-examination when appropriate. The most significant testimony of Dr. Koo related to the cause of the rotator cuff injury which I will refer to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Significant evidence from Dr. Koo at trial included:</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description of the method he uses to locate myofacial pain or soft tissue injuries and his conclusion that there were five areas of soft tissue injury in Mr. Mattice's spine, neck and shoulders.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description of the rotator cuff injury which was detected in the MRI scan conducted August 13, 2012 and referred to in Dr. Koo's third report (the July 10, 2013 report). Dr. Koo described how such an injury can cause the ball and socket to shift and, if the rotator cuff muscles are injured, how the injury can be very painful and bursitis can result. Dr. Koo also described how such an injury would be particularly painful when one is working overhead. He stated on cross-examination that "when reaching out or above the pain increases and more so when there is weight in the 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significantly, on cross-examination Dr. Koo stated that in his first assessment of Mr. Mattice in 2011 there were no signs of a rotator cuff tear, but it did exist in 2013. There were soft tissue injuries to the rotator cuff in 2011, as noted in Dr. Koo's first report. In cross-examination he added that the rotator cuff tear was more likely due to the kinesiology incident of March 28, 2012 (when the kinesiologist raised Mr. Mattice's right arm while he was lying face-down on the table) than due to the accident.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Koo was asked if the ulnar neuropathy (that is, the elbow pain) could be "serendipity", or a "function of ... occupation", to which he responded "it is a possibility". He also agreed on cross examination that it is "possible" that the ulnar neuropathy could be aggravated or even caused by work. However, in Mr. Mattice's specific case this was most likely caused by the trauma, and work was just aggravating it.</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Koo described how the pain caused by the rotator cuff tear would cause chronic sleep deprivation as Mr. Mattice has claimed, especially since Mr. Mattice had previously slept on his right side and is right-handed.</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2013 report, Dr. Koo referred to mild depression and little interest in activities, including leisure activities. He had recommended ongoing psychological counseling which he stated usually helps persons with mild depressive disorders. There is no evidence before the Court that Mr. Mattice has received psychological counselling.</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Koo testified that his assessment is that Mr. Mattice will not significantly improve and that he has ongoing physical and psychological "fallout".</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following quote from Dr. Koo's evidence is particularly significant regarding the effect of his injuries on his ability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my role in this is to ... look at what he can do now, but also presents a picture of </w:t>
      </w:r>
      <w:r>
        <w:rPr>
          <w:rFonts w:ascii="arial" w:eastAsia="arial" w:hAnsi="arial" w:cs="arial"/>
          <w:color w:val="000000"/>
          <w:sz w:val="20"/>
          <w:u w:val="single"/>
          <w:lang w:val="en-US" w:eastAsia="en-US" w:bidi="ar-SA"/>
        </w:rPr>
        <w:t>what he should be doing to keep him healthy and functional as it can be. Work, but also not work. So there is a very real and distinct likelihood that if he continues in a full-time employment, at a physically demanding job, knowing that he has a symptomatic rotator cuff, knowing that he has a vulnerable ulnar nerve that continues to be irritated through work, that these things can actually become worse</w:t>
      </w:r>
      <w:r>
        <w:rPr>
          <w:rFonts w:ascii="arial" w:eastAsia="arial" w:hAnsi="arial" w:cs="arial"/>
          <w:color w:val="000000"/>
          <w:sz w:val="20"/>
          <w:lang w:val="en-US" w:eastAsia="en-US" w:bidi="ar-SA"/>
        </w:rPr>
        <w:t>, and not just sort of maintain.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Keith Christian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Keith Christian, an orthopaedic surgeon, provided an expert report for the defence and was also cross-examined at trial. Dr. Christian assessed Mr. Mattice on October 19, 2012 and issued a report the same day. Dr. Christian completed his interview and physical examination of Mr. Mattice in a total of twenty minutes, which included 16 minutes for the interview and four minutes for the physical examination. Dr. Christian did not disagree that his assessment of Mr. Mattice was very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During cross-examination, Dr. Christian was very argumentative and often arrogant. He stated that when asked previously by defence counsel whether he took notes of his meeting with Mr. Mattice, he advised that he did not take notes. At trial Dr. Christian admitted to having taken "scribbles", which he said were illegible and which he destroyed after dictating his report on the day of the assessment. He said he had denied having taken notes as he had instead made "scribbles" and that no one had asked him if he had taken any "scribbles". Since Dr. Christian admitted on cross-examination to having used his "scribbles" to dictate his report, there is little doubt in my mind that his "scribbles" were what any doctor would consider "notes" and that Dr. Christian was well aware that his "scribbles" constituted what anyone else would consider to be "notes". His answers in this inquiry were most evasive and clearly showed a lack of willingness to be frank, open and honest with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Christian's interview and physical examination of Mr. Mattice were without question incomplete. On cross-examination, Dr. Christian admitted that he had not asked Mr. Mattice questions regarding, among many other things: the severity of the accidents of 2008 and 2009; any symptoms in his hands such as pain and "pins and needles"; whether symptoms, if there were any, were improving; bruising on Mr. Mattice's elbow; the nature of his employment; the extent of the pain in his shoulder; and sleep problems. Dr. Christian also did not inquire about aspects of the accident that were relevant to the injuries claimed, such as Mr. Mattice's body position in the 2009 accident and how he was impacted in the accident. In written submissions, counsel for Mr. Mattice listed 18 areas of legitimate inquiry that Dr. Christian could have pursued to provide a more informed and unbiased opinion; in my view, there were areas in addition to these 18 which Dr. Christian could have explored, but elected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Christian repeated on several occasions that he was an orthopaedic surgeon and that his role was only to explore musculosketetal, and not neurological,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Christian noted the following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indicates he has weakness in his right hand that bothers him particularly when he is driving. The numbness in the ulnar distribution of the right hand is still there. He does think this is getting better, however.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 the last six months or so, he reports that his symptoms have improved somewhat. He has recommenced physiotherapy over the last few months and he thinks this is helping. He still has some stiffness in his neck and headaches are still a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examination of the upper extremities showed normal range of abduction and elevation of the shoulders. He had slight restriction of internal rotation of the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Under the heading "Opinions and Conclusions", Dr. Christian stated: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Causal connection between the accident and the Plaintiff's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the fact that there was some degree of spinal discomfort in the past and there was a history of a previous rear-end collision a year or so prior which produced some neck and back discomfort, it is not at all clear whether or not his present symptoms with respect to his neck and shoulder stiffness are causally connected to the motor vehicle accident in question.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diagnosis of this gentleman's symptoms of residual right shoulder pain, neck stiffness, and a subjective sensation of impairment of sensation of the right hand, I would consider the following: It is recognized that a rear-end collision of this nature frequently produces a predictable set of symptoms characterized by neck pain and stiffness, headaches, and various neurological symptoms, including numbness. The term whiplash-associated disorder (WAD) is a term that has been applied to this symptom complex and would appropriately describe Mr. Mattice's complaints.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Present and future treatment recommendations.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say that this gentleman does not require any physical or medical treatment at the present time, or is likely to in the future specifically as a result of the motor vehicle accident in question. There is little evidence to suggest that physical forms of treatment past a few months from this type of incident are helpful and may, in fact, be counterproductive in that they tend to focus on symptoms.... I think that maintaining a normal activity level is important and it is likely that continued neck discomfort and stiffness as well as shoulder discomfort will tend to have their exacerbations and remissions over the years ahead, but are unlikely to have been affected by the accident in question and would not require any specific measures as a result of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Degree of disability including present and future working limitations, if 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degree of disability, I would point out that this man has no objective evidence of any physical impairment as would be identified by the AMA Guides to the Evaluation of Permanent Impairment. He would not appear to have any impairment which would preclude the possibility of his returning to normal work activity and normal recreational activity. He has subjective symptoms which he feels to be somewhat disabling and which he feels are causally connected [to] the subject accident. I would expect that as he is able to put this issue behind him and return to more normal physical activity, the symptoms that he finds presently to be somewhat disabling will resolve.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this incident I would not anticipate any reduction in earning capacity or restriction of recreational activity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for recovery from this type of collision is usually favorable, although symptoms may be experienced for some time post accident. I would expect satisfactory resolution of symptoms with time. There is little evidence to suggest that the occurrence of this type of motor vehicle collision leads to the advancement of arthritic or degenerative processes in later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the Addendum of Keith Christian dated June 8, 2013, Dr. Christian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report of the MRI of the right shoulder suggests a tendinosis or intrasubstance tear of the infraspinatus tendon. It also notes partial thickness incomplete tear of the articular surface of the infraspinatus tendon. It also suggests a subacrominal bursitis.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these features described in the MRI study are common abnormalities found in asymptomatic adult individuals; the incidence in the general population is extremely high, particularly in mid to later life age groups. I would say that the presence of these abnormalities noted on the MRI are of no significance and are completely incidental findings. From the mechanism of the injury and the symptoms reported by the claimant, there is nothing to suggest there is a causal connection between these radiological findings and the motor vehicle accident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the presence of these radiological findings would not likely be related to this gentleman's ongoing symptoms. The complaints that he reported to me are more likely on the basis of the whiplash-associated disorder that I have discussed in my report. I would say that the presence of these findings do not, in any way, render this individual more susceptible to the appreciation of ongoing symptoms of this disorder occasioned by the motor vehicle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cross-examination Dr. Christian stated that there was no reason at the time for him to be having shoulder pain, that any fatigue being experienced by Mr. Mattice was "absolutely irrelevant", that there was no reason for Mr. Mattice not to improve, and that there was no reason for Mr. Mattice to have a problem with his shoulder. He stated that, generally, in his opinion, Mr. Mattice should have been over any injuries from the 2009 accident long before the visit to Dr. Christian.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conclusion on Dr. Christian's evidence and opinions, I have no hesitation in finding that his research was incomplete, that he was predisposed to a finding that Mr. Mattice's injuries were either exaggerated or did not exist, and that by limiting his opinions to musculoskeletal injuries, he was not qualified to opine on the injuries which Mr. Mattice claimed to have suffered in the 2009 accident. As a result, I find the opinions and evidence of Dr. Christian to be of little or no probative value and I am left with the medical-legal opinions of the plaintiff's expert and all other evidence to make a determination regarding Mr. Mattice's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Other Expert Evidence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Janet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Hunt is an occupational therapist who was qualified as an expert to give opinion evidence about a person's capacity to work at certain occupations. Her report entitled "Work Capacity Evaluation of Mr. Thomas Mattice" was entered into evidence and was dated June 28, 2013. Ms. Hunt also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Hunt's findings in her report under the heading "Opinion, Work Capacity", include, in connection with his right arm,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 Arm:</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Mr. Mattice's grip strength is fully functional, he reports increased ring and little finger numbness with repetitive strong gripping, with reduced grip strength over time. Based on these findings he is not suited to jobs requiring repetitive strong right gripping throughout the day.</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Tolerance for repetitive or sustained reaching at shoulder height and above is limited to brief intervals (approximately 30 seconds to 1 minute at a time), on occasion. If he is able to regularly alternate between his right and left arms, reasonable tolerance for work in this range is up to 5 minutes at a time, on occasion. Below shoulder reaching is best tolerated in close range (up to approximately 12 inches from his body).</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no difficulty writing with his right dominant hand.</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able to manipulate small to medium size objects with reasonable precision at below average to above average speeds.</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reasonably tolerates light handling activity for 30 minutes at a time, working at competitive to highly competitive speeds.</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not suited to tasks requiring: forceful repetitive impact through his right arm (i.e. hammering); pulling force in combination with shoulder abduction (i.e. pulling objects apart); sustained holding of weight in a forward reach position; or repetitive and/or resisted shoulder and/or forearm rotation (e.g. manually loosening or tightening nuts), particularly in combination with forward reaching or awkward arm postures.</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able to lift up to 30 pounds through range (i.e. floor to overhead) with his right arm close to his body, once in a while; in comparison to 35 pounds with his left arm, without limitation (considered Light-Medium strength).</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Work requiring him to lie on his right side while using his right arm awkwardly (e.g. work on a creeper under a vehicle or under a dashboard) is poorly tolerated, not recommended.</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further reductions in right shoulder range of motion, speed (for repetitive overhead reaching and fine dexterity tasks) and grip strength in response to approximately 4 1/2 hours of physical testing involving his right arm, indicating Mr. Mattice will have difficulty maintaining productivity if required to perform jobs requiring repetitive right arm reaching and/or force application. He is also at increased risk of left arm over-use symptoms if he continues to regularly accommodate right arm limitations by substituting his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This indicates that although Mr. Mattice has some significant limitations, he also has fairly significant strength, that is, he is able to lift 30 to 35 pounds. He is also able to write and can handle some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the issue of Mr. Mattice's ability to continue his work as an automotive technician, Ms. Hunt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Results of work capacity testing indicate Mr. Mattice is not fully meeting the physical demands of his job as an Automotive Technician. Specifically, he is not meeting Heavy Strength demands above waist height. He also has limitations for upper limb coordination demands involving his right arm ... . These findings are consistent with Mr. Mattice['s] reported ongoing difficulties working full time as an Automotive Technician, with reduced tolerances for: right arm reaching in combination with lifting/handling in awkward spaces; 2 hand overhead work; low work requiring him to lay on his right side while using his right hand; and strong right gripping, loosening/tightening or hammering. Findings are also consistent with his reported need to use compensatory strategies to perform his job, including: left arm substitution (with reduced precision and speed); regular breaks to rest his right arm; equipment to reduce carrying; and/or deferring to apprentices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is noteworthy that Ms. Hunt's analysis discusses "reduced tolerances", certain "limitations", and the "need to use compensatory strategies", and although she states he is not suited to work as an automotive technician, she indicates that his ability to continue to work will depend on the amount of symptoms he is willing and able to tolerate and that "[t]he feasibility of [work on a part time basis] will depend on the willingness of his current employers or other employers to accommodate". This seems to imply that Mr. Mattice can work part-time, with some accommodation, which his employer has permitted and testified he can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generally found Ms. Hunt to be a credible witness who withstood cross-examination. I find that her evidence is generally reliable and I accept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Conclusion on Mr. Mattice's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Mattice suffered from soft tissue injuries to his neck and upper back, headaches and bruising as a result of the accident, which have fully resolved. The major, on-going complaints relate to Mr. Mattice's right shoulder, arm, elbow and hand, as well as the resulting effects on his mental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Having considered all the evidence, I have no trouble finding that Mr. Mattice suffers from ulnar neuropathy in his right elbow that was caused by a soft tissue injury to his right elbow in the accident and that this, in turn, causes "pins and needles", or numbness or tingling, in his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noted, the most serious and contentious injury is the rotator cuff injury, or the infraspinatus partial thickness tear with chronic myofascial pain in the right trapezius and infraspinatus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As Dr. Koo stated, the infraspinatus partial thickness tear was most likely caused by the incident during the assessment at West Coast Kinesiology on March 28, 2012. However, I am satisfied that legal causation is established: the injury would not have occurred "but for"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It is clear that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one of the causal factors resulting in the plaintiff's injury, "defendants whose acts were necessary parts of the causal sequence will be fully liable for the injuries": </w:t>
      </w:r>
      <w:r>
        <w:rPr>
          <w:rFonts w:ascii="arial" w:eastAsia="arial" w:hAnsi="arial" w:cs="arial"/>
          <w:i/>
          <w:color w:val="000000"/>
          <w:sz w:val="20"/>
          <w:lang w:val="en-US" w:eastAsia="en-US" w:bidi="ar-SA"/>
        </w:rPr>
        <w:t>Hussack v. School District No. 33 (Chilliwack)</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2009 BCSC 852</w:t>
        </w:r>
      </w:hyperlink>
      <w:r>
        <w:rPr>
          <w:rFonts w:ascii="arial" w:eastAsia="arial" w:hAnsi="arial" w:cs="arial"/>
          <w:color w:val="000000"/>
          <w:sz w:val="20"/>
          <w:lang w:val="en-US" w:eastAsia="en-US" w:bidi="ar-SA"/>
        </w:rPr>
        <w:t xml:space="preserve">, aff'd </w:t>
      </w:r>
      <w:hyperlink r:id="rId599"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This is not a "thin skull" or "crumbling skull" case where the plaintiff's infraspinatus was vulnerable to tearing before the accident; rather, the accident caused the injuries which made it vulnerable to tearing. There is clear evidence demonstrating that before the incident at West Coast Kinesiology, Mr. Mattice was suffering from shoulder pain, restrictions in the range of motion in his shoulder, and soft tissue injuries with myofascial pain in his right infraspinatus, caused by the accident. In particular, this is noted in Dr. Koo's report of June 2011. The kinesiologist's actions during the assessment were directly related to the accident injury, and not independent, unrelated, intervening events which broke the chain of causation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Mr. Mattice's rotator cuff tear injury. I am satisfied that "but for" the shoulder injuries caused in the accident Mr. Mattice would not have needed to attend an assessment of a kinesiologist. I am also satisfied that "but for" the accident injuries, a kinesiologist or other medical professional performing standard tests such as raising an arm by approximately two inches would not have caused a tear in the infraspinatus. Therefore,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necessary part of the causal sequence leading to the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accept that Mr. Mattice has had difficulty sleeping as a result of his rotator cuff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While I accept that the accident and resulting injuries have affected Mr. Mattice's psychological state, there is insufficient medical and other evidence before me to demonstrate depression. Though the extent was exaggerated by the plaintiff and Mrs. Mattice, I accept that the injuries and difficulties at work have made Mr. Mattice occasionally frustrated or moody, affected his sex life and affected his general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the medical evidence before me, it is clear that the injuries to Mr. Mattice's shoulder and elbow are likely permanent and may even deteriorate in the future. Part of this exacerbation stems from Mr. Mattice's continuing to work as an auto mechanic. However, with his age, education and experience, it is unlikely he will be able to re-train easily. On all the evidence, it is likely more realistic for Mr. Mattice to continue to work part time with the existing accommodations for a period, but not to the age of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set out the principles for assessment of non-pecuniary loss at paras. 45-46: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 I think it is instructive to reiterate the underlying purpose of non-pecuniary damages. Much, of course, has been said about this topic. However, given the not-infrequent inclination by lawyers and judges to compare only injuries, the following passage from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637 is a helpful reminder: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color w:val="000000"/>
          <w:sz w:val="20"/>
          <w:u w:val="single"/>
          <w:lang w:val="en-US" w:eastAsia="en-US" w:bidi="ar-SA"/>
        </w:rPr>
        <w:t>the amount of an award for non-pecuniary damage should not depend alone upon the seriousness of the injury but upon its ability to ameliorate the condition of the victim considering his or her particular situation</w:t>
      </w:r>
      <w:r>
        <w:rPr>
          <w:rFonts w:ascii="arial" w:eastAsia="arial" w:hAnsi="arial" w:cs="arial"/>
          <w:color w:val="000000"/>
          <w:sz w:val="20"/>
          <w:lang w:val="en-US" w:eastAsia="en-US" w:bidi="ar-SA"/>
        </w:rPr>
        <w:t xml:space="preserve">. It therefore will not follow that in considering what part of the maximum should be awarded the gravity of the injury alone will be determinative. </w:t>
      </w:r>
      <w:r>
        <w:rPr>
          <w:rFonts w:ascii="arial" w:eastAsia="arial" w:hAnsi="arial" w:cs="arial"/>
          <w:color w:val="000000"/>
          <w:sz w:val="20"/>
          <w:u w:val="single"/>
          <w:lang w:val="en-US" w:eastAsia="en-US" w:bidi="ar-SA"/>
        </w:rPr>
        <w:t>An appreciation of the individual's loss is the key and the "need for solace will not necessarily correlate with the seriousness of the injury</w:t>
      </w:r>
      <w:r>
        <w:rPr>
          <w:rFonts w:ascii="arial" w:eastAsia="arial" w:hAnsi="arial" w:cs="arial"/>
          <w:color w:val="000000"/>
          <w:sz w:val="20"/>
          <w:lang w:val="en-US" w:eastAsia="en-US" w:bidi="ar-SA"/>
        </w:rPr>
        <w:t xml:space="preserve">"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w:t>
      </w:r>
      <w:r>
        <w:rPr>
          <w:rFonts w:ascii="arial" w:eastAsia="arial" w:hAnsi="arial" w:cs="arial"/>
          <w:color w:val="000000"/>
          <w:sz w:val="20"/>
          <w:u w:val="single"/>
          <w:lang w:val="en-US" w:eastAsia="en-US" w:bidi="ar-SA"/>
        </w:rPr>
        <w:t>An award will vary in each case "to meet the specific circumstances of the individual case</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at p. 284 of S.C.R.).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support of an award of $50,000 the defendant cites: </w:t>
      </w:r>
      <w:r>
        <w:rPr>
          <w:rFonts w:ascii="arial" w:eastAsia="arial" w:hAnsi="arial" w:cs="arial"/>
          <w:i/>
          <w:color w:val="000000"/>
          <w:sz w:val="20"/>
          <w:lang w:val="en-US" w:eastAsia="en-US" w:bidi="ar-SA"/>
        </w:rPr>
        <w:t>Thorp v. Gerow</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2008 BCSC 622</w:t>
        </w:r>
      </w:hyperlink>
      <w:r>
        <w:rPr>
          <w:rFonts w:ascii="arial" w:eastAsia="arial" w:hAnsi="arial" w:cs="arial"/>
          <w:color w:val="000000"/>
          <w:sz w:val="20"/>
          <w:lang w:val="en-US" w:eastAsia="en-US" w:bidi="ar-SA"/>
        </w:rPr>
        <w:t xml:space="preserve"> ($50,000); </w:t>
      </w:r>
      <w:r>
        <w:rPr>
          <w:rFonts w:ascii="arial" w:eastAsia="arial" w:hAnsi="arial" w:cs="arial"/>
          <w:i/>
          <w:color w:val="000000"/>
          <w:sz w:val="20"/>
          <w:lang w:val="en-US" w:eastAsia="en-US" w:bidi="ar-SA"/>
        </w:rPr>
        <w:t>Niitamo v. ICBC</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2003 BCSC 608</w:t>
        </w:r>
      </w:hyperlink>
      <w:r>
        <w:rPr>
          <w:rFonts w:ascii="arial" w:eastAsia="arial" w:hAnsi="arial" w:cs="arial"/>
          <w:color w:val="000000"/>
          <w:sz w:val="20"/>
          <w:lang w:val="en-US" w:eastAsia="en-US" w:bidi="ar-SA"/>
        </w:rPr>
        <w:t xml:space="preserve"> ($51,000); </w:t>
      </w:r>
      <w:r>
        <w:rPr>
          <w:rFonts w:ascii="arial" w:eastAsia="arial" w:hAnsi="arial" w:cs="arial"/>
          <w:i/>
          <w:color w:val="000000"/>
          <w:sz w:val="20"/>
          <w:lang w:val="en-US" w:eastAsia="en-US" w:bidi="ar-SA"/>
        </w:rPr>
        <w:t>Langley v. Heppner</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2011 BCSC 179</w:t>
        </w:r>
      </w:hyperlink>
      <w:r>
        <w:rPr>
          <w:rFonts w:ascii="arial" w:eastAsia="arial" w:hAnsi="arial" w:cs="arial"/>
          <w:color w:val="000000"/>
          <w:sz w:val="20"/>
          <w:lang w:val="en-US" w:eastAsia="en-US" w:bidi="ar-SA"/>
        </w:rPr>
        <w:t xml:space="preserve"> ($55,000); and </w:t>
      </w:r>
      <w:r>
        <w:rPr>
          <w:rFonts w:ascii="arial" w:eastAsia="arial" w:hAnsi="arial" w:cs="arial"/>
          <w:i/>
          <w:color w:val="000000"/>
          <w:sz w:val="20"/>
          <w:lang w:val="en-US" w:eastAsia="en-US" w:bidi="ar-SA"/>
        </w:rPr>
        <w:t>Antonishak v. Piebenga</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2012 BCSC 745</w:t>
        </w:r>
      </w:hyperlink>
      <w:r>
        <w:rPr>
          <w:rFonts w:ascii="arial" w:eastAsia="arial" w:hAnsi="arial" w:cs="arial"/>
          <w:color w:val="000000"/>
          <w:sz w:val="20"/>
          <w:lang w:val="en-US" w:eastAsia="en-US" w:bidi="ar-SA"/>
        </w:rPr>
        <w:t xml:space="preserve">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defendant submits that if the plaintiff were still suffering from the lingering effects of his injuries, non-pecuniary damages should be assessed in the $50,000 range. Having reviewed the cases, it is evident that the injuries and their effects are much more significant in Mr. Mattice's case than in those cited by the defendant. In </w:t>
      </w:r>
      <w:r>
        <w:rPr>
          <w:rFonts w:ascii="arial" w:eastAsia="arial" w:hAnsi="arial" w:cs="arial"/>
          <w:i/>
          <w:color w:val="000000"/>
          <w:sz w:val="20"/>
          <w:lang w:val="en-US" w:eastAsia="en-US" w:bidi="ar-SA"/>
        </w:rPr>
        <w:t>Langley,</w:t>
      </w:r>
      <w:r>
        <w:rPr>
          <w:rFonts w:ascii="arial" w:eastAsia="arial" w:hAnsi="arial" w:cs="arial"/>
          <w:color w:val="000000"/>
          <w:sz w:val="20"/>
          <w:lang w:val="en-US" w:eastAsia="en-US" w:bidi="ar-SA"/>
        </w:rPr>
        <w:t xml:space="preserve"> for instance, the 23 year old plaintiff's injuries meant he could no longer undertake any activity that involved significant overhead use of his arms due to a significant and on-going shoulder injury. The pain associated with that injury (and others which had substantially resolved) was not great, and it did not limit all his recreational pursuits. The injuries and associated limitations did lead to some loss of enjoyment of life and emotional distress, and did affect his relationships, but "not to any significant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instant case, an award in the range of $50,000 is too low as the plaintiff continues to suffer from far more than "lingering effects"; rather, his injuries will continue to plague him permanently, and may deteriorate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plaintiff submits that an award of $115,000 to $135,000 would be appropriate in the circumstances. Counsel for the plaintiff cites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as a similar case, but I find it unhelpful. In that case the plaintiff was awarded $175,000 in non-pecuniary damages in unique circumstances: the consequences of the injuries were more serious as the plaintiff had to move from the ranch where he lived, worked, and planned to retire, which was described as a particularly "unique loss" in the circumstances of that case. Further, the Court of Appeal was substituting an unreasonable jury award with the highest possible one, in circumstances they recognized would normally not warrant an award of non-pecuniary damages above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 have reviewed the other cases cited by the plaintiff. They include: </w:t>
      </w:r>
      <w:r>
        <w:rPr>
          <w:rFonts w:ascii="arial" w:eastAsia="arial" w:hAnsi="arial" w:cs="arial"/>
          <w:i/>
          <w:color w:val="000000"/>
          <w:sz w:val="20"/>
          <w:lang w:val="en-US" w:eastAsia="en-US" w:bidi="ar-SA"/>
        </w:rPr>
        <w:t>Westbroek v. Bruzuela</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2012 BCSC 1955</w:t>
        </w:r>
      </w:hyperlink>
      <w:r>
        <w:rPr>
          <w:rFonts w:ascii="arial" w:eastAsia="arial" w:hAnsi="arial" w:cs="arial"/>
          <w:color w:val="000000"/>
          <w:sz w:val="20"/>
          <w:lang w:val="en-US" w:eastAsia="en-US" w:bidi="ar-SA"/>
        </w:rPr>
        <w:t xml:space="preserve"> ($90,000); </w:t>
      </w:r>
      <w:r>
        <w:rPr>
          <w:rFonts w:ascii="arial" w:eastAsia="arial" w:hAnsi="arial" w:cs="arial"/>
          <w:i/>
          <w:color w:val="000000"/>
          <w:sz w:val="20"/>
          <w:lang w:val="en-US" w:eastAsia="en-US" w:bidi="ar-SA"/>
        </w:rPr>
        <w:t>Zawadzki v. Calimoso</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xml:space="preserve"> ($180,000);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[2005] B.C.J. No. 137</w:t>
        </w:r>
      </w:hyperlink>
      <w:r>
        <w:rPr>
          <w:rFonts w:ascii="arial" w:eastAsia="arial" w:hAnsi="arial" w:cs="arial"/>
          <w:color w:val="000000"/>
          <w:sz w:val="20"/>
          <w:lang w:val="en-US" w:eastAsia="en-US" w:bidi="ar-SA"/>
        </w:rPr>
        <w:t xml:space="preserve"> ($100,000); </w:t>
      </w:r>
      <w:r>
        <w:rPr>
          <w:rFonts w:ascii="arial" w:eastAsia="arial" w:hAnsi="arial" w:cs="arial"/>
          <w:i/>
          <w:color w:val="000000"/>
          <w:sz w:val="20"/>
          <w:lang w:val="en-US" w:eastAsia="en-US" w:bidi="ar-SA"/>
        </w:rPr>
        <w:t>Gosselin v. Neal</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2010 BCSC 456</w:t>
        </w:r>
      </w:hyperlink>
      <w:r>
        <w:rPr>
          <w:rFonts w:ascii="arial" w:eastAsia="arial" w:hAnsi="arial" w:cs="arial"/>
          <w:color w:val="000000"/>
          <w:sz w:val="20"/>
          <w:lang w:val="en-US" w:eastAsia="en-US" w:bidi="ar-SA"/>
        </w:rPr>
        <w:t xml:space="preserve"> ($100,000); </w:t>
      </w:r>
      <w:r>
        <w:rPr>
          <w:rFonts w:ascii="arial" w:eastAsia="arial" w:hAnsi="arial" w:cs="arial"/>
          <w:i/>
          <w:color w:val="000000"/>
          <w:sz w:val="20"/>
          <w:lang w:val="en-US" w:eastAsia="en-US" w:bidi="ar-SA"/>
        </w:rPr>
        <w:t>Slocombe v. Wowchuck</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2009 BCSC 967</w:t>
        </w:r>
      </w:hyperlink>
      <w:r>
        <w:rPr>
          <w:rFonts w:ascii="arial" w:eastAsia="arial" w:hAnsi="arial" w:cs="arial"/>
          <w:color w:val="000000"/>
          <w:sz w:val="20"/>
          <w:lang w:val="en-US" w:eastAsia="en-US" w:bidi="ar-SA"/>
        </w:rPr>
        <w:t xml:space="preserve"> ($125,000); </w:t>
      </w:r>
      <w:r>
        <w:rPr>
          <w:rFonts w:ascii="arial" w:eastAsia="arial" w:hAnsi="arial" w:cs="arial"/>
          <w:i/>
          <w:color w:val="000000"/>
          <w:sz w:val="20"/>
          <w:lang w:val="en-US" w:eastAsia="en-US" w:bidi="ar-SA"/>
        </w:rPr>
        <w:t>Knauf v. Chao</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2009 BCCA 605</w:t>
        </w:r>
      </w:hyperlink>
      <w:r>
        <w:rPr>
          <w:rFonts w:ascii="arial" w:eastAsia="arial" w:hAnsi="arial" w:cs="arial"/>
          <w:color w:val="000000"/>
          <w:sz w:val="20"/>
          <w:lang w:val="en-US" w:eastAsia="en-US" w:bidi="ar-SA"/>
        </w:rPr>
        <w:t xml:space="preserve"> (award reduced to $135,000); and </w:t>
      </w: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xml:space="preserve">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plaintiff's age is a relevant factor in the analysis. In addition to significant differences in injuries and effects of the injuries on the plaintiffs which I will not set out in detail here, </w:t>
      </w:r>
      <w:r>
        <w:rPr>
          <w:rFonts w:ascii="arial" w:eastAsia="arial" w:hAnsi="arial" w:cs="arial"/>
          <w:i/>
          <w:color w:val="000000"/>
          <w:sz w:val="20"/>
          <w:lang w:val="en-US" w:eastAsia="en-US" w:bidi="ar-SA"/>
        </w:rPr>
        <w:t>Fox</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Slocombe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Knauf</w:t>
      </w:r>
      <w:r>
        <w:rPr>
          <w:rFonts w:ascii="arial" w:eastAsia="arial" w:hAnsi="arial" w:cs="arial"/>
          <w:color w:val="000000"/>
          <w:sz w:val="20"/>
          <w:lang w:val="en-US" w:eastAsia="en-US" w:bidi="ar-SA"/>
        </w:rPr>
        <w:t xml:space="preserve"> involved plaintiffs who were much younger than Mr. Mattice at the time of trial (34, 30, 29, and approximately 41, respectively). For instance, in </w:t>
      </w:r>
      <w:r>
        <w:rPr>
          <w:rFonts w:ascii="arial" w:eastAsia="arial" w:hAnsi="arial" w:cs="arial"/>
          <w:i/>
          <w:color w:val="000000"/>
          <w:sz w:val="20"/>
          <w:lang w:val="en-US" w:eastAsia="en-US" w:bidi="ar-SA"/>
        </w:rPr>
        <w:t>Slocombe</w:t>
      </w:r>
      <w:r>
        <w:rPr>
          <w:rFonts w:ascii="arial" w:eastAsia="arial" w:hAnsi="arial" w:cs="arial"/>
          <w:color w:val="000000"/>
          <w:sz w:val="20"/>
          <w:lang w:val="en-US" w:eastAsia="en-US" w:bidi="ar-SA"/>
        </w:rPr>
        <w:t xml:space="preserve">, the plaintiff's life changed dramatically. Similar to Mr. Mattice, he could no longer participate in the social and sporting activities he loved. However, at just 25 years old, he lost the ability to do the work he loved (carpentry) at all and lost his financial independence; he was in constant pain and could not sit for any length of time. His mood and sleep were affected. Similarly, </w:t>
      </w:r>
      <w:r>
        <w:rPr>
          <w:rFonts w:ascii="arial" w:eastAsia="arial" w:hAnsi="arial" w:cs="arial"/>
          <w:i/>
          <w:color w:val="000000"/>
          <w:sz w:val="20"/>
          <w:lang w:val="en-US" w:eastAsia="en-US" w:bidi="ar-SA"/>
        </w:rPr>
        <w:t>Felix</w:t>
      </w:r>
      <w:r>
        <w:rPr>
          <w:rFonts w:ascii="arial" w:eastAsia="arial" w:hAnsi="arial" w:cs="arial"/>
          <w:color w:val="000000"/>
          <w:sz w:val="20"/>
          <w:lang w:val="en-US" w:eastAsia="en-US" w:bidi="ar-SA"/>
        </w:rPr>
        <w:t xml:space="preserve"> involved a plaintiff whose personal and vocational life was devastated, who lost her ability to be self-reliant and who suffered from a pervasive emotional disorder (PTSD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Westbroek</w:t>
      </w:r>
      <w:r>
        <w:rPr>
          <w:rFonts w:ascii="arial" w:eastAsia="arial" w:hAnsi="arial" w:cs="arial"/>
          <w:color w:val="000000"/>
          <w:sz w:val="20"/>
          <w:lang w:val="en-US" w:eastAsia="en-US" w:bidi="ar-SA"/>
        </w:rPr>
        <w:t xml:space="preserve">, the 38 year old plaintiff's injuries and extent of limitations were similar and permanent. The plaintiff was a very promising and skilled automotive technician who could usually beat the book time. The plaintiff's ability to earn personal income as an automotive technician had been diminished, but he owned two shops and could concentrate on other aspects of the business as an accommodation, which was not his preferred role. He could no longer participate in various recreational pursuits, including outdoor activities and music, he struggled to do more than minimal housework, and he became moody and variable, which had an impact on his relationship with his wife. As noted in </w:t>
      </w:r>
      <w:r>
        <w:rPr>
          <w:rFonts w:ascii="arial" w:eastAsia="arial" w:hAnsi="arial" w:cs="arial"/>
          <w:i/>
          <w:color w:val="000000"/>
          <w:sz w:val="20"/>
          <w:lang w:val="en-US" w:eastAsia="en-US" w:bidi="ar-SA"/>
        </w:rPr>
        <w:t>Westbroek,</w:t>
      </w:r>
      <w:r>
        <w:rPr>
          <w:rFonts w:ascii="arial" w:eastAsia="arial" w:hAnsi="arial" w:cs="arial"/>
          <w:color w:val="000000"/>
          <w:sz w:val="20"/>
          <w:lang w:val="en-US" w:eastAsia="en-US" w:bidi="ar-SA"/>
        </w:rPr>
        <w:t xml:space="preserve"> despite some similarities,</w:t>
      </w:r>
      <w:r>
        <w:rPr>
          <w:rFonts w:ascii="arial" w:eastAsia="arial" w:hAnsi="arial" w:cs="arial"/>
          <w:i/>
          <w:color w:val="000000"/>
          <w:sz w:val="20"/>
          <w:lang w:val="en-US" w:eastAsia="en-US" w:bidi="ar-SA"/>
        </w:rPr>
        <w:t xml:space="preserve"> Zawadzki</w:t>
      </w:r>
      <w:r>
        <w:rPr>
          <w:rFonts w:ascii="arial" w:eastAsia="arial" w:hAnsi="arial" w:cs="arial"/>
          <w:color w:val="000000"/>
          <w:sz w:val="20"/>
          <w:lang w:val="en-US" w:eastAsia="en-US" w:bidi="ar-SA"/>
        </w:rPr>
        <w:t xml:space="preserve"> involved a 44 year old plaintiff with distinct and much more significant injuries and impacts than Mr. Mattice's case. The plaintiff was unable to return to his active lifestyle, his passion (music) or his job even with lighter duties; significantly, he had had three surgeries, and he developed marked changes in his personality and alcoholism.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Mattice is 56 years old and his symptoms are unlikely to improve, and may even deteriorate.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Mattice obviously derived much pleasure from his work as an auto mechanic. He loved his work, he excelled at it in both skill and speed, and, as he said, it defines who he is. As a result of the injuries, he is no longer able to perform his employment with the ease, speed and skill he previous had. As he testified, and I accept, he no longer has the enjoyment and pride he used to feel at work, and he now feels "moody" and "down" when he used to be "upbeat" and "active". As he said, "my job is who I am". There is also a possibility that Mr. Mattice will not be able to continue working in the near future; though, as I noted I am of the view that, based on the evidence, he will be able to work longer given his shortened work week and lighter task load. However, I accept Dr. Koo's evidence that there may be, over time, further deterioration in his rotator cuff and ulnar nerve caused by irritation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Mattice was active in maintaining his home and yard and participating in various recreational activities such as golfing, hiking, camping, fishing and biking, before the accident. His ability to engage in these activities has been hindered by the accident, though not to such a great extent as Mr. Mattice expressed in his evidence. The injuries and limitations caused by the accident have also affected Mr. Mattice's sex life and relationship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Considering all of the above in light of the cases, plaintiff's injuries and circumstances, I am of the view that an award of $90,000 is appropriate in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Mattice claims for direct wage loss as a result of his reduction to a three-day work week. Mr. Mattice should be compensated for the two days per week he stopped working from early September 2013 to trial. I therefore award $6,000 for direct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Mattice also claims for lost income from "side jobs" he could no longer take due to fatigue and pain. The plaintiff stated he earned $8,600 to $12,000 per year from side jobs, and claims $34,400 to $48,000 based on four years' worth of loss (accounting for the three months he could not work from the workplace injury). I agree that Mr. Mattice should receive some compensation for his loss of side jobs; however, in my view he exaggerated the income from that work, considering the amount of time that would be taken by all the housework, yard work, painting and other work he claims to have done. In my view, approximately half of the amount claimed would be appropriate. I therefore award $20,000 for lost income from side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Therefore, the total damages for past wage loss is $26,000.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There are two appropriate means of assessing damages for future loss of earning capacity. The Court of Appeal set out the approach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Here, the "earnings approach" is most appropriate as the loss is more easily quantifiable. The Court of Appeal set out the suggested means of calculation for this approach in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(C.A.)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One method is to postulate a minimum annual income loss for the plaintiff's remaining years of work, to multiply the annual projected loss times the number of year[s] remaining, and to calculate a present value of this sum. Another is to award the plaintiff's entire annual income for one or more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Mattice has no pension plan. Prior to the accident of 2009, he testified he was intending to continue to work to at least the age of 70. The plaintiff claims he would have earned $68,600 to $72,000 per year until this age from his income from Austin Automotive and his side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my view, Mr. Mattice was unlikely to have worked at full time until age 70 had the accident not occurred. Mr. Mattice has a history of low back pain, which he stated did not limit his work; however, with age, this and other ailments were likely to limit Mr. Mattice's ability to work. I think it is reasonable to assume he would have worked to age 67, and was likely to work less than full time before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Mattice testified that he believed (at the time of trial) he could only continue to work for another six months to a year, likely only to his 57th birthday on May 7, 2014. As noted, there must be a "real and substantial possibility" of a future event leading to an income loss. The evidence does not establish that there is a real and substantial possibility that Mr. Mattice will be unable to work past his 57th birthday. I expect that Mr. Mattice will be able to continue to work part-time for a period beyond his 57th birthday. As noted, Mr. Mattice has exaggerated the seriousness of his injuries, and the medical evidence before me indicates that Mr. Mattice is capable of working part-time with accommodations such as those already put in place by his employer, and which his employer has testified he is willing to continue. Dr. Koo stated that Mr. Mattice could not work full time at a physically demanding job. Ms. Hunt seemed to indicate that if his employers can accommodate him, he can work part-time. His employer has agreed to accommodate him at three days per week. Mr. Mattice also gave evidence that he has more energy and ability to help with housework since moving to part-time in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 is a real and substantial possibility that, while Mr. Mattice's accident injuries do not require him to stop working immediately, at some point before the age of 67, he will no longer be able to work part-time. As Dr. Koo noted, and I accept, continuing to work is likely to eventually cause deterioration of Mr. Mattice's injuries. Mr. Mattice is likely to get to a point where he can no longer keep up with even three days per week, especially given the physical demands of the work that even working part-time will not eliminate.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If Mr. Mattice feels he can no longer work part-time as an automobile mechanic, he is expected to continue to support himself if he can. The evidence clearly demonstrates that Mr. Mattice is capable of working at a less physically demanding job. Given Mr. Mattice's age, level of education, and physical limitations, I expect that re-training is not practical and thus any job he gets will likely be at significantly reduced pay. However it is important to note that Mr. Mattice has not been rendered entirely incapable of working; therefore, the award will be lower than it might be if Mr. Mattice could no longer work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Taking into account these considerations, I am now required to "postulate a minimum annual income loss for the plaintiff's remaining years of work, to multiply the annual projected loss times the number of year[s] remaining, and to calculate a present value of this sum":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While Mr. Mattice continues to work three days per week, his annual loss is $24,000 from his job at Austin Automotive and (based on my findings about the number of side jobs he was taking) approximately $5,000 from loss of side jobs. While I accept that Mr. Mattice is unlikely to be able to work right to the age of 67, this is offset by the likelihood he would reduce his hours and take fewer side jobs as he got older in any event and that he is capable of working at lower-paying jobs. Regardless, I am meant to calculate his "minimum" annual loss. I find Mr. Mattice's minimum annual loss to be $29,000.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Using Mr. Carson's report (Exhibit 9), the net present value of this income is $258,419. Taking into account any additional general negative and specific contingencies, I am of the view that an award of $250,000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Costs that are reasonable and medically necessary will be awarded as costs for future care. As the Court of Appeal set out in </w:t>
      </w: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The test for assessing future care costs is well-settled: the test is whether the costs are reasonable and whether the items are medically necessary: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page 78; affirmed </w:t>
      </w:r>
      <w:hyperlink r:id="rId61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emphasis in assessing damages for a serious injury is provision of adequate future care. The award for future care is based on what is reasonably necessary to promote the mental and physical health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McLachlin J., as she then was, then went on to state what has become the frequently cited formulation of the "test" for future care awards at page 84: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under the heading of cost of future care, it may be inferred, is an objective one based on medical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establish (1) that there must be a medical justification for claims for cost of future care; and (2) that the claims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claims $15,000 to $20,000 for various therapies recommended by Dr. Koo in his first and third reports. This amount is based on the $4,620 they submit Mr. Mattice has paid for physiotherapy, kinesiology, and acupuncture, and mileage for those treatments, over the past four years. The acupuncture was $100 for two visits and the physiotherapy was $2,260. There is no evidence of the cost of kinesiology, though the plaintiff submits it is similar to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Koo's third report recommends a combination of physiotherapy, an active rehabilitation program conducted by a kinesiologist, massage therapy, and acupuncture. Dr. Koo notes that it is not clear which would be most beneficial to Mr. Mattice, but he does not need all of them. I find that the cost of a combination of two of these therapies is both reasonable and medically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defendant submits that the plaintiff has paid $2,360 for physiotherapy and acupuncture over the past four years (not including mileage), and so the appropriate award is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left with very little useful evidence upon which to make this award, other than the evidence that some combination of these therapies is necessary. In my view, an award of $11,000, representing approximately 10 years' of kinesiology and physiotherapy (assuming they are each $2,260 for four years), is appropriate for these therapies. I add to that $1,000 for mileage. Therefore, the total award for costs of future care is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Koo also recommended psychological counselling to treat his mild depression. However, I have found insufficient evidence to demonstrate depression. In any event, Dr. Koo recommended psychological counselling in his reports, but the plaintiff did not follow that recommendation and I find he is unlikely to do so this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submit that no award for past or future loss of homemaking capacity is appropriate as the plaintiff has not met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Mattice seeks $16,000 to $24,000 for the lost capacity to do yard work, by calculating the annual value of this asset at $4,000 to $6,000. He also claims $9,000 to $18,000 for past loss of housework, for an award of between $25,000 to $42,000 for past loss of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Mattice seeks $50,000 to $125,000 for future loss of homemaking capacity, based on the annual value of $4,000 to $6,000 for yard work and $3,000 to $4,500 for housework, minus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and Mrs. Mattice both testified that prior to the accident they would split the housework evenly. They both testified to having reduced his stepson's rent in exchange for his performance of heavier house and yard work, and about hiring painters or housekeepers to help with the work. However, according to Dr. Koo's last report, Mr. Mattice is now contributing 30 to 40 percent of the household activities without too much difficulty. It is unclear whether that relates to yard work and housework or just housework.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Mattice's evidence is that he used to contribute 50%, and, as Dr. Koo notes, he is now contributing 30 % to 40%. That means his ability to contribute has reduced by 20% to 40%. I accept that Mr. Mattice can no longer do some of the house and yard work that is more strenuous and involves movement similar to those Ms. Hunt identifies as beyond Mr. Mattice's capacity at work. I find that an award of 30% of the amounts claimed by the plaintiff appropriately represents the loss of value of the asset. Absent clearer evidence of the value of the asset, I use the lower amounts put forward by the plaintiff. I therefore award $7,500 for past loss of homemaking, and $15,000 for future loss of homemaking, for a total of $22,500.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seeks $4,205.50 based on the costs of physiotherapy ($2,260), acupuncture ($100), the MRI ($900) and mileage ($945.50 out of the total $1,002 claimed) to accident-related appointments. From the total mileage noted in the plaintiff's out of pocket expenses, only $56.50 is taken out for mileage for medical visits related to issues other than the motor vehicle accident, which I do not view as an accurate estimate given Mr. Mattice's workplace injury and other medical issues that arise in the usual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defendants submit that $3,260.00 is appropriate. I would add $500 for mileage for these appointments. The total for special damages is $3,760.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Liability has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is awarded the following amounts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19"/>
        <w:gridCol w:w="3764"/>
        <w:gridCol w:w="1987"/>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$90,000</w:t>
            </w:r>
          </w:p>
        </w:tc>
        <w:tc>
          <w:tcPr>
            <w:tcW w:w="358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9"/>
        <w:gridCol w:w="4496"/>
        <w:gridCol w:w="1359"/>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19"/>
        <w:gridCol w:w="3764"/>
        <w:gridCol w:w="1987"/>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Costs of future care: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9"/>
        <w:gridCol w:w="4182"/>
        <w:gridCol w:w="156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homemaking capacity: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$22,500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9"/>
        <w:gridCol w:w="4809"/>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$3,760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3660"/>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Total: </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$404,260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If the parties cannot reach agreement on costs, they are at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R.W. JENKINS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4"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Millership v. Kamloops (City), [2003] B.C.J. No. 109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aHeard: August 12- 16, 19 - 23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21 - 25,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30272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667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Kevin James Millership, plaintiff, and Her Majesty the Queen in Right of the Province of British Columbia and Her Majesty the Queen in Right of the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5"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5" w:name="Keywords_17"/>
      <w:bookmarkEnd w:id="145"/>
      <w:r>
        <w:rPr>
          <w:rFonts w:ascii="arial" w:eastAsia="arial" w:hAnsi="arial" w:cs="arial"/>
          <w:b/>
          <w:color w:val="000000"/>
          <w:sz w:val="20"/>
          <w:lang w:val="en-US" w:eastAsia="en-US" w:bidi="ar-SA"/>
        </w:rPr>
        <w:t>Waters — Public water supply — Civil rights — Mobility rights — Discrimination — Facilities and services customarily available to public — Security of the person — Canadian Charter of Rights and Freedoms — Application, government practices — Application, exceptions.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6" w:name="Case Summary_16"/>
            <w:bookmarkEnd w:id="1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Millership to prevent continuing fluoridation of public water supplies in Canada, and for damages for injuries he believed he suffered as a result of fluoridation. Millership suffered from mild fluorosis, a scattering of small opaque white areas over his teeth. This was commonly caused by consumption of fluoride. Millership grew up in the City of Kamloops where the municipal water supply was fluoridated. He argued that the provincial legislation authorizing fluoridation was ultra vires and contrary to his rights under the Canadian Charter of Rights and Freedoms to mobility, security of the person, and equality. He also argued that fluoridation breached a variety of environmental statutes and international treaties. Millership presented evidence that fluoridation increased the risk of fluorosis in the population, and that high doses of fluoride were fatal and were environmentally harmful. He argued that the addition of fluoride to the water system for the purpose of reducing dental decay was the administration of a drug. The City no longer fluoridated its water. The Crown presented evidence of the benefits of fluoridation and of its ongoing consultation, study and regulation of the fluoridation of municipal water systems.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7" w:name="Holdings of Court_13"/>
            <w:bookmarkEnd w:id="14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provincial legislation authorizing fluoridation was presumed to be constitutional, and Millership did not establish otherwise. The pith and substance of the legislation was clearly a matter that dealt with local works and undertakings. Fluoridation was not in breach of the Charter. Legislation allowing for fluoridation was not passed for the purposes of discriminating on the basis of residence or of any of the enumerated or analogous grounds in section 15. The benefits of fluoride were proven to outweigh the risks. The fact that Millership disagreed with fluoridation and that it caused him psychological stress was not sufficient to support a section 7 challenge. Provided that fluoridation was maintained within the optimal levels recommended, it was a minimal intrusion into Millership's rights to liberty or security of the person and did not amount to a prima facie breach of those rights. Even if there were Charter breaches, public health and the health of children were sufficiently pressing objectives to uphold the practice under section 1. Millership's condition was a cosmetic problem that did not affect the function of his teeth. Although he established that the fluoridation caused the fluoration, there was no evidence to suggest that the authorities did not comply with the appropriate standard of care. In any event, neither the province nor the federal government fluoridated any water Millership consumed, so they were not liable. Millership's claim was also barred due to the applicable limitation periods. Any damages he may have suffered occurred prior to the implementation of the Charter, so there was no Charter remedy. Declaratory relief was inappropriate in that it would have required the court to direct the federal government to pass specific legislation. The court did not have the authority to enjoin other parties involved in fluoridation because they were not before the court. If public water fluoridation was an environmental concern, then the appropriate remedy was prosecution under the appropriate environmental statutes.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8" w:name="Legislation Cited_8"/>
      <w:bookmarkEnd w:id="1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6"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Food and Drug Act, s. 14(1).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Food and Drug Regulation.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Bill of Rights.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ss. 1, 6, 6(3), 7, 15, 15(1), 24, 24(1), 35(1).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Environmental Protection Act, 1999, c. 33, ss. 1.1, 22.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Constitution Act of Canada, 1867, s. 92.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Constitution Act, 1982.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ss. 46(1), 51(1), 180(2), 216, 476(b).</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Liability and Proceedings Act, s. 310.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Export/Import of Hazardous Waste Regulations.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Fisheries Act, </w:t>
      </w:r>
      <w:hyperlink r:id="rId618" w:history="1">
        <w:r>
          <w:rPr>
            <w:rFonts w:ascii="arial" w:eastAsia="arial" w:hAnsi="arial" w:cs="arial"/>
            <w:i/>
            <w:color w:val="0077CC"/>
            <w:sz w:val="20"/>
            <w:u w:val="single"/>
            <w:shd w:val="clear" w:color="auto" w:fill="FFFFFF"/>
            <w:lang w:val="en-US" w:eastAsia="en-US" w:bidi="ar-SA"/>
          </w:rPr>
          <w:t>R.S.C.  1985, c. F-14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Fredericton City Charter, 1951 (N.B.) c. 79.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Health Act, R.S.N.B. 1952, c. 102.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Act, </w:t>
      </w:r>
      <w:r>
        <w:rPr>
          <w:rFonts w:ascii="arial" w:eastAsia="arial" w:hAnsi="arial" w:cs="arial"/>
          <w:i/>
          <w:color w:val="000000"/>
          <w:sz w:val="20"/>
          <w:lang w:val="en-US" w:eastAsia="en-US" w:bidi="ar-SA"/>
        </w:rPr>
        <w:t>R.S.B.C. 1996, c. 179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6(6).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Local Government Act, R.S.B.C. 1996, c. 323, s. 523, 523(1), 523(2), 523(3).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Practitioners Act, s. 81(1), 81(2).</w:t>
      </w: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Nuremberg Code.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Rio Declaration of Environment and Development.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Safe Drinking Water Regulation.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Universal Declaration of Human Rights, Articles 3, 29(2).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Waste Management Act, </w:t>
      </w:r>
      <w:hyperlink r:id="rId619" w:history="1">
        <w:r>
          <w:rPr>
            <w:rFonts w:ascii="arial" w:eastAsia="arial" w:hAnsi="arial" w:cs="arial"/>
            <w:i/>
            <w:color w:val="0077CC"/>
            <w:sz w:val="20"/>
            <w:u w:val="single"/>
            <w:shd w:val="clear" w:color="auto" w:fill="FFFFFF"/>
            <w:lang w:val="en-US" w:eastAsia="en-US" w:bidi="ar-SA"/>
          </w:rPr>
          <w:t>R.S.B.C. 1996, c. 482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Water Protection Act, </w:t>
      </w:r>
      <w:hyperlink r:id="rId620" w:history="1">
        <w:r>
          <w:rPr>
            <w:rFonts w:ascii="arial" w:eastAsia="arial" w:hAnsi="arial" w:cs="arial"/>
            <w:i/>
            <w:color w:val="0077CC"/>
            <w:sz w:val="20"/>
            <w:u w:val="single"/>
            <w:shd w:val="clear" w:color="auto" w:fill="FFFFFF"/>
            <w:lang w:val="en-US" w:eastAsia="en-US" w:bidi="ar-SA"/>
          </w:rPr>
          <w:t>R.S.B.C. 1996, c. 486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Water Utility Act, </w:t>
      </w:r>
      <w:hyperlink r:id="rId620" w:history="1">
        <w:r>
          <w:rPr>
            <w:rFonts w:ascii="arial" w:eastAsia="arial" w:hAnsi="arial" w:cs="arial"/>
            <w:i/>
            <w:color w:val="0077CC"/>
            <w:sz w:val="20"/>
            <w:u w:val="single"/>
            <w:shd w:val="clear" w:color="auto" w:fill="FFFFFF"/>
            <w:lang w:val="en-US" w:eastAsia="en-US" w:bidi="ar-SA"/>
          </w:rPr>
          <w:t>R.S.B.C. 1996, c. 486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Wildlife Protection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9" w:name="Counsel_26"/>
      <w:bookmarkEnd w:id="14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Kevin James Millership appeared on his own behalf. G. Morley, for the defendant, Attorney General for British Columbia. D.W. Zachernuk, for the defendant, Attorney General of Canada.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0" w:name="Judgment_26"/>
      <w:bookmarkEnd w:id="150"/>
      <w:r>
        <w:pict>
          <v:line id="_x0000_s1138" style="position:absolute;z-index:2518282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1" w:name="POWERS J."/>
            <w:bookmarkEnd w:id="151"/>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the Case is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Millership is opposed to the fluoridation of public water supplies, and commenced these proceedings when the City of Kamloops was fluoridating its water. He originally included the City of Kamloops because they were the party who was actually fluoridating the water until October 2001, when fluoridation was stopped as a result of a referendum. Kamloops had fluoridated its water from approximately 1963, and this included an area referred to as North Kamloops starting in 1969. North Kamloops had amalgamated with Kamloops in 1967.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Millership was born in Kamloops in 1971 and lived in Kamloops until approximately 1990. He lived away from the city until about 1996 or 1997, although he visited as he still had family here. He became interested in the fluoridation debate in about 1992 or 1993. He read information about the fluoridation of water and its safety, and was aware about issues of dental fluorosis. He has not consumed fluoridated water since that time. When he was 15 or 16, he noticed streaks on his teeth which he thought were odd. He did not discuss this with his dentist, nor did he receive any adverse comments from anyone about the appearance of his teeth. Mr. Millership has filed a letter of opinion dated February 19, 2001 from his dentist. The letter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...could be displaying a very mild fluorosis, that is small opaque, white areas scattered irregularly over the teeth, but not involving as much as ten percent of the tooth surface. Some of the teeth also show no more than one millimeter of white opacity at the tip of the summit of the cusps.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treatment for this condition is warranted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He commenced these proceedings on October 23, 2000, in order to seek legal remedies to prevent continuing fluoridation of the public water in Kamloops and elsewhere in Canada, and to seek damages for injuries he believes he suffered as a result of the consumption of fluoridated water. He has represented himself through most of the proceedings, but did have some assistance in the initial drafting of his statement of claim. He filed his amended statement of claim on August 12, 2002. He included a claim for compensation for personal injuries and claims for declarations, injunctions and what may be claims for mandamus regarding the federal and provincial governments. He has discontinued his claim against the City of Kamloops because they no longer fluoridate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was agreed by all of the parties that it was appropriate to deal with the claims for damages by way of summary trial proceeding pursuant to Rule 18A. It was also agreed that the challenges with regard to the validity of the legislation which permits fluoridation of the public water system and his claims for declarations, injunctions and orders by way of mandamus, which should have been brought by way of petition, should also be dealt with as if they had been brought by way of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 Mr. Millership's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Millership's claims for damages appear to be based on:</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of nuisance;</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under the principles of Rylands v. Fletcher, 3 L.R.H.L. 330;</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Charter of Rights and Freedoms.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Millership challenges the validity of legislation that permits the fluoridation of public water on a number of basis including the following:</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legislation which is passed by the provincial government is ultra vires or beyond the jurisdiction of the provincial government;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is contrary to the Charter of Rights and Freedoms, particularly ss. 6 (mobility), 7 (life, liberty and security of the person), 15 (equality) and 35(1) (Aboriginal rights);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is contrary to the Canadian Bill of Rights and Freedoms;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1996] c. 333;</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law;</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 of fluoridating a public water system breaches a number of provincial and federal statutes, including the following:</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Environmental Protection Act, 1999, c. 33;</w:t>
      </w:r>
    </w:p>
    <w:p>
      <w:pPr>
        <w:numPr>
          <w:numId w:val="1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Fisheries Act, (</w:t>
      </w:r>
      <w:hyperlink r:id="rId618" w:history="1">
        <w:r>
          <w:rPr>
            <w:rFonts w:ascii="arial" w:eastAsia="arial" w:hAnsi="arial" w:cs="arial"/>
            <w:i/>
            <w:color w:val="0077CC"/>
            <w:sz w:val="20"/>
            <w:u w:val="single"/>
            <w:shd w:val="clear" w:color="auto" w:fill="FFFFFF"/>
            <w:lang w:val="en-US" w:eastAsia="en-US" w:bidi="ar-SA"/>
          </w:rPr>
          <w:t>R.S.C. 1985, c.F-14</w:t>
        </w:r>
      </w:hyperlink>
      <w:r>
        <w:rPr>
          <w:rFonts w:ascii="arial" w:eastAsia="arial" w:hAnsi="arial" w:cs="arial"/>
          <w:color w:val="000000"/>
          <w:sz w:val="20"/>
          <w:lang w:val="en-US" w:eastAsia="en-US" w:bidi="ar-SA"/>
        </w:rPr>
        <w:t>) and Provincial Acts, including the Wildlife Protection Act;</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Water Utility Act, </w:t>
      </w:r>
      <w:hyperlink r:id="rId620" w:history="1">
        <w:r>
          <w:rPr>
            <w:rFonts w:ascii="arial" w:eastAsia="arial" w:hAnsi="arial" w:cs="arial"/>
            <w:i/>
            <w:color w:val="0077CC"/>
            <w:sz w:val="20"/>
            <w:u w:val="single"/>
            <w:shd w:val="clear" w:color="auto" w:fill="FFFFFF"/>
            <w:lang w:val="en-US" w:eastAsia="en-US" w:bidi="ar-SA"/>
          </w:rPr>
          <w:t>R.S.B.C. 1996, c. 486</w:t>
        </w:r>
      </w:hyperlink>
      <w:r>
        <w:rPr>
          <w:rFonts w:ascii="arial" w:eastAsia="arial" w:hAnsi="arial" w:cs="arial"/>
          <w:color w:val="000000"/>
          <w:sz w:val="20"/>
          <w:lang w:val="en-US" w:eastAsia="en-US" w:bidi="ar-SA"/>
        </w:rPr>
        <w:t>;</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Waste Management Act, </w:t>
      </w:r>
      <w:hyperlink r:id="rId619" w:history="1">
        <w:r>
          <w:rPr>
            <w:rFonts w:ascii="arial" w:eastAsia="arial" w:hAnsi="arial" w:cs="arial"/>
            <w:i/>
            <w:color w:val="0077CC"/>
            <w:sz w:val="20"/>
            <w:u w:val="single"/>
            <w:shd w:val="clear" w:color="auto" w:fill="FFFFFF"/>
            <w:lang w:val="en-US" w:eastAsia="en-US" w:bidi="ar-SA"/>
          </w:rPr>
          <w:t>R.S.B.C. 1996, c. 482</w:t>
        </w:r>
      </w:hyperlink>
      <w:r>
        <w:rPr>
          <w:rFonts w:ascii="arial" w:eastAsia="arial" w:hAnsi="arial" w:cs="arial"/>
          <w:color w:val="000000"/>
          <w:sz w:val="20"/>
          <w:lang w:val="en-US" w:eastAsia="en-US" w:bidi="ar-SA"/>
        </w:rPr>
        <w:t>;</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Water Protection Act, </w:t>
      </w:r>
      <w:hyperlink r:id="rId620" w:history="1">
        <w:r>
          <w:rPr>
            <w:rFonts w:ascii="arial" w:eastAsia="arial" w:hAnsi="arial" w:cs="arial"/>
            <w:i/>
            <w:color w:val="0077CC"/>
            <w:sz w:val="20"/>
            <w:u w:val="single"/>
            <w:shd w:val="clear" w:color="auto" w:fill="FFFFFF"/>
            <w:lang w:val="en-US" w:eastAsia="en-US" w:bidi="ar-SA"/>
          </w:rPr>
          <w:t>R.S.B.C. 1996, c. 486</w:t>
        </w:r>
      </w:hyperlink>
      <w:r>
        <w:rPr>
          <w:rFonts w:ascii="arial" w:eastAsia="arial" w:hAnsi="arial" w:cs="arial"/>
          <w:color w:val="000000"/>
          <w:sz w:val="20"/>
          <w:lang w:val="en-US" w:eastAsia="en-US" w:bidi="ar-SA"/>
        </w:rPr>
        <w:t>;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breaches of various international treaties.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Millership's claims include:</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public water fluoridation in B.C. and Canada is unconstitutional;</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public water fluoridation is a matter of national concern which should be enjoined by Canada exercising its authority under the Constitution Act, 1982, relating to peace, order and good government;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public water fluoridation mass medicates and poisons Canadians by the drug fluoride without their informed consent;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public water fluoridation harms the environment contrary to the laws of British Columbia and Canada;</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permanent injunction to stay the operation of s. 523(3) of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and amendments thereto;</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permanent injunction of all public water fluoridation in British Columbia;</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permanent injunction to stay any provincial or territorial act in Canada that allows public water fluoridation, on the basis that such fluoridation has a "halo effect" that affects everyone in Canada, including Mr. Millership;</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permanent injunction preventing all public water fluoridation in Canada that affects Mr. Millership and "citizens" as a result of the "halo effect";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permanent injunction preventing the sale in British Columbia of all food and beverages made with artificially fluoridated water containing substantial amounts (one milligram) of fluoride;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and special damages in the amount of $250,000.00.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Underlying all of these are issues about the safety and effectiveness of fluoridation of public water, including whether or not the substance used to fluoridate public water is a drug or a poison, and whether it amounts to the administration of a drug without the informed consent of the people being medicated.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 regard to the damage claims, issues arise as to whether Mr. Millership has suffered damages at all, and if so, what the cause of those damages might be and whether there is any responsibility on the part of the provincial government or the federal government for those damages. Limitation defenses are also raised by both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 Fluoridation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approximately 1931, research began in the United States by a Dr. H. Dean to try and determine the cause of a dental problem which occurred in some places in Colorado, Texas and Arizona. The dental condition was referred to as Texas Teeth or Colorado Brown Stain. Dr. Dean determined that this condition was caused by high levels of fluoride in the community drinking water. He also observed that within certain parameters, the amount of dental caries was lower in areas with fluoride in the water supply than in those without. He determined that if water was fluoridated at the rate of one part per million, dental caries or decay was significantly reduced, with the minimal occurrence of dental fluorosis. Dental disease was a serious problem at the time and the reduction of dental disease provided a significant benefit to society. Despite opposition, many communities began adding fluoride to the public water system after 1945. One hundred and thirty-two million people in the United States received fluoridated water, and more than ten million in Canada now receive fluoridated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controversy over the risks and benefits of public fluoridation of water has continued, and research has also continued into these issues. Scientific opinions about how fluoridated water affects dental health have changed, and some scientists involved in research on the effects of fluoridated water have expressed concerns about the practice, even though some of them may have supported it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role of Canada has been to participate in a Federal/Provincial/Territorial Subcommittee which issues drinking water guidelines, including a guideline for fluoride. The committee consists of a number of scientists and researchers, who prepare reports, receive and read scientific research, and then make recommendations on the issue of the fluoridation of public water, including what are considered optimum levels and maximum levels of fluoride in public drinking water. The report of this committee is available to the public and to municipalities who ultimately decide whether to fluoridate their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role of the provincial government has been to pass legislation that requires local governments to take certain steps before they fluoridate their public drinking water. The British Columbia legislature first introduced legislation dealing with the fluoridation of public drinking water in 1957. Originally, a local government could only fluoridate after approval by referendum of sixty percent of the voters. The present legislation requires that the referendum pass by a simple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1961, the City of Kamloops passed Bylaw 1477, which authorized a municipal referendum on the issue of fluoridation.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City began to fluoridate its water in 1963. The City of Kamloops and north Kamloops amalgamated in 1967. North Kamloops began to receive fluoridated water through the Kamloops water system in 1969. Subsequently, a referendum was held in 1993 on the fluoridation of public drinking water in the amalgamated community. The referendum passed. The issue of fluoridation was again before the electorate on October 13, 2001, when a referendum to fluoridate was defeated. Kamloops ceased fluoridating its water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relevant provincial legislation is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and amendments thereto, and in particular: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523(1) Subject to the Health Act, a council may, by by-law</w:t>
      </w: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regulate for the purposes of maintaining, promoting or preserving public health, or maintaining sanitary conditions, and</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undertake any other measures it considers necessary for those purposes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provision of a by-law under ss. (1) that regulates is not valid until approved by the Minister of Health, who may consider and deal with it accordingly.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limit on ss. (1) a council must not fluoridate the water supply unless the by-law has received the assent of the electors.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(Local Government Amendment Act, 1999, S.B.C. c. 37, s. 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Millership argues that fluoridation of public water is a matter of national concern and should be properly prevented by the federal government through exercise of its constitutional authority under the peace, order and good government provisions of the Constitution. Canada and British Columbia both argue that it is a matter within the jurisdiction of the provincial government, and I agree with that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necessary then to deal with each of Mr. Millership's arguments as he has presented them and consider what remedies are available,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Millership makes many broad and far reaching claims and arguments. These include arguments that public water fluoridation is a conspiracy by industry to deal with the problems of fluoride pollution. He also argues that public water fluoridation was a means for the United States government to deal with public relations problems caused by fluoride pollution arising from the Manhattan project and the development of the atomic bomb. He argues that the fluoridation of public water systems is used to control populations and keep people docile, and was a method adopted by Nazi Germany, the former Soviet Union, and is also being used on military bases in Canada. Mr. Millership has not invented these arguments, but repeats these claims which have been made by others. However, these claims are merely speculation, and the evidence before me does not support any of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Legal Authority to Fluoridate Public Water Supplies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Millership argues that s. 523(1)(3) of the Local Government Act does not provide authority for the addition of fluoride to the public water system. He argues that the addition of fluoride does not maintain, promote or preserve public health as referred to in the section. He argues that hydro-fluorosilcicic acid is a corrosive poisonous acid more toxic than lead and, therefore, the addition of any of it to the water supply cannot be for the purposes of maintaining, promoting or preserving public health. He argues that, in fact, it is detrimental to people's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hydro-fluorosilcicic acid which is used in many public water fluoridation systems is a by-product of the manufacturer of phosphate fertilizer. In its concentrated form, it is a poison and a hazardous waste. In concentrated forms, it can result in acute poisoning and is subject to restrictions under Export/Import of Hazardous Waste Regulations and listed as a toxic substance under the Canadian Environmental Protection Act, 1999. With regard to the hydro fluorosilcicic acid used in many public water fluoridation systems, the purity of this fluoride compound is certified according to American National Standard and NSF International Standard 60 with regard to its contents. In addition, when fluoride is added to the water it disassociates into its component parts. It is no longer a poisonous acid. The fluorine ions become free in the water. Certainly in high concentrations, fluorine can be poisonous. However, what may be toxic in a concentrated amount may also have benefits in much smaller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Millership argues that the fluoridation of public water is, in effect, the mass administration of a drug without the consent of all of the people receiving it. He argues that even the Canadian Dental Association, which supports the public fluoridation of water, requires informed consent before fluoride supplements are given to a patient. In addition, proper examination and dental caries risk assessment is required. He argues that the addition of fluoride to the water system for the purposes of reducing dental decay is the administration of a drug, and the only instance in which mass medication is imposed on a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Fluoride occurs naturally in many fresh water systems and is present in salt water. The level of fluoride varies from amounts so low that it is not measurable, to well in excess of the recommended maximum levels referred to in the Safe Drinking Water Regulation (made pursuant to the Health Act, </w:t>
      </w:r>
      <w:r>
        <w:rPr>
          <w:rFonts w:ascii="arial" w:eastAsia="arial" w:hAnsi="arial" w:cs="arial"/>
          <w:i/>
          <w:color w:val="000000"/>
          <w:sz w:val="20"/>
          <w:lang w:val="en-US" w:eastAsia="en-US" w:bidi="ar-SA"/>
        </w:rPr>
        <w:t>R.S.B.C. 1996, c. 179</w:t>
      </w:r>
      <w:r>
        <w:rPr>
          <w:rFonts w:ascii="arial" w:eastAsia="arial" w:hAnsi="arial" w:cs="arial"/>
          <w:color w:val="000000"/>
          <w:sz w:val="20"/>
          <w:lang w:val="en-US" w:eastAsia="en-US" w:bidi="ar-SA"/>
        </w:rPr>
        <w:t>). The addition of fluoride to public water began in an effort to deal with a severe problem of dental decay in all levels of the population. Despite the controversy that has surrounded the fluoridation of public water, the significant benefits were seen to be a justification for the adjustment of levels of fluoride, which were already occurring in many water systems in any event. However, it is clearly added for the purposes of maintaining, promoting or preserving public health, that is, dental health, and is within the ambit of s. 523(1) and (3) of the Local Government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Mr. Millership referred to the case The Queen v. Fredericton </w:t>
      </w:r>
      <w:hyperlink r:id="rId621" w:history="1">
        <w:r>
          <w:rPr>
            <w:rFonts w:ascii="arial" w:eastAsia="arial" w:hAnsi="arial" w:cs="arial"/>
            <w:i/>
            <w:color w:val="0077CC"/>
            <w:sz w:val="20"/>
            <w:u w:val="single"/>
            <w:shd w:val="clear" w:color="auto" w:fill="FFFFFF"/>
            <w:lang w:val="en-US" w:eastAsia="en-US" w:bidi="ar-SA"/>
          </w:rPr>
          <w:t>(1955), 2 D.L.R. (2d) 551</w:t>
        </w:r>
      </w:hyperlink>
      <w:r>
        <w:rPr>
          <w:rFonts w:ascii="arial" w:eastAsia="arial" w:hAnsi="arial" w:cs="arial"/>
          <w:color w:val="000000"/>
          <w:sz w:val="20"/>
          <w:lang w:val="en-US" w:eastAsia="en-US" w:bidi="ar-SA"/>
        </w:rPr>
        <w:t xml:space="preserve"> (N.B.S.C.A.D.). The city council had passed a resolution for the fluoridation of public water. This resolution was struck down because there was no by-law authorizing the resolution, and in addition, a subsequent regulation passed pursuant to the Health Act, R.S.N.B. 1952, c. 102, which purported to authorize the fluoridation of water, was also invalid because the Health Act only allowed the passage of regulations for the treatment of water, which the court interpreted to be the purification of water, not the addition of fluoride for the purposes of improving health. The court did express the opinion that the statute of authority under the Fredericton City Charter, 1951 (N.B.) c. 79, authorized the making of by-laws "...as maybe necessary or desirable to promote the safety, health, peace or good order, comfort, convenience and morals of its inhabitance, as fully and completely as those such powers were specifically enumerated in this act...". The court said it was difficult to see how those statutory provisions provided any authority for the city to embark upon fluoridation, but in any event, there was no by-law. The court's view of the statutory provisions on whether they provided any basis for fluoridation was really obiter and not necessary for the purposes of the decision. The case was decided on the absence of a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Section 523 of the Local Government Act authorizes the council to act by way of a by-law for the purposes of maintaining, promoting or preserving public health. The maintenance and preservation of dental health is the purpose behind the fluoridation of the public water. In addition, in my opinion, the reference in s. 523(3) to the fluoridation of a water supply with the assent of electors indicates that fluoridation of public water is contemplated to be one of the steps taken for the promotion or preservation of public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Millership also referred to the decision Municipality of Metropolitan Toronto v. Corporation of the Village of Forest Hill, </w:t>
      </w:r>
      <w:hyperlink r:id="rId622" w:history="1">
        <w:r>
          <w:rPr>
            <w:rFonts w:ascii="arial" w:eastAsia="arial" w:hAnsi="arial" w:cs="arial"/>
            <w:i/>
            <w:color w:val="0077CC"/>
            <w:sz w:val="20"/>
            <w:u w:val="single"/>
            <w:shd w:val="clear" w:color="auto" w:fill="FFFFFF"/>
            <w:lang w:val="en-US" w:eastAsia="en-US" w:bidi="ar-SA"/>
          </w:rPr>
          <w:t>[1957] S.C.R. 569</w:t>
        </w:r>
      </w:hyperlink>
      <w:r>
        <w:rPr>
          <w:rFonts w:ascii="arial" w:eastAsia="arial" w:hAnsi="arial" w:cs="arial"/>
          <w:color w:val="000000"/>
          <w:sz w:val="20"/>
          <w:lang w:val="en-US" w:eastAsia="en-US" w:bidi="ar-SA"/>
        </w:rPr>
        <w:t xml:space="preserve"> (S.C.C.). The Supreme Court of Canada found that the authority to pass by-laws "...to regulate in order to secure to the inhabitants of the Metropolitan area a continued and abundance supply of pure and wholesome water..." did not give the authority to pass a by-law authorizing the fluoridation of that water. The addition of fluoride was for a health purpose, not for the purposes of providing pure and wholesome water. In the present case, s. 523 of the Local Government Act specifically authorizes by-laws for the purpose of maintaining, promoting or preserving public health. The Forest Hill case is distinguishable from the present case on the facts. It provides some support for Mr. Millership's argument that the fluoridation of water is done for health purposes, or is the administration of a medication or a drug in his subsequent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Millership argues that public water fluoridation is really the distribution of a drug as a sample, and is contrary to the Canada Food and Drug Act, s. 14(1). However, it is not the distribution of a drug as a sample within the meaning of that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Millership refers to the Nuremberg Code and argues that the public water fluoridation is an experiment being conducted on unwilling subjects, and contrary to the provisions of that Code. Public water fluoridation is not an experiment within the meaning of the Nuremberg Code. It is not an experiment at all, and the fact that research continues into the effectiveness and the safety of fluoridation of public water does not make it an experiment within the meaning of the Nuremberg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Millership argues that public fluoridation is the administration of a drug by someone who is not a registered medical doctor. He refers to the Medical Practitioners Act, s. 81(1) and (2), which states that a person practices medicine if they prescribe or administer a drug, substance, or treatment, remedy or cure for prevention of a human disease. He argues that the public water works employees are, therefore, practicing medicine in contravention of the Medical Practitioners Act. The defendants both argue that the implementation of public water fluoridation, if authorized by by-law, is under the direction of the local medical health officer. In addition, the fluoridation of public water is not the prescription of a drug in the sense referred to in the Medical Practitioners Act. I agree with their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Millership argues that the method of administering fluoride to public water systems is inadequate and that there is a great variation in compliance with the recommended ranges throughout Canada and the United States. The maximum acceptable concentration ("MAC") for fluoride is 1.5 mg/L or 1.5 parts per million ("PPM"). Water is considered to be "optimally" fluoridated if it contains fluoride at the amounts of .8 - 1.2 mg/L (now .8 - 1.0 mg/L). Mr. Millership indicates that the City of Kamloops' records show that on five occasions in July of 2001, the concentration of fluoride in the public water exceeded or was at, or slightly above, the MAC. He also points out that the public was not notified of this, despite the requirement to do so under the Safe Drinking Water Regulations. He also argues that approximately one percent of the water supply is actually used for cooking and drinking, and that the balance of the fluoridated water is simply released into the environment. He argues that this indicates that even if fluoride were of some benefit, that the public water supply is a poor vehicle for the distribution of this substance. Mr. Millership also argues that if food or beverages are processed with fluoridated water, they themselves contain fluoride, and this may expose people to fluoride in non-fluoridated communities. This is a factor that has been taken into consideration in determining the optimal levels of fluoride in public water. It is a by-product of a by-law which allows the fluoridation of public water, but it is not the purpose of such a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also argues that packaged ice and water by regulation under the Canada Food and Drug Relations Act shall not contain in excess of one part per million of the fluoridine. If this ice were made from public water which had been fluoridated in excess of one part per million, then it would be contrary to the Canada Food and Drug Regulations to sell this ice. This is a matter properly dealt with through enforcement proceedings under the Canada Food and Drug Regulation Act, and not a basis for challenging fluoridation of public water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Millership argues that an average person in Canada consumes 1.5 litres of water per day, and some people may consume more than that. If the water is fluoridated to the level of 1 mg/L this would mean that they would consume in excess of 1 milligram of fluoride per day. The Canada Food and Drug Regulation (d).05, .008(1)(2) provides that a person may not sell a drug containing fluoride if the largest recommended daily dosage shown on the label would result in a daily intake in excess of one milligram, without prescription.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argue that this is a poor analogy and that the purpose of the Canada Food and Drugs Regulation is to prevent somebody from intentionally or unintentionally receiving an acute dose of fluoride. The amount of fluoridated water a person would have to consume to suffer acute fluoride poisoning is so large that it simply would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 child may suffer a lethal dose of fluoride at a level as low as 5 milligrams per kilogram of body weight. A toddler weighing thirteen kilograms would have to ingest sixty-five milligrams of fluoride to reach this dose. To obtain this level of fluoride from drinking water alone, the child would have to drink sixty-five litres of water containing one milligram per litre of fluoride at one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Adults may receive a lethal dose of fluoride with levels as low as thirty-two milligrams of fluoride per kilogram of body weight. This has occurred as a result of an overdose from fluoride tablets or drops or industrial accidents. An adult weighing seventy kilograms would have to drink two thousand, two hundred and forty litres of water containing one milligram of fluoride per litre at a single sitting to obtain the same dose.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Millership argues that fluoride in the form of hydro fluorosilcicic acid is a drug without proper drug identification numbers, therefore, it is illegal to sell it in Canada pursuant to the Food and Drugs Regulations. He also argues that it is produced in unsanitary conditions and is adulterated because it contains impurities such as lead and cadmium.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Hydro fluorosilcicic acid is not a drug as defined by the Canada Food and Drug Act. It is a corrosive poisonous acid. It is not manufactured or packaged as a drug. The only time it is treated as a drug is when it is added to the public water system, and clearly, at that stage, it would be important this be done under clean, sanitary and orderly conditions which prevent its contamination and the addition of extraneous material. With regard to extraneous substances, the water, as it leaves the water plant, is monitored for the existence of substances such as lead, aluminum, arsenic and a number of contaminates that Mr. Millership complains of. The water, as distributed, must comply with the Safe Water Guidelines established by the federal and provincial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Millership argues that public water fluoridation amounts to the administration of a poison and is contrary to s. 245 of the Criminal Code. However, his evidence does not support his claim that the levels of fluoride in the public water are a poison. In addition, there is nobody before the court who is presently administering fluoride through a public water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Millership argues that public water fluoridation amounts to high treason because Her Majesty the Queen has visited Canada and consumed fluoridated water. He refers to s. 46(1) of the Criminal Code and alleges that giving Her Majesty the Queen fluoridated water is something that causes her bodily harm and leads to death or destruction, or maims or wounds her. Again, there is nobody before the court who administers fluoride to the public water system, and Mr. Millership's argument is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Millership refers to s. 51(1) of the Criminal Code and argues that fluoridation of public water is an act done for purposes prejudicial to the safety, security or defense of Canada, or to its armed forces when it is administered on military bases. There is no evidence before me to support the claim that the addition of fluoride to the public water system is done for a purpose prejudicial to the safety, security or defense of Canada, or the armed forces. The section is simply inapplicable.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Section 216 of the Criminal Code requires that a person who administers surgical or medical treatment that may endanger the life of another person, do so with reasonable knowledge, skill and care. The evidence does not support the allegation that public water fluoridation endangers the life of another person, nor does the evidence support the allegation that public water fluoridation creates a common nuisance by being an unlawful act, and endangers the life, safety, health, property or comfort of the public. (Section 180(2) and (2) of the 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Public water fluoridation is not an act under s. 219(1) of the Criminal Code that shows wanton and reckless disregard for the lives and safety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Those sections of the Criminal Code dealing with homicide, bodily injury, genocide, false pretenses or theft, mischief or poisoning animals or fraud, breach of trust, spreading false news, hate propaganda, being accessories to a crime, and disobeying a statute, do not apply to the fluoridation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section of the Criminal Code 476(b), which allows prosecution in one jurisdiction for an offense which may occur across the boundaries of two or more territorial jurisdictions, does not provide jurisdiction to this court to injunct or restrain the public fluoridation of water in other provinces or territories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allegations of breaches of the Health Act or Safe Drinking Water Regulations are addressed, by the risk and benefit assessment, or analysis of public water fluoridation. The risk benefit assessment is also important in consideration of whether the public water fluoridation amounts to an infringement of the Canadian Bill of Rights, the Universal Declaration of Human Rights and the Rio Declaration of Environment and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Canadian Bill of Rights, 1960, protects people's rights to life, liberty and security of the person, enjoyment of property, and the right not to be deprived thereof except by a due process of law. If fluoridation of public water infringed on a right to life, liberty or security of the person or enjoyment of property, it occurs through the due process of law, in this case, the passing of a by-law following the referendum in a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Universal Declaration of Human Rights that Mr. Millership refers to, refers to an individual's right to life, liberty and the security of a person (Article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exercise of his rights and freedoms, everyone shall be subject only to such limitations as are determined by law solely for the purpose of securing due recognition of morality, public order and general welfare in a democratic society."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(Article 29(2)).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Millership refers to a number of other rights under the Universal Declaration of Human Rights, but again, his argument turns on a characterization of public fluoridation as administration of a poison or medication being forced upon somebody. He asserts that it amounts to torture by slowly killing or crippling people. The weight of the scientific evidence does not support these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Rio Declaration of Environment and Development refers to harm to the environment. The evidence does not support Mr. Millership's allegations that public water fluoridation cannot be accomplished without "severe environmental degradation or harm to human health." I find that he has not demonstrated that the legislation which allows public water fluoridation is an infringement of any of the obligations of Canada under the Rio Declaration of Environment and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Millership refers to the Canadian Environmental Protection Act, 1999, arguing that fluorides are toxic substances that may have an immediate or long-term effect on the environment, may constitute a danger to the environment on which human life depends, and may constitute a danger in Canada to human life or health. He points out that the Canadian Environmental Protection Act, 1999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1.1 The government of Canada shall consider the following before taking any measure under para. (1)(a.)1 (This refers to preventative and remedial measures to protect, enhance and restore the environment)</w:t>
      </w:r>
    </w:p>
    <w:p>
      <w:pPr>
        <w:numPr>
          <w:numId w:val="2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short and long-term human and ecological benefits arising from the environmental protection measure.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points out that the Act incorporates the "precautionary principle" in the preamble where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the government of Canada is committed to implementing the precautionary principle that where there are threats of serious or irreversible damage, lack of full scientific certainty shall not be used as a reason for postponing cost-effective measures to prevent environmental degradation;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argues that he has asked the federal government, including the Minister of the Environment, to stop public water fluoridation, or to bring an action to protect the environment, and that it failed to do so. Therefore, he argues that he is entitled to bring an action under the Environmental Protection Act. He argues that under that Act, he is entitled to a declaratory order and an interlocutory order, and injunctions to prevent public water fluoridation in British Columbia and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points out that the ministry requires a solemn affirmation or declaration, or sworn evidence, that sets out the nature of the alleged offence, names of the offenders, and is submitted with, or appends, a concise statement of evidence supporting an allegation before they would commence a prosecution of the Canadian Environmental Protection Act at the request of an individual. They argue Mr. Millership's evidence does not show that he has asked for an investigation, or that the ministry has failed to conduct an investigation or that the ministry's response has been unreasonable and, therefore, Mr. Millership is not entitled to bring an action on his own. In any event, there is no evidence before me sufficient to support such an action, if that is what Mr. Millership says this proceeding is. I also note that s. 22 of the Act authorizes an action against a person who committed an offence under the Act. Mr. Millership has not identified who he says that person is, or what the offence is, other than some general allegations against all the individuals working for the federal and provincial government who have had anything to do with programs of public water fluoridation.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Millership argues that the discharge of fluoridated water through the public sewer system results in the release of a dilatory substance, being fluoride, into waters frequented by fish. He says that this is a breach of the Canada Fisheries Act. He indicates that, based on information received from the City of Kamloops, of waste water testing effluent between 1996 and 2001 that during a two-week period of March 22 to April 6, 1999, the level of fluoride in the waste water was 1.6 milligrams per litre. This is greatly in excess of .2 milligrams per litre - .3 milligrams per litre, which may be considered a point at which fresh water animals are affected. Mr. Millership refers to a document prepared for the British Columbia Ministry of Environment in February 1990 by P.D. Warrington, PhD, of the resource quality section of the waste management branch. This document is entitled "The Ambient Water Quality Criteria for Fluoride". The recommended criteria, at page 6, refers to aquatic life. 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fresh water the total fluoride should not exceed 0.2 mg/L when water hardness is less than 50 mg/L as CaCo3, or 0.3 mg/L when water hardness is equal to or greater than 50 mg/L as CaCo3. This is a tentative, worse case criteria. Higher levels may be tolerated under some combinations of water hardness and temperature, but further carefully controlled research is necessary to determine what these levels should be. The fluoride should not exceed 1.5 mg/L in marine or estuarine waters used by aquatic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parties to such an offence, if it is occurring, are not before the court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prosecution of an offence under the Fisheries Act is similar to a criminal prosecution, and is not properly before this court at this time. The fluoridation of public water does not necessarily mean that its effluent will contain excessive amounts of fluoride, although it may require treatment in order to prevent it from doing so. Breaches of the Fisheries Act are enforced by Environment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Public Water Fluoridation in Canada is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Millership argues that s. 523(3) of the Local Government Act is ultra vires the province. In other words, it is beyond the jurisdiction of the provincial government pursuant to the Constitution Act, 1987. Clearly it is within the authority of the provincial government to pass this legislation as it deals with municipal institutions, property and civil rights, local works and undertakings, and generally all matters of a merely local or private nature in the province (s. 92 of the Constitution Act of Canada, 1867).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agree with the province's submission that there is no valid federal statute in operational conflict with s. 523 of the Local Government Act. There is no evidence that fluoridation of public water cannot be done consistently with any of the federal statutes Mr. Millership has referred to. The provincial legislation is presumed to be constitutional and the burden is on Mr. Millership to prove otherwise (Hogg, Constitutional Law, loose leaf edition (Toronto: Carswell 1992) at 15.5(h)). The pith and substance of s. 523 is clearly a matter that deals with local works and undertakings, that is, the public water system being administered by the local government in question. The fact that the fluoridation of a local water system may result in the fluoride being contained in food substances or beverages prepared with that local water, which substances may be ingested elsewhere, including outside the province does not invalidate s. 523. This is simply an incidental extra provincial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Ladore v. Bennett, </w:t>
      </w:r>
      <w:hyperlink r:id="rId623" w:history="1">
        <w:r>
          <w:rPr>
            <w:rFonts w:ascii="arial" w:eastAsia="arial" w:hAnsi="arial" w:cs="arial"/>
            <w:i/>
            <w:color w:val="0077CC"/>
            <w:sz w:val="20"/>
            <w:u w:val="single"/>
            <w:shd w:val="clear" w:color="auto" w:fill="FFFFFF"/>
            <w:lang w:val="en-US" w:eastAsia="en-US" w:bidi="ar-SA"/>
          </w:rPr>
          <w:t>[1939] 3 D.L.R.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Upper Churchill Water Rights, </w:t>
            </w:r>
            <w:hyperlink r:id="rId624" w:history="1">
              <w:r>
                <w:rPr>
                  <w:rFonts w:ascii="arial" w:eastAsia="arial" w:hAnsi="arial" w:cs="arial"/>
                  <w:i/>
                  <w:color w:val="0077CC"/>
                  <w:sz w:val="18"/>
                  <w:u w:val="single"/>
                  <w:shd w:val="clear" w:color="auto" w:fill="FFFFFF"/>
                  <w:lang w:val="en-US" w:eastAsia="en-US" w:bidi="ar-SA"/>
                </w:rPr>
                <w:t>[1984] 1 S.C.R. 297</w:t>
              </w:r>
            </w:hyperlink>
            <w:r>
              <w:rPr>
                <w:rFonts w:ascii="arial" w:eastAsia="arial" w:hAnsi="arial" w:cs="arial"/>
                <w:color w:val="000000"/>
                <w:sz w:val="18"/>
                <w:lang w:val="en-US" w:eastAsia="en-US" w:bidi="ar-SA"/>
              </w:rPr>
              <w:t xml:space="preserve"> at 332;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Global Securities Corporation v. British Columbia (Securities Commission), </w:t>
      </w:r>
      <w:hyperlink r:id="rId625" w:history="1">
        <w:r>
          <w:rPr>
            <w:rFonts w:ascii="arial" w:eastAsia="arial" w:hAnsi="arial" w:cs="arial"/>
            <w:i/>
            <w:color w:val="0077CC"/>
            <w:sz w:val="20"/>
            <w:u w:val="single"/>
            <w:shd w:val="clear" w:color="auto" w:fill="FFFFFF"/>
            <w:lang w:val="en-US" w:eastAsia="en-US" w:bidi="ar-SA"/>
          </w:rPr>
          <w:t>[2000] 1 S.C.R. 494</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Charter of Rights and Freedoms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Millership argues that public water fluoridation breaches his rights under s. 6 (mobility), s. 7 (life, liberty and security of a person) and s. 15 (equality) of the Constitution Act, 1982 Charter of Rights and Freedoms. He originally also argued that it infringed on his religious beliefs protected under s. 15(1) of the Canadian Charter of Rights and Freedoms, but he has abandoned that argument. He also raised the argument that it may be an infringement of Aboriginal Rights under s. 35(1) of the Constitution Act of Canada 1982, but I have concluded that Mr. Millership has no standing to raise that argument. Mr. Millership is not an aboriginal person, nor does he have any authority to represent anyone other than himself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burden is on Mr. Millership to establish a prima facie breach of the rights which he complains of on the balance of probabilities. If he succeeds in doing so, then in this case, the province seeks to uphold s. 523 of the Local Government Act and bears the burden of establishing that the legislation is a reasonable limit on the rights infringed, under s. 1 of the Charter, on the balance of probabilities. R. v. Oakes </w:t>
      </w:r>
      <w:hyperlink r:id="rId626" w:history="1">
        <w:r>
          <w:rPr>
            <w:rFonts w:ascii="arial" w:eastAsia="arial" w:hAnsi="arial" w:cs="arial"/>
            <w:i/>
            <w:color w:val="0077CC"/>
            <w:sz w:val="20"/>
            <w:u w:val="single"/>
            <w:shd w:val="clear" w:color="auto" w:fill="FFFFFF"/>
            <w:lang w:val="en-US" w:eastAsia="en-US" w:bidi="ar-SA"/>
          </w:rPr>
          <w:t>(1986), 26 D.L.R. (4th) 200</w:t>
        </w:r>
      </w:hyperlink>
      <w:r>
        <w:rPr>
          <w:rFonts w:ascii="arial" w:eastAsia="arial" w:hAnsi="arial" w:cs="arial"/>
          <w:color w:val="000000"/>
          <w:sz w:val="20"/>
          <w:lang w:val="en-US" w:eastAsia="en-US" w:bidi="ar-SA"/>
        </w:rPr>
        <w:t xml:space="preserve"> (S.C.C.) at p. 225-6. The province says, however, that in a situation where the law mediates between the claims of competing groups, involves the assessment of conflicting scientific evidence, is the subject of claims on scarce resources, or is aimed at protecting the vulnerable, then the relevant question is whether, on the evidence before the court, the government had a reasonable basis for acting.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Irwin Toy Ltd. v. Quebec (Attorney General) </w:t>
      </w:r>
      <w:hyperlink r:id="rId627" w:history="1">
        <w:r>
          <w:rPr>
            <w:rFonts w:ascii="arial" w:eastAsia="arial" w:hAnsi="arial" w:cs="arial"/>
            <w:i/>
            <w:color w:val="0077CC"/>
            <w:sz w:val="20"/>
            <w:u w:val="single"/>
            <w:shd w:val="clear" w:color="auto" w:fill="FFFFFF"/>
            <w:lang w:val="en-US" w:eastAsia="en-US" w:bidi="ar-SA"/>
          </w:rPr>
          <w:t>(1989), 58 D.L.R. (4th) 577</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Edwards Books and Art Ltd. v. The Queen </w:t>
      </w:r>
      <w:hyperlink r:id="rId628" w:history="1">
        <w:r>
          <w:rPr>
            <w:rFonts w:ascii="arial" w:eastAsia="arial" w:hAnsi="arial" w:cs="arial"/>
            <w:i/>
            <w:color w:val="0077CC"/>
            <w:sz w:val="20"/>
            <w:u w:val="single"/>
            <w:shd w:val="clear" w:color="auto" w:fill="FFFFFF"/>
            <w:lang w:val="en-US" w:eastAsia="en-US" w:bidi="ar-SA"/>
          </w:rPr>
          <w:t>(1986), 35 D.L.R. (4th) 1</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 v. Downey </w:t>
      </w:r>
      <w:r>
        <w:rPr>
          <w:rFonts w:ascii="arial" w:eastAsia="arial" w:hAnsi="arial" w:cs="arial"/>
          <w:i/>
          <w:color w:val="000000"/>
          <w:sz w:val="20"/>
          <w:lang w:val="en-US" w:eastAsia="en-US" w:bidi="ar-SA"/>
        </w:rPr>
        <w:t>(1992), 90 D.L.R. (4th) 449</w:t>
      </w:r>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Millership must prove, on the balance of probabilities, the existence of the alleged risks of health effects of chronic exposure to low levels of fluoride, if they are to form the basis of a Charter claim. They also argue that in order to establish a breach of his rights, Mr. Millership must prove, on the balance of probabilities, that fluoridation does not have the benefits claimed. If it is determined that one of Mr. Millership's Charter rights have been infringed, then under s. 1 of the Charter, the burden would be on the province to demonstrate on the balance of probabilities that the benefits exist, or alternatively, to demonstrate that they had a reasonable basis for acting, because this is one of those cases where the legislation mediates between the claims of competing grounds or assesses conflicting scientific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province argues that the "precautionary principle" in the preamble to the Canadian Environmental Protection Act does not change this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province points out that this "precautionary principle" has been applied outside the Canadian Environmental Protection Act by the Supreme Court of Canada in the decision 114957 Canada Ltée (Spraytech, Societe D'Arrosage) v. Hudson (Town), </w:t>
      </w:r>
      <w:hyperlink r:id="rId629" w:history="1">
        <w:r>
          <w:rPr>
            <w:rFonts w:ascii="arial" w:eastAsia="arial" w:hAnsi="arial" w:cs="arial"/>
            <w:i/>
            <w:color w:val="0077CC"/>
            <w:sz w:val="20"/>
            <w:u w:val="single"/>
            <w:shd w:val="clear" w:color="auto" w:fill="FFFFFF"/>
            <w:lang w:val="en-US" w:eastAsia="en-US" w:bidi="ar-SA"/>
          </w:rPr>
          <w:t>[2001] 2 S.C.R. 241</w:t>
        </w:r>
      </w:hyperlink>
      <w:r>
        <w:rPr>
          <w:rFonts w:ascii="arial" w:eastAsia="arial" w:hAnsi="arial" w:cs="arial"/>
          <w:color w:val="000000"/>
          <w:sz w:val="20"/>
          <w:lang w:val="en-US" w:eastAsia="en-US" w:bidi="ar-SA"/>
        </w:rPr>
        <w:t>. In the Hudson case, the municipality was allowed to ban the cosmetic use of pesticides without the necessity of proving beyond any reasonable doubt that the substance was unsafe. The municipality did not have to prove that the banning of the substance would have health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this case, there is a great deal of evidence from all of the parties dealing with the risks and benefits of publicly fluoridated water. There is a dispute between the parties whether fluoridation of public water has any benefits or clinically insignificant benefits, and whether it poses risks including skeletal fluorosis, osteoporosis, hip fractures and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Clearly, this is a case where expert evidence is necessary, and in evaluating that evidence, I have to consider the qualifications of the expert presenting it, and also consider whether they are impartial. An expert opinion that "wears the cloak of an advocate" should be given little weight if it is admissible. (Cogar Estate v. Central Mountain Air Services Ltd. </w:t>
      </w:r>
      <w:hyperlink r:id="rId630" w:history="1">
        <w:r>
          <w:rPr>
            <w:rFonts w:ascii="arial" w:eastAsia="arial" w:hAnsi="arial" w:cs="arial"/>
            <w:i/>
            <w:color w:val="0077CC"/>
            <w:sz w:val="20"/>
            <w:u w:val="single"/>
            <w:shd w:val="clear" w:color="auto" w:fill="FFFFFF"/>
            <w:lang w:val="en-US" w:eastAsia="en-US" w:bidi="ar-SA"/>
          </w:rPr>
          <w:t>(1992), 72 B.C.L.R. (2d) 292</w:t>
        </w:r>
      </w:hyperlink>
      <w:r>
        <w:rPr>
          <w:rFonts w:ascii="arial" w:eastAsia="arial" w:hAnsi="arial" w:cs="arial"/>
          <w:color w:val="000000"/>
          <w:sz w:val="20"/>
          <w:lang w:val="en-US" w:eastAsia="en-US" w:bidi="ar-SA"/>
        </w:rPr>
        <w:t xml:space="preserve"> (C.A.) at p. 308). In weighing conflicting scientific evidence, the province argues that publication and peer review are an important component of good science because it increases the likelihood that substantive flaws in methodology will be detected, and that general acceptance in the relevant scientific community is also important. It is possible for the majority of the scientific or professional community to be wrong, but the province argues it is unlikely the court will be in a better position than the mainstream researchers and practitioners in determining the validity or accuracy of the conclusions. (Daubert v. Merrell Dow Pharmasuticals, 509 U.S. 579 (1993), Approved R. v. J-LJ, </w:t>
      </w:r>
      <w:hyperlink r:id="rId631" w:history="1">
        <w:r>
          <w:rPr>
            <w:rFonts w:ascii="arial" w:eastAsia="arial" w:hAnsi="arial" w:cs="arial"/>
            <w:i/>
            <w:color w:val="0077CC"/>
            <w:sz w:val="20"/>
            <w:u w:val="single"/>
            <w:shd w:val="clear" w:color="auto" w:fill="FFFFFF"/>
            <w:lang w:val="en-US" w:eastAsia="en-US" w:bidi="ar-SA"/>
          </w:rPr>
          <w:t>[2000] 2 S.C.R. 600</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province refers to a number of cases in which courts have concluded that fluoridation is effective at reducing dental care and has no proven adverse health effects other than mild dental fluorosis. It is important to keep in mind that those are determinations of fact, not of law, and depend on the evidence which was presented to the court. The body of scientific evidence changes over time as more research is done, and as that research continues to be analyzed. The cases referred to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Locke v. Calgary (City), </w:t>
      </w:r>
      <w:hyperlink r:id="rId632" w:history="1">
        <w:r>
          <w:rPr>
            <w:rFonts w:ascii="arial" w:eastAsia="arial" w:hAnsi="arial" w:cs="arial"/>
            <w:i/>
            <w:color w:val="0077CC"/>
            <w:sz w:val="20"/>
            <w:u w:val="single"/>
            <w:shd w:val="clear" w:color="auto" w:fill="FFFFFF"/>
            <w:lang w:val="en-US" w:eastAsia="en-US" w:bidi="ar-SA"/>
          </w:rPr>
          <w:t>[1993] A.J. No. 926</w:t>
        </w:r>
      </w:hyperlink>
      <w:r>
        <w:rPr>
          <w:rFonts w:ascii="arial" w:eastAsia="arial" w:hAnsi="arial" w:cs="arial"/>
          <w:color w:val="000000"/>
          <w:sz w:val="20"/>
          <w:lang w:val="en-US" w:eastAsia="en-US" w:bidi="ar-SA"/>
        </w:rPr>
        <w:t xml:space="preserve">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DeAryan v. Butler, 260P (2d) 98, 1953) C.E.R.T. Denied. 347 U.S. 1012 (1954);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Paduano v. City of New York, 257 N.Y.S. (2d) at 542 (1965) C.E.R.T. Denied. 385 U.S. 1026 (1967);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Safe Water Foundation of Texas v. City of Houston, 661 S.W. 2D 190 (TEX APP 1 DIST. 1983) Appeal dismissed.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105 S.C.T. 55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Minnesota State Board of Health v. City of Brainerd, 241 N.W. 2D 624 (1976), Appeal dismissed 429 U.S. 803 (1976);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M'Coll v. Strathclyde Regional Council, reports - (1983) Scots Law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is interesting to note that in the M'Coll case, the court heard 201 days of evidence, and the plaintiff's scientific advisor was Dr. Yaimouyannis, one the people that Mr. Millership's experts refer to. I also note that the court concluded, based on the evidence it received in 1983, that fluoridating the water levels of 1 mg/L was not mutagenic, and the evidence did not demonstrate that it was likely to cause cancer. It did not have a harmful effect on human leucocytes, and did not cause kidney damage to renal dialysis patients. The court also found that fluoridation would likely considerably reduce the incident of dental caries and produce very small increases in dental fluorosis. The court also found that the present low levels of fluoride in the water did not cause caries.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province is correct when it argues that the mainstream or orthodox view of the dental and medical professions, and among scientific researchers, is that fluoridation is a safe and effective practice for reducing dental caries. The evidence relied upon by Mr. Millership does not agree with this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Dental Fluorosis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Dental fluorosis has increased in fluoridated and non-fluoridated communities. In North America, the rate is approximately twenty to seventy-five percent in fluoridated communities and twelve to forty-five percent in non-fluoridated communities. These are very mild incidents and approximately half the fluorosis in contemporary child populations living in fluoridated communities can be attributed to fluoride from discretionary sources other than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Millership has presented evidence from a number of experts in support of his position. One of these is Dr. Richard G. Foulkes, a medical doctor and a private consultant in health services in Abbotsford, British Columbia. He has published a number of articles on various aspects of health care delivery systems, and in 1973, in a report entitled Health Security for British Columbians he recommended that fluoridation of drinking water be mandatory. Since that time, he has reversed his position. He is on the editorial board of "Fluoride", the official journal of the International Society for Fluoride Research and a founding member of the Fluoride Action Network. In his affidavit filed in these proceedings, he states that he has concluded that the fluoridation of public water supplies can no longer be held to be either safe with regard to public health or effective in the reduction of dental caries.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Foulkes was cross-examined by the province's counsel, and in his cross-examination, he confirms that he has not personally conducted original research in scientific areas dealing with the risks and benefits of fluoridation or general areas of risk of assessment and toxicology. The province points out that in his affidavit, Dr. Foulkes, at paragraph 31, stated "It is my best judgment reached with a high degree of scientific certainty, that fluoridation is invalid in theory and ineffective in practice as a preventative of dental caries. It is dangerous to the health of consumers." He admitted in his cross-examination that the theoretical basis for the effectiveness of fluoridation of drinking water, that is elevated levels of fluoride in saliva providing topical application to teeth, would be supported by studies showing a statistically significant inverse relationship between water fluoridation and the incidents of dental caries. He also indicated that he could not really say with a high degree of scientific certainty that fluoridation is dangerous to the health of consumers. I do not doubt Dr. Foulkes sincerity in his opinions, but I agree with defense counsel that he is certainly an anti-fluoridation activist, and that affects the weights that can be given to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Millership has attached as part of his affidavit number 4, at page 69, a letter from Dr. Hardy Limeback, an associate professor and head of preventive dentistry at the Faculty of Dentistry at the University of Toronto. His letter repeats some of the concerns that are addressed in other reports and is not helpful in itself, except for the purposes of identifying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Millership has filed as Exhibit "1" to his second affidavit, an affidavit by Dr. Paul Connett, a professor of chemistry at St. Lawrence University, Canton, New York State. He is a full professor and teaches general chemistry and environmental chemistry and toxicology. During the last six years, his interest in the fluoride issue has led him to review literature in the area, but he has done no research himself, nor has he published in the area. His affidavit does review a large amount of the research, including research that was covered by the York Review and the Federal Provincial Territorial Subcommittee. He is also a founding member of the Fluoride Action Network, and an advocate, as well as presenting himself as an expert. His affidavit really presents his argument against public water fluoridation based on political as well as scientific concerns. In fact, at paragraph 75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I would argue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Millership referred to the affidavit of Dr. Phyllis Mullenix in exhibit "2" of his fourth affidavit. Dr. Mullenix is a PhD in pharmacology with special training in toxicology. She has an extensive background in research involving neurotoxicity and has done research on the neurotoxic potential of materials used by dentists, including fluoride. She set up the first toxicology department in a dental research institution in the world in 1983. She has done studies with rats to test the effect of fluoride in the brain tissue. Her affidavit does not indicate the levels of fluoride that caused the changes in behaviour that she noted, and by itself is not helpful. I do note that the concerns she has raised with regard to the neurotoxic effect of fluoride have been subject to scientific research that has been reviewed both in the York Study, and by the Federal Provincial Territorial Subcommittee. The Mullenix study did not conclude that neurotoxicity occurs at levels associated with water fluoridation. In the Mullenix study with rats, the levels of fluoride in drinking water ranged from seventy-five to one hundred and twenty-five parts per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Millership referred to a letter from a Dr. J. William Hirzy, the senior vice-president of the National Treasury Employees Union in Washington, D.C. He made representations on behalf of the professional employees at the headquarters of the Environmental Protection Agency in Washington, D.C. to the Subcommittee Wildlife Fisheries and Drinking Water in the United States Senate on June 29, 2000. He was not speaking on behalf of the Environmental Protection Agency. There appears to be a conflict between the union and the administration about the interpretation of research dealing with the cancer causing effects of fluoride. In Dr. Herzy's submission to the Subcommittee, he reviews some of the research which has been reviewed in other studies. The position of the union is to oppose public fluoridation of water as a result of the risks that he refers to. These risks have been referred to in the other studies, and considered by the Federal Provincial Territorial Subcommittee.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its argument, Canada indicates that public water fluoridation has been recommended by the Federal Provincial Territorial Subcommittee and by nearly one hundred other public health bodies, including Health Canada, the Canadian Dental Association, the Canadian Medical Association, U.S. Food and Drug Association, the World Health Organization Expert Committee on Oral Health Status, the U.S. Centre for Disease Control, the American Dental Association, the American Medical Association, the American Dietetic Association, the U.S. Surgeon General, the National Toxicology Program of the United States, the United States Public Health Service and the U.S. National Institute of Dental and Cranial Facial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Counsel for Canada reviewed the scientific research at length in his submissions. He also reviewed the arguments and evidence presented by Mr. Millership. It is clear that a very extensive review of the scientific research on fluoride has occurred at the Federal Provincial Territorial Subcommittee level. It is clear that there has been a great deal of research with regard to the benefits and risks of fluoride, although as pointed out in the York Review, it has not all been of good quality. It is also clear that people's total exposure to fluoride, both in fluoridated and non-fluoridated communities, has increased since the 1940's. This is as a result of increased public water fluoridation, ingestion of fluoride through food and beverages produced in fluoridated areas, and the exposure to fluoride from dental products such as supplements, toothpaste and mouth rinses.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Federal Provincial Territorial Subcommittee on Drinking Water reviewed an extensive body of scientific evidence in determining its recommendations for safe drinking water guidelines, and the maximum allowable concentrations of fluoride in drinking water. The present maximum allowable concentration is 1.5 milligrams per litre, and the recommended optimal range for fluoride in drinking water is .8 - 1.0 mg L or parts per million. The guidelines recognize that fluoride can be acutely and chronically toxic in sufficient concentrations, and that is the basis for its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province and Canada refer to a document described as the York Review, which is entitled "A Systematic Review of Public Water Fluoridation", prepared by researchers at the N.H.S. Centre for Reviews and Disseminations, University of York, the Dental Public Health Unit, The Dental School, University of Wales, Cardiff and the University of Leicester, Department of Epideology and Public Health. It is a meta study in which the researchers involved establish guidelines for the consideration of research, in this case on the issue of public water fluoridation, and then review that research to try and determine what conclusions can be drawn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assessing the risks, the York Review accepted lower quality studies for review. This reflects a cautionary approach. With regard to risks, the report makes the following comments regarding risks:</w:t>
      </w:r>
      <w:r>
        <w:rPr>
          <w:rFonts w:ascii="arial" w:eastAsia="arial" w:hAnsi="arial" w:cs="arial"/>
          <w:sz w:val="20"/>
          <w:lang w:val="en-US" w:eastAsia="en-US" w:bidi="ar-SA"/>
        </w:rPr>
        <w:cr/>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Dental Fluorosis. This is affected by the dose. The rates of dental fluorosis, at one part per million, appeared to be forty-eight percent. At fluorosis of aesthetic concern it was predicted to be 12.5 percent. The rates differ with the level of fluoride.</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Bone Fractures. There is no clear evidence of increased hip fractures or other fractures associated with fluoridation of public water.</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Cancer. There is no clear association between water fluoridation and overall cancer incidents and mortality. This includes osteosarcoma and bone joint cancer, and thyroid cancer.</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effects. Insufficient evidence to establish any relationship between water fluoridation and other health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executive summary also indicates that there is no apparent difference between naturally occurring fluorides and artificial fluorides, although the evidence is insufficient to reach a firm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report did comment that there is little quality research on the issue of public water fluoridation. The research committee were surprised by this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of a benefit of a reduction in caries should be considered together with the increased prevalence of dental fluorosis. The research evidence is of insufficient quality to allow confident statements about other potential harms or whether there is an impact on social inequalities. This evidence on benefits and harms needs to be considered along with the ethical, environmental, ecological, cost and legal issues that surround any decisions about water fluoridation. All of these issues fell outside the scope of this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commenting on the review itself, Professor Trevor A. Sheldon, the Chair of the Advisory Group stated:</w:t>
      </w:r>
      <w:r>
        <w:rPr>
          <w:rFonts w:ascii="arial" w:eastAsia="arial" w:hAnsi="arial" w:cs="arial"/>
          <w:sz w:val="20"/>
          <w:lang w:val="en-US" w:eastAsia="en-US" w:bidi="ar-SA"/>
        </w:rPr>
        <w:cr/>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benefits of fluoride of fifteen percent reduction in caries is far from massive, and the quality of the studies is moderate;</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fluoride has a significant association with dental fluorosis and it is not just cosmetic;</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review did not show that water fluoride was safe. The quality of the research is too poor to establish whether or not there are potentially important adverse affects;</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little evidence to show that it reduces social inequalities;</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conclusion was reached on the cost effectiveness or if there are different affects between natural or artificial fluoride;</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Probably because of the rigor with which the review was conducted the findings are more conservative and less conclusive than in most previous reviews; and</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dearth of reliable evidence with which to inform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concluded that until high quality research has been done there will continue to be legitimate debate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An executive summary of the York Review concluded:</w:t>
      </w:r>
      <w:r>
        <w:rPr>
          <w:rFonts w:ascii="arial" w:eastAsia="arial" w:hAnsi="arial" w:cs="arial"/>
          <w:sz w:val="20"/>
          <w:lang w:val="en-US" w:eastAsia="en-US" w:bidi="ar-SA"/>
        </w:rPr>
        <w:cr/>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Effectiveness. The best available evidence indicates that public water fluoridation does reduce caries prevalence but the degree is unclear.</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Fluoridated water is still beneficial despite exposure to fluoride from other sources.</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some evidence, but of poor quality, that public water fluoridation does reduce social inequalities in dental health. These studies have to be interpreted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Millership also referred to a report by Dr. David Locker entitled "Benefits and Risks of Water Fluoridation - An Update of the 1996 Federal Provincial Subcommittee Report." This report is dated November 15, 1999, and was prepared for the Public Health Branch, Ontario Ministry of Health, First Nations and Inuit Health Branch, Health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Effectiveness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Locker report concludes that on the balance of the evidence, rates of dental decay are lower in fluoridated than in non-fluoridated communities. The difference is not large in absolute terms, often is not statistically significant, and may not be clinically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Fluoride appears to provide protection for teeth after they have been formed, and has a role in inhibiting demineralization and promoting remineralization of teeth.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Osteoporosis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Research results are inconsistent on the issue of whether fluoride results in a reduction of osteoporotic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Acute Toxicity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Fluoride is a poison in large doses, but toxic levels cannot be achieved by drinking fluoridated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Bone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Skeletal fluorosis is a crippling disease associated with chronic exposures of fluoride, equal or in excess of ten milligrams per day for at least ten years. Studies of bone mineral densities have not detected changes consistent with a clinical picture of skeletal fluorosis from water containing levels of fluoride optimal from the levels of dental decay.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Bone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research is inconsistent, or studies with better research are needed, before a conclusion can be reached. They reviewed eleven studies prior to 1994, two of which showed a reduction in bone fractures, five showed no association and four showed an increase in hip fractures as a result of fluoridation of public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Few studies have been published, but he concludes there is no reason to believe that exposure to fluoridated water increases the risk of cancer in bones or other body 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Child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looked at studies from China that claimed children exposed to high levels of fluoride have lower I.Q.s than children exposed to lower levels, but concluded that these studies were deeply flawed and provided no credible evidence that fluoride obtained from water, or industrial pollution, affected the intellectual development of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Recommended and Actual Intake of Fluoride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optimal intakes based on Dose Response published in the 1940's was .8 to 1.2 parts per million, assuming no other source of fluoride except food. In Canada, actual intakes are larger than recommended intakes, for formula fed infants than those living in fluoridated communities. He recommended efforts be taken to reduce intakes among the most vulnerable age group, which are children aged seven months to four years. These children that consume the maximum dose are at risk of moderate levels of dental fluorosis and consume amounts only twenty percent less than that at which skeletal fluorosis is possible if maintained over long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Optimal Levels in the Water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includes that the original optimal level of one part per million was largely arbitrary, and that the re-examination of early dose response status suggests a level as low as .6 parts per million would achieve approximately the same reduction in the prevalence of dental decay. He indicates the lack of contemporary data on dose response relationships between fluoride concentration in the water supply and dental caries and dental fluorosis, but suggests that new and more flexible guidelines are needed. Levels as low as .5 parts per million may be optimal in some communities. He concludes that dental fluorosis may be viewed as a health problem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Maximum Allowable Concentration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notes that the MAC for Canadian drinking water is 1.5 milligrams per litre and was established in 1978. In 1996, the Federal Provincial Sub-committee recommended this level be maintained. He suggests that in fluoridated communities, efforts should be made to reduce exposure of children to other sources of fluoride.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Regarding skeletal fluorosis, there have been two cases in the last fifteen years in Canada, and five in the last fifty years in the United States. Skeletal fluorosis does affect significant portions of the population in parts of the world with high concentrations of naturally occurring fluoride in the drinking water, that is, between three to twenty milligrams per litre. This is also associated with dietary deficiencies in protein and minerals.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Charter of Rights and Freedoms - Section 6 -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Millership says that his rights under s. 6 of the Charter of Rights and Freedoms have been violated. Section 6 provides:</w:t>
      </w:r>
      <w:r>
        <w:rPr>
          <w:rFonts w:ascii="arial" w:eastAsia="arial" w:hAnsi="arial" w:cs="arial"/>
          <w:sz w:val="20"/>
          <w:lang w:val="en-US" w:eastAsia="en-US" w:bidi="ar-SA"/>
        </w:rPr>
        <w:cr/>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citizen of Canada and every person who has the status of a permanent resident of Canada has the right</w:t>
      </w:r>
    </w:p>
    <w:p>
      <w:pPr>
        <w:numPr>
          <w:numId w:val="2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move to and take up residence in any province and</w:t>
      </w:r>
    </w:p>
    <w:p>
      <w:pPr>
        <w:numPr>
          <w:numId w:val="2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pursue the gaining of a livelihood in any province</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specified in subsection (2) are subject to</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laws or practices of general application enforced in a province other than those that discriminate among persons on the basis of present or previous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Mr. Millership argues that he is unable to move to municipalities in British Columbia or other parts of Canada where the water is fluoridated. The province responds by stating the s. 6 does not protect intra-provincial mobility and that s. 6 is only infringed by laws that have the purpose or effect of discriminating on the basis of residence. The province cites Canadian Egg Marketing Agency v. Richardson </w:t>
      </w:r>
      <w:hyperlink r:id="rId633" w:history="1">
        <w:r>
          <w:rPr>
            <w:rFonts w:ascii="arial" w:eastAsia="arial" w:hAnsi="arial" w:cs="arial"/>
            <w:i/>
            <w:color w:val="0077CC"/>
            <w:sz w:val="20"/>
            <w:u w:val="single"/>
            <w:shd w:val="clear" w:color="auto" w:fill="FFFFFF"/>
            <w:lang w:val="en-US" w:eastAsia="en-US" w:bidi="ar-SA"/>
          </w:rPr>
          <w:t>(1998), 166 D.L.R. (4th) 1</w:t>
        </w:r>
      </w:hyperlink>
      <w:r>
        <w:rPr>
          <w:rFonts w:ascii="arial" w:eastAsia="arial" w:hAnsi="arial" w:cs="arial"/>
          <w:color w:val="000000"/>
          <w:sz w:val="20"/>
          <w:lang w:val="en-US" w:eastAsia="en-US" w:bidi="ar-SA"/>
        </w:rPr>
        <w:t xml:space="preserve"> (S.C.C.) at para. 61 and 67; Siemens v. Manitoba (Attorney General), </w:t>
      </w:r>
      <w:hyperlink r:id="rId634" w:history="1">
        <w:r>
          <w:rPr>
            <w:rFonts w:ascii="arial" w:eastAsia="arial" w:hAnsi="arial" w:cs="arial"/>
            <w:i/>
            <w:color w:val="0077CC"/>
            <w:sz w:val="20"/>
            <w:u w:val="single"/>
            <w:shd w:val="clear" w:color="auto" w:fill="FFFFFF"/>
            <w:lang w:val="en-US" w:eastAsia="en-US" w:bidi="ar-SA"/>
          </w:rPr>
          <w:t>[2001] 2 W.W.R. 491</w:t>
        </w:r>
      </w:hyperlink>
      <w:r>
        <w:rPr>
          <w:rFonts w:ascii="arial" w:eastAsia="arial" w:hAnsi="arial" w:cs="arial"/>
          <w:color w:val="000000"/>
          <w:sz w:val="20"/>
          <w:lang w:val="en-US" w:eastAsia="en-US" w:bidi="ar-SA"/>
        </w:rPr>
        <w:t xml:space="preserve"> (Q.B.) (Affirmed </w:t>
      </w:r>
      <w:hyperlink r:id="rId635" w:history="1">
        <w:r>
          <w:rPr>
            <w:rFonts w:ascii="arial" w:eastAsia="arial" w:hAnsi="arial" w:cs="arial"/>
            <w:i/>
            <w:color w:val="0077CC"/>
            <w:sz w:val="20"/>
            <w:u w:val="single"/>
            <w:shd w:val="clear" w:color="auto" w:fill="FFFFFF"/>
            <w:lang w:val="en-US" w:eastAsia="en-US" w:bidi="ar-SA"/>
          </w:rPr>
          <w:t>[2001] 2 W.W.R. 515</w:t>
        </w:r>
      </w:hyperlink>
      <w:r>
        <w:rPr>
          <w:rFonts w:ascii="arial" w:eastAsia="arial" w:hAnsi="arial" w:cs="arial"/>
          <w:color w:val="000000"/>
          <w:sz w:val="20"/>
          <w:lang w:val="en-US" w:eastAsia="en-US" w:bidi="ar-SA"/>
        </w:rPr>
        <w:t xml:space="preserve"> (C.A.)). Leave to Appeal granted on another point, </w:t>
      </w:r>
      <w:hyperlink r:id="rId636" w:history="1">
        <w:r>
          <w:rPr>
            <w:rFonts w:ascii="arial" w:eastAsia="arial" w:hAnsi="arial" w:cs="arial"/>
            <w:i/>
            <w:color w:val="0077CC"/>
            <w:sz w:val="20"/>
            <w:u w:val="single"/>
            <w:shd w:val="clear" w:color="auto" w:fill="FFFFFF"/>
            <w:lang w:val="en-US" w:eastAsia="en-US" w:bidi="ar-SA"/>
          </w:rPr>
          <w:t>[2001] S.C.C.A. No. 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Local Government Act s. 523(3) was not passed for the purposes of discriminating against somebody on the basis of residence, nor does it have that effect. Mr. Millership is free to choose whether to live in a fluoridated community or not. The fact that he chooses not to, does not mean that s. 6 has the effect of discriminating against him. I find that he has failed to establish a breach of his rights under s. 6 of the Charter. I also note that s. 523 of the Local Government Act is a law of general application as referred to in s. 6(3) of the Charter of Rights and Freedoms.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7 of the Charter - Life, liberty and security of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Section 7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Everyone has the right to life, liberty and security of the person, and the right not to be deprived thereof except in accordance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determination of whether a person's s. 7 rights have been violated follows a two-part analysis.</w:t>
      </w:r>
      <w:r>
        <w:rPr>
          <w:rFonts w:ascii="arial" w:eastAsia="arial" w:hAnsi="arial" w:cs="arial"/>
          <w:sz w:val="20"/>
          <w:lang w:val="en-US" w:eastAsia="en-US" w:bidi="ar-SA"/>
        </w:rPr>
        <w:cr/>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the petitioner must show on the balance of probabilities that one of the s. 7 interests, that is, life, liberty or security of the person, has been violated.</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petitioner must show that the manner of the infringement of the interest does not accord either subjectively or procedurally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Blencoe v. British Columbia (Human Rights Commission), </w:t>
      </w:r>
      <w:hyperlink r:id="rId637" w:history="1">
        <w:r>
          <w:rPr>
            <w:rFonts w:ascii="arial" w:eastAsia="arial" w:hAnsi="arial" w:cs="arial"/>
            <w:i/>
            <w:color w:val="0077CC"/>
            <w:sz w:val="20"/>
            <w:u w:val="single"/>
            <w:shd w:val="clear" w:color="auto" w:fill="FFFFFF"/>
            <w:lang w:val="en-US" w:eastAsia="en-US" w:bidi="ar-SA"/>
          </w:rPr>
          <w:t>[2000] 2 S.C.R. 307</w:t>
        </w:r>
      </w:hyperlink>
      <w:r>
        <w:rPr>
          <w:rFonts w:ascii="arial" w:eastAsia="arial" w:hAnsi="arial" w:cs="arial"/>
          <w:color w:val="000000"/>
          <w:sz w:val="20"/>
          <w:lang w:val="en-US" w:eastAsia="en-US" w:bidi="ar-SA"/>
        </w:rPr>
        <w:t xml:space="preserve"> at paragraph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principles of fundamental justice are determined by the basic tenets of our legal system. Rodriguez v. British Columbia (Attorney General), </w:t>
      </w:r>
      <w:hyperlink r:id="rId638" w:history="1">
        <w:r>
          <w:rPr>
            <w:rFonts w:ascii="arial" w:eastAsia="arial" w:hAnsi="arial" w:cs="arial"/>
            <w:i/>
            <w:color w:val="0077CC"/>
            <w:sz w:val="20"/>
            <w:u w:val="single"/>
            <w:shd w:val="clear" w:color="auto" w:fill="FFFFFF"/>
            <w:lang w:val="en-US" w:eastAsia="en-US" w:bidi="ar-SA"/>
          </w:rPr>
          <w:t>[1993] 3 S.C.R. 519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principle of fundamental justice must be interpreted in light of those other individual and social interests that are of sufficient importance that they may appropriately be characterized as principles of fundamental justice in a Canadian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 v. White, </w:t>
      </w:r>
      <w:hyperlink r:id="rId639" w:history="1">
        <w:r>
          <w:rPr>
            <w:rFonts w:ascii="arial" w:eastAsia="arial" w:hAnsi="arial" w:cs="arial"/>
            <w:i/>
            <w:color w:val="0077CC"/>
            <w:sz w:val="20"/>
            <w:u w:val="single"/>
            <w:shd w:val="clear" w:color="auto" w:fill="FFFFFF"/>
            <w:lang w:val="en-US" w:eastAsia="en-US" w:bidi="ar-SA"/>
          </w:rPr>
          <w:t>[1999] 2 S.C.R. 417</w:t>
        </w:r>
      </w:hyperlink>
      <w:r>
        <w:rPr>
          <w:rFonts w:ascii="arial" w:eastAsia="arial" w:hAnsi="arial" w:cs="arial"/>
          <w:color w:val="000000"/>
          <w:sz w:val="20"/>
          <w:lang w:val="en-US" w:eastAsia="en-US" w:bidi="ar-SA"/>
        </w:rPr>
        <w:t xml:space="preserve"> at 439.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Charter does not protect against insignificant or trivial limitations of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Jones v. The Queen </w:t>
      </w:r>
      <w:hyperlink r:id="rId640" w:history="1">
        <w:r>
          <w:rPr>
            <w:rFonts w:ascii="arial" w:eastAsia="arial" w:hAnsi="arial" w:cs="arial"/>
            <w:i/>
            <w:color w:val="0077CC"/>
            <w:sz w:val="20"/>
            <w:u w:val="single"/>
            <w:shd w:val="clear" w:color="auto" w:fill="FFFFFF"/>
            <w:lang w:val="en-US" w:eastAsia="en-US" w:bidi="ar-SA"/>
          </w:rPr>
          <w:t>(1986), 31 D.L.R. (4th) 569</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discussed by McLachlin, J., (as she then was), in Cunningham v. Canada </w:t>
      </w:r>
      <w:hyperlink r:id="rId641" w:history="1">
        <w:r>
          <w:rPr>
            <w:rFonts w:ascii="arial" w:eastAsia="arial" w:hAnsi="arial" w:cs="arial"/>
            <w:i/>
            <w:color w:val="0077CC"/>
            <w:sz w:val="20"/>
            <w:u w:val="single"/>
            <w:shd w:val="clear" w:color="auto" w:fill="FFFFFF"/>
            <w:lang w:val="en-US" w:eastAsia="en-US" w:bidi="ar-SA"/>
          </w:rPr>
          <w:t>[1993] 2 S.C.R. 143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province notes that the Supreme Court of Canada has found that liberty interest includes the right to make fundamental personal choices free from state interference (Blencoe) supra, para. 54 and that the Ontario Court of Appeal has held that the right not to be subject to medical treatment without informed consent is an aspect of the "liberty" interest (Fleming v. Reid (Litigation Guardian) </w:t>
      </w:r>
      <w:hyperlink r:id="rId642" w:history="1">
        <w:r>
          <w:rPr>
            <w:rFonts w:ascii="arial" w:eastAsia="arial" w:hAnsi="arial" w:cs="arial"/>
            <w:i/>
            <w:color w:val="0077CC"/>
            <w:sz w:val="20"/>
            <w:u w:val="single"/>
            <w:shd w:val="clear" w:color="auto" w:fill="FFFFFF"/>
            <w:lang w:val="en-US" w:eastAsia="en-US" w:bidi="ar-SA"/>
          </w:rPr>
          <w:t>(1991), 82 D.L.R. (4th) 298</w:t>
        </w:r>
      </w:hyperlink>
      <w:r>
        <w:rPr>
          <w:rFonts w:ascii="arial" w:eastAsia="arial" w:hAnsi="arial" w:cs="arial"/>
          <w:color w:val="000000"/>
          <w:sz w:val="20"/>
          <w:lang w:val="en-US" w:eastAsia="en-US" w:bidi="ar-SA"/>
        </w:rPr>
        <w:t xml:space="preserve"> Ont.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However the province argues that the modifying levels of a naturally occurring substance such as fluoride in a water system, for constitutional purposes, should not be considered medical treatment. The province says that the U.S. courts held that for constitutional purposes, fluoride is better considered a "nutrient" than a "drug" or "medicine". (Minnesota State Board of Health, supra). I do not agree with this approach and find it is more appropriate to deal with the issue on the basis that fluoride is being used as a drug or a medicine, at least for the purposes of promoting health when it is added to the public water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issue of whether a by-law or a statute authorizing the fluoridation of public water violated an individual's s .7 rights has been decided in Canada, in the case Locke v. Calgary (City), </w:t>
      </w:r>
      <w:hyperlink r:id="rId632" w:history="1">
        <w:r>
          <w:rPr>
            <w:rFonts w:ascii="arial" w:eastAsia="arial" w:hAnsi="arial" w:cs="arial"/>
            <w:i/>
            <w:color w:val="0077CC"/>
            <w:sz w:val="20"/>
            <w:u w:val="single"/>
            <w:shd w:val="clear" w:color="auto" w:fill="FFFFFF"/>
            <w:lang w:val="en-US" w:eastAsia="en-US" w:bidi="ar-SA"/>
          </w:rPr>
          <w:t>[1993] A.J. No. 926</w:t>
        </w:r>
      </w:hyperlink>
      <w:r>
        <w:rPr>
          <w:rFonts w:ascii="arial" w:eastAsia="arial" w:hAnsi="arial" w:cs="arial"/>
          <w:color w:val="000000"/>
          <w:sz w:val="20"/>
          <w:lang w:val="en-US" w:eastAsia="en-US" w:bidi="ar-SA"/>
        </w:rPr>
        <w:t xml:space="preserve"> (Q.B.). The court found that the by-law did not violate the plaintiff's rights to security of the person. If it did, it was saved by principles of fundamental justice which required a fair balance to be struck between the interests of a person whose claim to security had been violated and those of society. In reaching that conclusion, the court found that public water fluoridation was a safe and effective method of reducing dental caries.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would be difficult for an individual living in a fluoridated community to avoid exposure to fluoridated water because of the necessity to take showers, and the consumption of food produced in the area. This is so, even if they attempt to filter their water or drink bottled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There is debate among scientists about the effects of fluoridated water. However, the predominant opinion is that public water fluoridation is effective for the purposes of reducing dental caries, and aside from dental fluorosis, if the levels are not excessive, the evidence does not indicate that the health risks complained of are caused by consumption of optimally fluoridated water. I note that dental fluorosis occurs as a result of an over exposure to fluoride during the period of life when the teeth are forming. Once the teeth have erupted from the gums, there is no further dental fluorosis caused by fluoride in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Locke, the court said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the intrusion by the judiciary into value judgments of the legislature and the electors must be restrained unless there is a clear breach of the Charter established on at least a balance of probabilities by the proponent of such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evidence before me and the findings of fact that I have made I do not find that Calgary by-law 37M89 violates the plaintiff's rights to security of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Essentially, the court found that public water fluoridation was a safe and effective means of reducing dental caries. The court did find that even if there had been an infringement of rights to liberty or security of the person, the process in which fluoridation of water was accomplished through referendum did strike a fair balance between rights of the individual and the rights of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Millership argues the Locke decision is not helpful because of the limited evidence that Mr. Locke was able to put before the court in comparison to the volumes of evidence that Mr. Millership has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security of the person referred to in s. 7 includes control over one's bodily integrity free from state interference and freedom from the serious state-psychological and emotional stresses. However, the fact that Mr. Millership may disagree with fluoridation and that it may cause him psychological stress is not sufficient to support a s. 7 challenge. The province argues that any intrusion on Mr. Millership's bodily integrity as a result of the fluoridation of water is very minimal, and is really a trivial impact and should not support a s. 7 challenge. The province argues that minimal intrusions into constitutionally protected interests are not even prima face breaches of constitutional rights. (Jones v. The Queen </w:t>
      </w:r>
      <w:hyperlink r:id="rId640" w:history="1">
        <w:r>
          <w:rPr>
            <w:rFonts w:ascii="arial" w:eastAsia="arial" w:hAnsi="arial" w:cs="arial"/>
            <w:i/>
            <w:color w:val="0077CC"/>
            <w:sz w:val="20"/>
            <w:u w:val="single"/>
            <w:shd w:val="clear" w:color="auto" w:fill="FFFFFF"/>
            <w:lang w:val="en-US" w:eastAsia="en-US" w:bidi="ar-SA"/>
          </w:rPr>
          <w:t>(1986), 31 D.L.R. (4th) 569</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find that Mr. Millership's s. 7 rights have not been infringed by the fluoridation of public water pursuant to s. 523 of the Local Government Act and any by-law passed pursuant to that Act, provided that fluoridation is maintained within the range of the optimal levels recommended by the Federal/Provincial/Territorial Subcommittee (.8 mg/L to 1 mg/L). This is a minimal intrusion into Mr. Millership's rights to liberty or security of the person, and did not amount to a prima facie breach of those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If Mr. Millership's rights to liberty or security of the person are infringed by public water fluoridation, the question arises whether it is in accordance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province argues that the court should not impose its own value judgments in the form of substantive principles of fundamental justice. "The courts must be conscious of its proper role in the constitutional makeup of our form of democratic government and not seek to make fundamental changes to long standing policy on the basis of general constitutional principles and its own view of the wisdom of legislation..." The principles of fundamental justice leave a great deal of scope for personal judgment, and the court must be careful that they do not become principles which are fundamental justice in the eyes of the beholder only. (Rodriguez v. British Columbia (Attorney General), </w:t>
      </w:r>
      <w:hyperlink r:id="rId638" w:history="1">
        <w:r>
          <w:rPr>
            <w:rFonts w:ascii="arial" w:eastAsia="arial" w:hAnsi="arial" w:cs="arial"/>
            <w:i/>
            <w:color w:val="0077CC"/>
            <w:sz w:val="20"/>
            <w:u w:val="single"/>
            <w:shd w:val="clear" w:color="auto" w:fill="FFFFFF"/>
            <w:lang w:val="en-US" w:eastAsia="en-US" w:bidi="ar-SA"/>
          </w:rPr>
          <w:t>[1993] 3 S.C.R. 519</w:t>
        </w:r>
      </w:hyperlink>
      <w:r>
        <w:rPr>
          <w:rFonts w:ascii="arial" w:eastAsia="arial" w:hAnsi="arial" w:cs="arial"/>
          <w:color w:val="000000"/>
          <w:sz w:val="20"/>
          <w:lang w:val="en-US" w:eastAsia="en-US" w:bidi="ar-SA"/>
        </w:rPr>
        <w:t xml:space="preserve"> at page 589 - 590. The court in Rodriguez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principles of fundamental justice are concerned with more than process, reference must be made to principles that are "fundamental" in the sense that they would have general acceptance among reasonable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also stated that principles of natural justice are a balance between individual and social interests that are not arbitrary in the sense of doing little to enhance the state's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Although the petitioner and many others may disagree with public water fluoridation it is certainly not done in an arbitrary fashion. It is for the purposes of improving the public dental health, and even if it prevents only one fewer cavity per person over a large population, it could represent tens of thousands or hundreds of thousands of cavities.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Public water fluoridation is not the only source of fluoride today, and people who receive fluoride as a result of a halo effect or through the use of dental products also experience a reduction in dental caries. These are factors which have been considered by the Federal Provincial Territorial Subcommittee and the research that they have reviewed in determining the recommended optimal levels and maximum allowable concentrations of fluoride. This information is available to communities who are then able to debate the issues, and determine for themselves as a community whether the fluoridation of water is beneficial or otherwise. This is certainly not an arbitrary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Therefore, even if Mr. Millership's s. 7 rights to liberty and security of person have been infringed, it is a minimal infringement and it is not an infringement that occurs contrary to natural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note that the fluoridation of public water is an amendment to the water in the sense that it is an adjustment of levels of a naturally occurring substance. I draw a distinction between this and the addition of a drug or medication to the water that does not naturally occur, and which is added for the purposes of promoting health rather than for the purposes of purifying or making water safe for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Equality before and under the law, and equal protection of benefit before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Millership argues that portions of the population may be at greater risk from fluoridation than others. These would include workers in aluminum smelting, phosphate fertilizer, people near such industries where water and air are subject to pollution, people living in areas where goiter is endemic, people with kidney dysfunction, polydipsia or diabetes insipidus, those whose diet is deficient in iodine calcium, manganese or vitamin C, and those with low calcium or phosphor ratios in their diet.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defendants correctly point out that in determining whether there has been a breach of an individual's rights under s. 15(1), a court must go through a three-step analysis:</w:t>
      </w:r>
      <w:r>
        <w:rPr>
          <w:rFonts w:ascii="arial" w:eastAsia="arial" w:hAnsi="arial" w:cs="arial"/>
          <w:sz w:val="20"/>
          <w:lang w:val="en-US" w:eastAsia="en-US" w:bidi="ar-SA"/>
        </w:rPr>
        <w:cr/>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different treatment, in purpose or effect, either by the drawing of formal distinctions, or by failure to take account of the claimant's already disadvantaged position in society;</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basis for the differential treatment is one or more enumerated or analogous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Contextual factors with respect to this third element include:</w:t>
      </w:r>
      <w:r>
        <w:rPr>
          <w:rFonts w:ascii="arial" w:eastAsia="arial" w:hAnsi="arial" w:cs="arial"/>
          <w:sz w:val="20"/>
          <w:lang w:val="en-US" w:eastAsia="en-US" w:bidi="ar-SA"/>
        </w:rPr>
        <w:cr/>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pre-existing disadvantage, stereo-typing or prejudice;</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relationship between the grounds of distinction and the claimant's characteristics or circumstances;</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ameliorative purpose or effect of the government action; and</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interest effected.</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differential treatment discriminates in purpose or effect in a manner that brings into play the purpose of s. 15, viz to prevent the violation of essential human dignity and freedom, and to promote a society in which all persons enjoy equal recognition at law as human beings or as members of Canadian society, equally capable and equally deserving of freedom, respect and consideration. (Law v. Canada (Minister of Employment and Immigration) </w:t>
      </w:r>
      <w:hyperlink r:id="rId643" w:history="1">
        <w:r>
          <w:rPr>
            <w:rFonts w:ascii="arial" w:eastAsia="arial" w:hAnsi="arial" w:cs="arial"/>
            <w:i/>
            <w:color w:val="0077CC"/>
            <w:sz w:val="20"/>
            <w:u w:val="single"/>
            <w:shd w:val="clear" w:color="auto" w:fill="FFFFFF"/>
            <w:lang w:val="en-US" w:eastAsia="en-US" w:bidi="ar-SA"/>
          </w:rPr>
          <w:t>(1999), 170 D.L.R. (4th) 1</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defendants argue that s. 523(3) does not make a formal distinction between people, and it is clearly not a distinction on the basis of one of the enumerated or analogous grounds in s. 15, those grounds being race, national or ethnic origin, colour, religion, sex, age or mental or physical disability.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defendants also argue that the plaintiff does not allege that he is a member of any of these groups that he says are treated differently as a result of the fluoridation of water.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Fluoridation of public water does increase the risk of dental fluorosis in children prior to the eruption of their permanent teeth.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province argues that although young children, or children as a group, may be vulnerable to additional risks of fluorosis, the benefits of fluoridation in reducing dental caries outweighed the risk of fluorosis which is cosmetic only and not of the same fundamental importance as the avoidance of dental caries. I agree. However, it is important that the process of determining levels of fluoridation continue in such a way as to minimize the increase in dental fluorosis. I note that dental fluorosis is not caused exclusively by fluoridated water, but it is a contributing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Finally, both defendants argue that even if there is an infringement of any of the rights that Mr. Millership refers to, that s. 1 of the Charter should be applied to save s. 523 of the Local Government Act. Section 1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Canadian Charter of Rights and Freedoms guarantees the rights and freedoms set out in it subject only to such reasonable limits prescribed by law as can be demonstrably justified in a free and democratic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save legislation that may infringe a right, the government must show:</w:t>
      </w:r>
      <w:r>
        <w:rPr>
          <w:rFonts w:ascii="arial" w:eastAsia="arial" w:hAnsi="arial" w:cs="arial"/>
          <w:sz w:val="20"/>
          <w:lang w:val="en-US" w:eastAsia="en-US" w:bidi="ar-SA"/>
        </w:rPr>
        <w:cr/>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objective relates to concerns which are pressing and substantial in a free and democratic society; and</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means chosen pass a three-part proportionality test:</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rationally connected to the objective;</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impair the right as little as possible to achieve the objective;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proportionality between the effects of the impugned law on the Charter of Rights and the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 v. Oakes </w:t>
      </w:r>
      <w:hyperlink r:id="rId626" w:history="1">
        <w:r>
          <w:rPr>
            <w:rFonts w:ascii="arial" w:eastAsia="arial" w:hAnsi="arial" w:cs="arial"/>
            <w:i/>
            <w:color w:val="0077CC"/>
            <w:sz w:val="20"/>
            <w:u w:val="single"/>
            <w:shd w:val="clear" w:color="auto" w:fill="FFFFFF"/>
            <w:lang w:val="en-US" w:eastAsia="en-US" w:bidi="ar-SA"/>
          </w:rPr>
          <w:t>(1986), 26 D.L.R. (4th) 200</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defendants also argue that where the issue involves balancing scientific evidence and balancing claims on scarce resources in remedying social disadvantage, the courts should defer to the legislative judgment as long as the government is able to demonstrate a reasonable basis for the measures it has taken. (Irwin Toy Ltd. v. Quebec (Attorney General) </w:t>
      </w:r>
      <w:hyperlink r:id="rId627" w:history="1">
        <w:r>
          <w:rPr>
            <w:rFonts w:ascii="arial" w:eastAsia="arial" w:hAnsi="arial" w:cs="arial"/>
            <w:i/>
            <w:color w:val="0077CC"/>
            <w:sz w:val="20"/>
            <w:u w:val="single"/>
            <w:shd w:val="clear" w:color="auto" w:fill="FFFFFF"/>
            <w:lang w:val="en-US" w:eastAsia="en-US" w:bidi="ar-SA"/>
          </w:rPr>
          <w:t>(1989), 58 D.L.R. (4th) 577</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agree with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objective of s. 523 is to reduce dental caries on children. The treatment of dental caries is expensive and can be painful. The rate of dental caries among children living in fluoridated and non-fluoridated areas has been reduced over the last fifty years, and is one of the factors that the Federal/Provincial/Territorial Subcommittee has considered in their research and their recommendations. This is part of their risk benefit analysis that they carry out. Public health and the health of children is a pressing objective for s. 1 analysis (R.B. v. Children's Aid Society Metropolitan Toronto, </w:t>
      </w:r>
      <w:hyperlink r:id="rId644" w:history="1">
        <w:r>
          <w:rPr>
            <w:rFonts w:ascii="arial" w:eastAsia="arial" w:hAnsi="arial" w:cs="arial"/>
            <w:i/>
            <w:color w:val="0077CC"/>
            <w:sz w:val="20"/>
            <w:u w:val="single"/>
            <w:shd w:val="clear" w:color="auto" w:fill="FFFFFF"/>
            <w:lang w:val="en-US" w:eastAsia="en-US" w:bidi="ar-SA"/>
          </w:rPr>
          <w:t>[1995] 1 S.C.R. 315</w:t>
        </w:r>
      </w:hyperlink>
      <w:r>
        <w:rPr>
          <w:rFonts w:ascii="arial" w:eastAsia="arial" w:hAnsi="arial" w:cs="arial"/>
          <w:color w:val="000000"/>
          <w:sz w:val="20"/>
          <w:lang w:val="en-US" w:eastAsia="en-US" w:bidi="ar-SA"/>
        </w:rPr>
        <w:t xml:space="preserve"> at page 385.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Canadian Aids Society v. Ontario </w:t>
      </w:r>
      <w:hyperlink r:id="rId645" w:history="1">
        <w:r>
          <w:rPr>
            <w:rFonts w:ascii="arial" w:eastAsia="arial" w:hAnsi="arial" w:cs="arial"/>
            <w:i/>
            <w:color w:val="0077CC"/>
            <w:sz w:val="20"/>
            <w:u w:val="single"/>
            <w:shd w:val="clear" w:color="auto" w:fill="FFFFFF"/>
            <w:lang w:val="en-US" w:eastAsia="en-US" w:bidi="ar-SA"/>
          </w:rPr>
          <w:t>(1995), 25 O.R. (3d) 388</w:t>
        </w:r>
      </w:hyperlink>
      <w:r>
        <w:rPr>
          <w:rFonts w:ascii="arial" w:eastAsia="arial" w:hAnsi="arial" w:cs="arial"/>
          <w:color w:val="000000"/>
          <w:sz w:val="20"/>
          <w:lang w:val="en-US" w:eastAsia="en-US" w:bidi="ar-SA"/>
        </w:rPr>
        <w:t xml:space="preserve"> (Gen. Div.) Approved </w:t>
      </w:r>
      <w:hyperlink r:id="rId646" w:history="1">
        <w:r>
          <w:rPr>
            <w:rFonts w:ascii="arial" w:eastAsia="arial" w:hAnsi="arial" w:cs="arial"/>
            <w:i/>
            <w:color w:val="0077CC"/>
            <w:sz w:val="20"/>
            <w:u w:val="single"/>
            <w:shd w:val="clear" w:color="auto" w:fill="FFFFFF"/>
            <w:lang w:val="en-US" w:eastAsia="en-US" w:bidi="ar-SA"/>
          </w:rPr>
          <w:t>(1996), 31 O.R. (3d) 798</w:t>
        </w:r>
      </w:hyperlink>
      <w:r>
        <w:rPr>
          <w:rFonts w:ascii="arial" w:eastAsia="arial" w:hAnsi="arial" w:cs="arial"/>
          <w:color w:val="000000"/>
          <w:sz w:val="20"/>
          <w:lang w:val="en-US" w:eastAsia="en-US" w:bidi="ar-SA"/>
        </w:rPr>
        <w:t xml:space="preserve"> (C.A.) Leave denied </w:t>
      </w:r>
      <w:hyperlink r:id="rId647" w:history="1">
        <w:r>
          <w:rPr>
            <w:rFonts w:ascii="arial" w:eastAsia="arial" w:hAnsi="arial" w:cs="arial"/>
            <w:i/>
            <w:color w:val="0077CC"/>
            <w:sz w:val="20"/>
            <w:u w:val="single"/>
            <w:shd w:val="clear" w:color="auto" w:fill="FFFFFF"/>
            <w:lang w:val="en-US" w:eastAsia="en-US" w:bidi="ar-SA"/>
          </w:rPr>
          <w:t>[1997] S.C.C.A. No. 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weight of the scientific evidence indicates that fluoridation is rationally connected to the goal of reducing dental caries, although other factors as well appear to have contributed to the reduction of dental caries.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Minimal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Despite the use of fluoridated toothpaste and the possibility of topical applications by dentists, the evidence still supports the argument that public water fluoridation is an effective means of providing fluoride to everyone in the community, including members of the community who may be socially and economically disadvantaged. The provision for a referendum before fluoridation is allowed also accommodates philosophical objections of people who are opposed to fluoride, and allows the community to decide whether or not to add to its public water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Proportionality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health benefits of fluoridation are still clear, even though other sources of fluoride may be contributing to the reduction of dental caries. The referendum process allows each community to decide for itself how to balance the benefits and the potential risks and philosophical concerns of their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conclude that s. 523 of the Local Government Act is valid provincial legislation. I find that public water fluoridation pursuant to a by-law passed pursuant to s. 523 does not infringe on Mr. Millership's rights under s. 6, 7 or 15 of the Charter of Rights and Freedoms.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Tort Action and Claim for Damages -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Millership seeks damages from both the defendants on the basis of the following:</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Private and public nuisance;</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Rylands v. Fletcher;</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Misrepresentation;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s. 24 of the Charter of Rights and Freedoms.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Millership argues that the very mild or mild dental fluorosis which is referred to by his dentist was caused by the consumption of fluoridated water supplied by the City of Kamloops. He also used fluoridated toothpaste as a child, and may have received fluoride treatments on regular visits to his dentist. Mr. Millership also attributes psychological difficulties to fluoride consumption, but has not provided any medical evidence to support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defendants argue that the necessary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has suffered some damage;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damage was caused by the defendants' conduct;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conduct amounted to a breach of the standard of care owed;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did owe a duty of care to the plaintiff;</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was the proximate cause of the plaintiff's loss;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absence of any defense.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Rinaldi, Remedies in Tort, loose leaf edition (Toronto): (Carswell 1994) c.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 agree with this statement of the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Millership does have very mild or mild dental fluorosis. This is a cosmetic problem that does not affect the function of his teeth. The evidence does not support any claim for psychological or emotional damage despite Mr. Millership's belief that fluoride may contribute to such problems. If Mr. Millership has any psychological problems, he has not led any evidence which would prove on the balance of probabilities that it is related to fluoride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Millership must establish, on a balance of probabilities, that the actions of the defendants caused or contributed to any damages he has suffered, in this case his very mild dental fluorosis. He consumed fluoridated water as a child and while his teeth were developing. He also consumed fluoridated toothpaste and may have received fluoride treatments from his dentist. All of these things would affect the total dose of fluoride that he had received. He may have also consumed formula prepared with fluoridated water. He has no evidence as to what formula he was fed as a baby, or the fluoride content of that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All of these things would contribute to the amount of fluoride that he had consumed, and the evidence does demonstrate that dental fluorosis is dose dependent. Some individuals may develop dental fluorosis at lower concentrations of fluoride than others. It is not possible for Mr. Millership to prove that he would not have developed dental fluorosis but for the fluoridation of the public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However, causation may be established where the actions of the defendant materially contributed to the occurrence of the damage or injury. In some instances, an inference of causation may be drawn without positive scientific proof. A defendant does not escape responsibility simply because other causal factors besides their actions may have helped produce the harm complained of. (Athey v. Leonati, </w:t>
      </w:r>
      <w:hyperlink r:id="rId1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the present case, although Mr. Millership may have developed very mild fluorosis even without consuming fluoridated water, it is clear that the consumption of fluoridated water would contribute to the occurrence of dental fluorosis. I am satisfied that Mr. Millership has established causation on the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actions of Canada consist of participating in the Federal/Provincial/Territorial Subcommittee review of scientific evidence, and publication of guidelines for the maximum allowable concentrations of fluoride and the optimal levels of fluoride in drinking water. The province passed legislation which allowed municipalities, including Kamloops, to add fluoride to the public water system after taking the appropriate steps to conduct referendums and pass appropriate by-laws. Neither of these defendants actually fluoridated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recommendations made by the Federal/Provincial/Territorial Subcommittee, and the decisions made by the province to pass legislation, were based on the professional practice and best scientific knowledge of the day. In the 1970's, and today, the weight of scientific evidence was and is in favour of fluoridation. There is no evidence to suggest that the standard of care was not met by either of the defendants. (ter Nuezen v. Korn, </w:t>
      </w:r>
      <w:hyperlink r:id="rId648"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actions of the provincial legislature were to enact the legislation, in particular a section of the Local Government Act formerly the Municipal Act which allowed municipalities to fluoridate the public water. There is no evidence that this legislation was passed for an improper purpose, unlawfully, or with the intent to harm anyone. Even if it could be argued that the legislators were "negligent" in passing this legislation, that does not give rise to a cause of action. (Welbridge-Holdings Ltd. v. Metropolitan Corporation of Winnipeg, </w:t>
      </w:r>
      <w:hyperlink r:id="rId649"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province was acting within its statutory authority to pass legislation and there is no evidence to suggest that they participated in any way with any breach of any authority that Kamloops may have committed, if any, in passing its by-laws or holding its referendums. The fact that provincial health officers may have recommended fluoridation to various municipalities is not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were merely acting according to the best scientific evidence available at the time. I note the weight of the scientific evidence continues to support public water fluoridation, although the optimal levels are subject to continual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Assuming that the defendants owed a duty of care to Mr. Millership, the evidence does not support a claim that they have failed to comply with that duty of care or that their actions fell below any standard of care they were subject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Proximity of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Neither Canada nor the province fluoridated any water consumed by Mr. Millership. The guidelines issued by the Federal Provincial Territorial Subcommittee may have been a factor or considered by the electorate in Kamloops when deciding whether or not to support fluoridation. The recommendations of provincial health authorities may also have been a factor or consideration. However, ultimately, the fluoridation of the public water in Kamloops was as a result of the exercise of authority given to the municipality by the Local Government Act. The actions of Canada and the province are not the proximate cause of Mr. Millership's dental fluorosis.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Absence of Defense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province argues that no action can be brought against the province for simply exercising their legislative authority on the basis that that authority was exercised in a negligent manner. (Welbridge, supra).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Both defendants argue that any claims by Mr. Millership are barred as a result of the expiration of limitations under the Limitation Act, </w:t>
      </w:r>
      <w:hyperlink r:id="rId7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Mr. Millership was aware of the slight discolouring on his teeth that is said to be dental fluorosis from the time he was in grade 9 or grade 10. He was certainly aware about the relationship between fluoride and dental fluorosis as early as 1992 or 1993, when he became involved and interested in the anti-fluoridation campaign in Kamloops. He reached the age of majority on June 18 of 1990. He commenced these proceedings October 23, 2000. A claim for damages for personal injury arising out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a two-year limitation, and would have expired June 18, 1992. A claim for damages arising out of nuisance has a six-year limitation, and that would have expired June 18, 1996. I am assuming these limitations run from the time Mr. Millership became an adult. Even if the limitations commenced to run in 1992 or 1993 when Mr. Millership became aware of the relationship between fluoridated water and fluorosis, they expired before he commenced his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Millership has not led any evidence which would support an extension of those limitation periods, and the burden to do so lies on him. (Limitation Act, s.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find that Mr. Millership's tort claims are barred by the Limitation Act. The dental fluorosis Mr. Millership has, if it were caused by water fluoridation, occurred when his teeth were forming, before they erupted from the gums. In any event, it is Mr. Millership's own evidence that he has not consumed fluoridated water in Kamloops since approximately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Canada also argues that there has been no specific act or omission of any identifiable federal employee which has caused or contributed to the addition of fluoride in the City of Kamloops water supply. The liability of Canada can only be vicarious liability based on conduct of her employees, servants or agents. (Section 310 Crown Liability and Proceedings Act). The evidence indicates that the servants of the Crown have acted reasonably and carefully in their participation in the Federal Provincial Territorial Subcommittee and in promulgating the recommendations from that committee. That is certainly the case during the 1970's, even if Mr. Millership argues that since that time they have failed to respond to changing developments in the scientific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Rylands v. Fletcher and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province argues that no claim can be made out in nuisance if the actions complained of are "inevitable results of consequence" of the existence of the statutory authority (Ryan v. Victoria (City), </w:t>
      </w:r>
      <w:hyperlink r:id="rId177"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The allegation against the province is that by passing legislation, it authorized Kamloops to take steps which ultimately led to the fluoridation of the water in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Canada also argues that nuisance is defined as an unreasonable interference with the use and enjoyment of the land by its occupier, and that Mr. Millership is not a land owner. Mr. Millership argues that he is a land owner in the sense that all of the public lands in Canada are owned by all of the citizens of Canada. However, that does not qualify him as a land owner for the purposes of a claim in nuisance. Canada also argues that even if Mr. Millership was a land owner, the evidence does not demonstrate that the addition of fluoride to a city's water supply affects the use and enjoyment of land. I agree that the evidence does not support the proposition that the addition of fluoride to the public water at the levels recommended by the Federal Provincial Territorial Subcommittee caused any injury or interference with or injury to land or interference with its use and occupation. I find that Mr. Millership has not made out his claims under Rylands v. Fletcher or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Fraud and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Mr. Millership has not relied on any representations made by either of these defendants. In fact, he disagrees with any representations made by these defendants with regard to the effectiveness or the safety of fluoridation. There is certainly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regard to any representations or recommendations made by either of these defendants or their agents, and there is clearly no evidence of fraud. Mr. Millership has reached his own conclusions based on his review of scientific evidence which is available regarding fluoridation, as have a number of the experts that he relies on. However, the fact that he and some of his experts disagree with the assessment of the defendants, agents or representatives, does not indicate that they are guilty of any misrepresentation or fraud. I find that Mr. Millership has failed to make out his claims under fraud or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24(1)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Section 24(1)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Anyone whose rights or freedoms, as guaranteed by this Charter, have been infringed or denied may apply to a court of competent jurisdiction to obtain such remedy as the court considers appropriate and just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Any injury or damage suffered by Mr. Millership occurred prior to the proclamation of the Charter and, therefore, there is no remedy under s. 24 of the Charter. In addition, monetary damages are rarely given as a remedy for actions that were taken pursuant to a statute which is subsequently declared unconstitutional. (Guimond v. Quebec (Attorney General), </w:t>
      </w:r>
      <w:hyperlink r:id="rId650" w:history="1">
        <w:r>
          <w:rPr>
            <w:rFonts w:ascii="arial" w:eastAsia="arial" w:hAnsi="arial" w:cs="arial"/>
            <w:i/>
            <w:color w:val="0077CC"/>
            <w:sz w:val="20"/>
            <w:u w:val="single"/>
            <w:shd w:val="clear" w:color="auto" w:fill="FFFFFF"/>
            <w:lang w:val="en-US" w:eastAsia="en-US" w:bidi="ar-SA"/>
          </w:rPr>
          <w:t>[1996] 3 S.C.R. 347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Section 24(1) is not simply an alternative means for a party to seek monetary compensation for alleged harms they may have suffered. It is only in the event of conduct that is clearly wrong, in bad faith, or an abuse of power, that damages may be awarded. (Mackin v. News Brunswick (Minister of Finance; Rice v. New Brunswick, </w:t>
      </w:r>
      <w:hyperlink r:id="rId651" w:history="1">
        <w:r>
          <w:rPr>
            <w:rFonts w:ascii="arial" w:eastAsia="arial" w:hAnsi="arial" w:cs="arial"/>
            <w:i/>
            <w:color w:val="0077CC"/>
            <w:sz w:val="20"/>
            <w:u w:val="single"/>
            <w:shd w:val="clear" w:color="auto" w:fill="FFFFFF"/>
            <w:lang w:val="en-US" w:eastAsia="en-US" w:bidi="ar-SA"/>
          </w:rPr>
          <w:t>[2002] S.C.J. No. 13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Despite the allegations of the plaintiff that the federal and provincial government and their agents have acted in a criminal or negligent fashion, the evidence is to the contrary. The very extensive research and analysis carried out by the Federal Provincial Territorial Subcommittee is clear evidence of the care and consideration that has been given to the issue of fluoridation. Even if there were a breach of Mr. Millership's Charter rights, this is not an instance where damages would be a proper remedy under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Millership is claiming general damages, including compensation for lost income he says he could have earned during the years that he has been pursuing this litigation. Even if liability could be established, Mr. Millership's damages would be nominal and no damages could be allowed for his lost income for the time he spent pursuing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For all of the reasons above, Mr. Millership's claim for damages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Declaratory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Millership seeks a number of declarations as outlined in his argument paragraph 8:</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public water fluoridation projects in British Columbia and in Canada are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matter is dealt with elsewhere in the decision in dealing with the constitutionality of s. 523. I should not deal with any other public water fluoridation projects without those parties involved being properly present before the court, and all of the facts, including the legislation being before the court. This application is dismissed.</w:t>
      </w:r>
      <w:r>
        <w:rPr>
          <w:rFonts w:ascii="arial" w:eastAsia="arial" w:hAnsi="arial" w:cs="arial"/>
          <w:sz w:val="20"/>
          <w:lang w:val="en-US" w:eastAsia="en-US" w:bidi="ar-SA"/>
        </w:rPr>
        <w:cr/>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public water fluoridation in British Columbia and Canada are a matter of national concern which should be enjoined in British Columbia and in Canada by Canada using Canada's power under the Peace Order and Good Government Doctrine of the Constitution Act of Canada 1867, and under the laws of British Columbia and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my opinion, this is not the type of declaration that a court should make. It really amounts to a direction that the federal government should pass legislation, or exercise authority. That is a matter within the discretion of parliament. If the legislative bodies in Canada act, then a person affected by their actions may challenge the constitutional validity of those actions before the court. However, it is not the role of the courts to direct legislatures of the provinces or the parliament of Canada to exercise their legislative authority. In any event, the evidence does not support the claim that public water fluoridation projects are a matter of national concern which should be enjoined.</w:t>
      </w:r>
      <w:r>
        <w:rPr>
          <w:rFonts w:ascii="arial" w:eastAsia="arial" w:hAnsi="arial" w:cs="arial"/>
          <w:sz w:val="20"/>
          <w:lang w:val="en-US" w:eastAsia="en-US" w:bidi="ar-SA"/>
        </w:rPr>
        <w:cr/>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public water fluoridation projects mass medicate and poison Canadians by the drug Fluoride against their will and without their informed consent contrary to the laws of British Columbia and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Hyrdofluorosilicicic acid is a poison in concentration, but the evidence does not support the allegation that fluoridated water poisons Canadians. Even if public water fluoridation is the equivalent of mass medication, the evidence with regard to s. 523, which is the only section before me, is that it is done pursuant to the authority of a by-law after a referendum in support of such by-law by the majority of the residents in a community. People are not compelled to consume fluoridated water, although I acknowledge there are practical difficulties in avoiding exposure to fluoride in a community in which the public water system is fluoridated. Members of a community are able to obtain information about the fluoridation of water if they wish, and are given an opportunity to debate the issue and take steps to avoid fluoridated water if they wish. I note the great deal of material that the province and Canada provided to Mr. Millership at his request. This is available to any member of the community who wishes to seek it out. The evidence does not support the application.</w:t>
      </w:r>
      <w:r>
        <w:rPr>
          <w:rFonts w:ascii="arial" w:eastAsia="arial" w:hAnsi="arial" w:cs="arial"/>
          <w:sz w:val="20"/>
          <w:lang w:val="en-US" w:eastAsia="en-US" w:bidi="ar-SA"/>
        </w:rPr>
        <w:cr/>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public water fluoridation projects in British Columbia and in Canada are harming the environment contrary to the laws of British Columbia and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a matter which Canada argues is not the proper subject of a court decision. In any event, the evidence of the Canadian Environmental Protection Agency is that fluoride can harm the environment. Public water fluoridation can contribute to the amount of fluoride in the environment. Whether that is contrary to the laws of British Columbia and Canada is a matter which is better resolved through the enforcement mechanisms of the various provincial and federal legislation, and not in this proceedings.</w:t>
      </w:r>
      <w:r>
        <w:rPr>
          <w:rFonts w:ascii="arial" w:eastAsia="arial" w:hAnsi="arial" w:cs="arial"/>
          <w:sz w:val="20"/>
          <w:lang w:val="en-US" w:eastAsia="en-US" w:bidi="ar-SA"/>
        </w:rPr>
        <w:cr/>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permanent injunction to stay and/or quash s. 523(3) of the Local Government Act, S.B.C.C. 1999, c. 37 in so much as it purports to authorize the addition of fluoride to the public water supplies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fact, s. 523(3) limits the circumstances in which fluoride can be added to the public water system, and Mr. Millership really seeks a declaration that s. 523 should not be interpreted as to allow the addition of fluoride, or if it is, it should be read down or added to, to make sure it is clear that fluoridation is not authorized. The issue of validity of s. 523 is dealt with elsewhere. This application is dismissed.</w:t>
      </w:r>
      <w:r>
        <w:rPr>
          <w:rFonts w:ascii="arial" w:eastAsia="arial" w:hAnsi="arial" w:cs="arial"/>
          <w:sz w:val="20"/>
          <w:lang w:val="en-US" w:eastAsia="en-US" w:bidi="ar-SA"/>
        </w:rPr>
        <w:cr/>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permanent injunction to enjoin all public water fluoridation projects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not prepared to make such an order in the absence of notice to all of the parties who would be affected by such an order, even if the evidence supported such a claim. The evidence does not support this claim. This is dismissed.</w:t>
      </w:r>
      <w:r>
        <w:rPr>
          <w:rFonts w:ascii="arial" w:eastAsia="arial" w:hAnsi="arial" w:cs="arial"/>
          <w:sz w:val="20"/>
          <w:lang w:val="en-US" w:eastAsia="en-US" w:bidi="ar-SA"/>
        </w:rPr>
        <w:cr/>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permanent injunction to stay any section of any provincial or territorial act in Canada that purports to authorize the addition of the drug Fluoride into the public water supply systems of Canada for the purposes of reducing dental decay that the plaintiff and the citizens are affected by because of the "halo" affect.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Again, notice has not been given to all of the parties affected, nor is there any evidence before me about what any legislative sections might be, or the mechanism for implementing them. It would be improper of me to proceed in the absence of the parties and without that information. In addition, despite Mr. Millership's reference to the Criminal Code, this court does not have the jurisdiction to make orders with regard to provincial or territorial acts or actions outside of the province of British Columbia. This application is dismissed.</w:t>
      </w:r>
      <w:r>
        <w:rPr>
          <w:rFonts w:ascii="arial" w:eastAsia="arial" w:hAnsi="arial" w:cs="arial"/>
          <w:sz w:val="20"/>
          <w:lang w:val="en-US" w:eastAsia="en-US" w:bidi="ar-SA"/>
        </w:rPr>
        <w:cr/>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permanent injunction to enjoin all public water fluoridation projects in Canada that the plaintiff and the citizens are affected by because of the "halo" affect.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application is dismissed for the same reason that the application number 7 is dismissed.</w:t>
      </w:r>
      <w:r>
        <w:rPr>
          <w:rFonts w:ascii="arial" w:eastAsia="arial" w:hAnsi="arial" w:cs="arial"/>
          <w:sz w:val="20"/>
          <w:lang w:val="en-US" w:eastAsia="en-US" w:bidi="ar-SA"/>
        </w:rPr>
        <w:cr/>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permanent injunction barring the sale of all food and beverage product sold in British Columbia that were made with artificially, medicated/fluoridated water, and containing one milligram of the drug Fluoride.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 affected are not before the court, and notice has not been given to them. In any event, the evidence does not support this injunction and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Millership's claims for damages for personal injuries and injunctions and declaratory relief are dismissed. This application occupied 21 days, required the review of thousands of pages of affidavit supporting material and many cases presented by the parties in support of their positions. Mr. Millership presented his arguments in a thorough and respectful manner. He has obviously put in a great deal of work into a matter in which he strongly believes. In those instances where Mr. Millership may not have been able to organize his arguments as clearly as a legally trained person may have, counsel for both defendants attempted to assist me in applying the correct legal analysis or approach to the issues. They did this in a fair and co-operative manner with Mr. Millership, and did not in any way attempt to take advantage of his lack of legal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parties are at liberty to argue the issue of costs if they wish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Mohamed v. Intransit BC Limited Partnership, [2015] I.L.R. para. G-2685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July 27,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S124938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[2015] I.L.R. para. G-2685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[2015] B.C.J. No. 1601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2015 BCSC 1300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Abdi Ali Mohamed v. Intransit BC Limited Partnership, SNC- Lavalin Group Inc., Canada Line Rapid Transit Inc., doing business as Translink, and ProTrans BC Operations Ltd.</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0"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2" w:name="Keywords_18"/>
      <w:bookmarkEnd w:id="152"/>
      <w:r>
        <w:rPr>
          <w:rFonts w:ascii="arial" w:eastAsia="arial" w:hAnsi="arial" w:cs="arial"/>
          <w:b/>
          <w:color w:val="000000"/>
          <w:sz w:val="20"/>
          <w:lang w:val="en-US" w:eastAsia="en-US" w:bidi="ar-SA"/>
        </w:rPr>
        <w:t xml:space="preserve">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Fall — Train station — Plaintiff suffered fall while exiting SkyTrain station — Plaintiff claimed he fell after stepping on escalator that had misleading signage above it — Four years prior, plaintiff began suffering from balance disorder that caused him to fall — Defendants maintained that plaintiff slipped on stairs, not escalator — Plaintiff brought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under Occupiers Liability Act, seeking damages — Court accepted defendants' evidence resulting from their record-keeping and accident-response practices — Log from attendant who assisted plaintiff post-fall indicated he told her he fell on escalator — Control-room log entry reported that upon review of video it was found plaintiff fell down stairs — Defendants' investigator accessed computer room and recordings from all relevant cameras and reported plaintiff fell on stairs — Video on which report was based was inadvertently deleted — There were inconsistencies in plaintiff's evidence — Court concluded plaintiff did not attempt to use escalator but instead attempted to use stairs, stumbled, and injured himself — Action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3" w:name="Case Summary_17"/>
            <w:bookmarkEnd w:id="153"/>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suffered a fall while exiting a SkyTrain station in Richmond in 2010. The plaintiff claimed that he was misled by signage above an escalator that said "way out" and showed a figure of a person descending a set of stairs and an arrow pointing downwards. The escalator next to this sign was, in fact, ascending, and the plaintiff claimed that when he stepped on the top step, he lost his balance and fell. The defendant transit companies claimed that the plaintiff did not attempt to use the escalator but instead exited the station by using stairs, on which he stumbled. After he fell, a SkyTrain attendant assisted the plaintiff. The plaintiff had suffered from a balance disorder since an accident in 2006. He was unable to work and carry out many of his day-to-day activities. The balance disorder had also caused him to fall numerous times in the years after the 2006 accident. The plaintiff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against the defendants, seeking general and special damages, as well as costs of future care.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4" w:name="Holdings of Court_14"/>
            <w:bookmarkEnd w:id="154"/>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accepted the defendants' evidence resulting from their record-keeping and accident-response practices. The defendants had a control room that displayed images from video cameras directed at every station. While the attendant who initially assisted the plaintiff created a log stating that he had told her that he fell on the escalator, the control-room log entry reported that, upon a review of the video, it was noted that the plaintiff fell down the stairs. Having the two logs, the company's investigator accessed the computer room and the recordings from all relevant cameras at the station, which allow one to track the movements of a passenger as they get off a train and take the escalator or stairs. The investigator's log indicated that the plaintiff stumbled on the stairs. The video on which the report was based was inadvertently deleted. The Court found that the above evidence was admissible. The Court noted there were inconsistencies in the plaintiff's evidence, as he claimed that he suffered a head injury when there was no evidence of such an injury. The plaintiff further said that he was hopping down the stairs and calling for help, while the attendant's evidence was that she found him sitting on a bench. Based on the above evidence, the Court concluded that the plaintiff did not attempt to use the escalator and instead attempted to use the stairs, where he stumbled and injured himself.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5" w:name="Counsel_27"/>
      <w:bookmarkEnd w:id="1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1"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Kuntze and S. Dhaliwal, articling student, for the plaintiff; J. O'Leary and N. Krueger, articling student,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6" w:name="Judgment_27"/>
      <w:bookmarkEnd w:id="156"/>
      <w:r>
        <w:pict>
          <v:line id="_x0000_s1142" style="position:absolute;z-index:2517893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7" w:name="P.G. VOITH J."/>
            <w:bookmarkEnd w:id="157"/>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17, 2010, the plaintiff, Mr. Mohamed, suffered a fall while exiting the Aberdeen SkyTrain station in Richmond. Mr. Mohamed asserts that he was misled by signage above an escalator that said "Way Out", and that depicted the figure of a person descending a set of stairs as well as an arrow that pointed downwards. The escalator was, in fact, ascending. Mr. Mohamed asserts that when he stepped onto the top step of the escalator, he lost his balance and fell, and that he thereby injured his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based on various forms and pieces of evidence, argue that Mr. Mohamed never attempted to use the escalator. Instead, they say that he exited the SkyTrain station using a set of stairs that are immediately adjacent to the escalator. They further argue that his injury occurred when he stumbled on these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following distinct issues are raised, in concept, by this action:</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did Mr. Mohamed injure himself at the Aberdeen SkyTrain station? This issue also brings into question the admissibility of various pieces of evidence relied upon by the defendants.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settlement that Mr. Mohamed received in 2011, for an accident that he was involved in in 2006, include and/or provide compensation for the injury that is the subject matter of this action?</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injury occurred, as Mr. Mohamed asserts, and if the 2011 settlement does not prevent Mr. Mohamed from advancing the present claim, the following further questions arise: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negligent?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did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 Mr. Mohamed's injury?</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is the measure of Mr. Mohamed's loss?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Mr. Mohamed's own behaviour negligent and, if so, did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 to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agrees, however, that each of the first two of the foregoing issues are, independently, dispositive of this action. By reason of the conclusions I have arrived at, I have, therefore, only addressed the first of the issues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number of background facts are straightforward. I propose to address more specific evidence in the context of the issues that such evidence addresses.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Mohamed is now 44 years old. He was born in Somalia and left that country when he was 15 years old. He has a grade-four education. He eventually made his way to Canada as a refugee and came to Vancouver because he believed there would be more work for him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held various jobs over the first several years that he was in Vancouver. Eventually, he became involved in commercial and residential construction. He initially worked as a labourer, and over time, he began to do more skilled forms of work including work as a carpenter. He has lived in Richmond, at various locations, for more than two decades.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21, 2006, Mr. Mohamed was a passenger on a bus that was involved in a significant motor vehicle accident (the "2006 Accident"). As a result of that accident, Mr. Mohamed suffered a number of serious and enduring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Of particular significance and relevance is the fact that Mr. Mohamed suffered a severe and ongoing balance disorder. This balance disorder prevented him from being able to work and from carrying out many of his day-to-day activities. In addition, it caused him, in the ensuing years, to fall numerous times. Some of the falls were serious, with Mr. Mohamed injuring himself in some new way or being rendered unconscious. His dizziness was made worse by his moving his head quickly, by his being in a car or on a bus, by light and, in fact, by his riding on either escalators or elevators.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Over time, Mr. Mohamed developed some strategies that abated these difficulties, but it is clear that the difficulties with his balance continued to be a significant problem at the time of his fall at the Aberdeen SkyTrain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Mohamed also suffered other injuries as a result of the 2006 Accident. These injuries are, however, less relevant to this action and I need not address them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Mohamed's claim for the injuries and loss he suffered as a result of the 2006 Accident was resolved in or about July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Because the injuries Mr. Mohamed suffered as a result of the 2006 Accident prevented him from working, no past or future wage loss claim is advanced in this action. The only claims advanced on his behalf at the trial of this action are for general and special damages, as well as for some modest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Events of July 17, 2010</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July 17, 2010, Mr. Mohamed had travelled from his home in Richmond to the Commercial Drive area in Vancouver. He was at a sports bar, called Joe's Cafe, with friends from about 2:00 p.m. until about 9:30 or 10:00 p.m. He says he had two beer over this time. He then returned to Richmond, first taking two different buses and then the SkyTrain from the station located at the intersection of Cambie and Broadway, along the Canada Line, to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Though he would normally get off at the last station on the line, the Richmond-Brighouse Station, he got off at the Aberdeen Station on this occasion. He was to meet a casual friend to discuss the possibility of their sharing accommodation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physical description of the Aberdeen Station, of the signage at that station, and of the means of egress from the station, are all relevant. They are also all matters in respect of which there is no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Passengers who exit the SkyTrain are immediately faced with a sign that says "Way Out". On each side of these words are arrows pointing in opposite directions indicating two separate means of exit. One arrow points to the depiction of what is clearly an elevator with two figures within it, one being in a wheelchair. The opposite arrow points to the depiction of a figure descending a flight of stairs with a further arrow that points downward.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Persons who choose to follow this second sign are required to walk around a metal railing. As they come around this railing, they are faced with both an escalator and a flight of stairs that are parallel to each other, and separated by a short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common ground that on July 17, 2010, a further sign that said "Way Out", beside the pictograph of a figure descending stairs and an arrow pointing downwards, was positioned over the escalator.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also agreed that that escalator, in fact, ascends. The stairs, on the other hand, allow passengers to descend to street level so they can then exit the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Mohamed says that he saw the sign above the escalator and believed the escalator would lead him out of the station. Instead, when he stepped onto the escalator with his right foot, it threw him, he became dizzy, and he then fell down hitting his right knee. He says he injured his knee and then hit his head. He also says he hurt his buttocks on the edge of the treads on the escalator when 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says the "machine spit him out" and that he crawled away. He said he was unable to get up and called for help. He said his knee was swollen. He then crawled to the railing to the left of the escalator. He was unable to stand up, crawled under the railing separating the escalator and the stairs and then got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says that he again called for help without success. He took the stairs down, jumping on his left leg and holding the railing. At one point, there is a landing on the stairs. He looked down, and saw "a lady". He says he called for help and asked for an ambulance. She waited for him at the bottom of the stairs, used an emergency phone and called for an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says he then sat on a bench and spoke to the young woman who he understood to be a SkyTrain attendant. An ambulance arrived shortly thereafter and Mr. Mohamed was taken to Richmond Hospital where he was treated and then released.</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defendants assert, as I have said, that Mr. Mohamed was not injured on the escalator. Rather, they say he stumbled while partway down the stairs. Accordingly, they argue that the placement of the sign over the escalator, and whether that sign and its location was misleading, did not cause Mr. Mohamed's injury and cannot ground any claim in either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To understand the evidence the defendants rely on, and the legal attributes of that evidence, some fuller understanding of aspects of the defendant ProTrans BC Operations Ltd.'s ("ProTrans"), operations, policies and physical facilities is relevant. Furthermore, because I have concluded that this body of evidence both addresses and disposes of the plaintiff's claim, I have developed the evidence in greater detail than I otherwise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Canada Line has 16 stations. Those stations are continuously monitored by almost 500 cameras. The activities at the average station are overseen by between 25-40 cameras.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ProTrans has its offices in Richmond. One component of those offices is a control room. That control room is perhaps twice the size of a large courtroom. The operations of the Canada Line are monitored from this control room. Some aspects of those operations pertain to matters such as train operations and power supplies. Others pertain to matters of equipment usage, such as the stairs, escalators and elevators at each station, and to matters of safety for employees, contractors and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control room is operated 24 hours each day by four different operators and a supervisor. At the front of the control room is a screen that is perhaps 60 feet wide and that has approximately a hundred different monitors on it. Sixty of these monitors are fixed at various locations at each station such as at the platform edges. Others are safety triggered. For example, a fall on an escalator may cause different sensors to activate a camera. Escalators have sensors that can be activated or triggered by both weight and resistance. When the sensors are triggered, the escalator will stop and a camera will swing to that escalator. These sensors are placed on the escalator's platforms as well as on its treads and handrails. All escalators have dedicated cameras.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Different cameras are also dedicated to different safety devices. For example, if an alarm goes off, a camera will swing to that area. Similarly, if a call is made from an emergency phone, a camera will swing to the phone and persons within the control room will be able to see the person they are speaking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Operators in the control room have the ability to access any camera in any given circumstance. In addition, all incidents are also required to be reported to the control room. Thus, a Canada Line attendant who reports an injury or incident will contact the control room. The control room will contact Emergency Health Services ("EHS") for an ambulance, if necessary. The control room will again bring up the attendant who has called in on a camera, often together with the passenger or person who is injured. Persons within the control room will then access the relevant camera footage of the incident or accident immediately. This allows the control-room operators to potentially relate useful information to EHS personnel about how the injury occurred or where the individual is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this case, the Canada Line attendant who assisted Mr. Mohamed at the Aberdeen Station, and who called the control room to obtain an ambulance for him, was Ms. Laeeq. Ms. Laeeq, thereafter, in accordance with standard procedure, generated a record of what had happened (the "Laeeq Report"). In 2010, the practice was to have Canada Line attendants complete a written report of all incidents that they were involved in. They were trained in how to complete these reports. All such written reports were thereafter transcribed, verbatim, into what is known as the SharePoint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operators in the control room also rely on various types of record-keeping and daily logs. For present purposes, it is important that, at the time in question, when an incident of some sort occurred, various types of records were automatically and consistently generated. One such record was an Excel spreadsheet that identified,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station in question, the nature of the incident, the start and end time of the incident, the time when the log was created and the author of the log (the "Excel Log").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this case, the Excel Log indicated that an incident occurred at the Aberdeen Station, that an ambulance was requested, that the event commenced at 23:20 hours and that the event ended at 23:45 hours -- this being when the ambulance arrived on scene. These time entries are rounded to the nearest five minutes. This particular log was created at 23:49 hours by "Anni Cihan".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addition, a brief written note of the incident or event would be generated and would shortly thereafter be entered into a computer. The particular log entry made for the incident involving Mr. Mohamed (the "Control-Room Log Entry") is relevant and I will return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These various records were required for various reasons and by various authorities. ProTrans is International Organization for Standardization ("ISO") certified for safety, engineering and environmental matters. One aspect of this certification requires stringent levels of record-keeping. In addition, ProTrans is certified by the British Columbia Safety Authority ("BCSA"). That certification, again, requires that ProTrans document particular matters in a particular way, that it maintain certain records, and that it deliver certain records to the BCSA.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ProTrans will also further investigate incidents and accidents. The Director of the Health, Safety, Quality and Environmental ("HSQE") Services Department will, on the next day following an incident, assign that incident for further investigation to one of two HSQE coordinators. In this case, Ms. Martin, who gave evidence at trial, was the HSQE coordinator who was assigned to the investigation pertaining to Mr. Mohamed's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Martin holds a Certificate in Occupational Health and Safety and is a Certified Registered Health and Safety Professional. Before joining ProTrans in February 2009, she had worked in various positions that had health and safety as their focus for more than a decade.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important that Ms. Martin investigates a broad range of incidents from contractor-safety infringements, to environmental issues, to employee and passenger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this case, as in all cases, upon being delegated the incident pertaining to Mr. Mohamed, Ms. Martin first accessed the incident report of Ms. Laeeq that had been entered into the SharePoint System and then obtained a copy of the relevant entry from the control-room log. The first document, the Laeeq Report, contained various categories of information as well as the following 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passenger exited a train at ABS O/B. To go downstairs, he tried using the escalator going up to the platform, at which point he fell on his knee. He says he didn[']t see the escalator was going up and it was an accident. After he fell, he says he walked to the bench outside ABS station on his own. After sitting there for 10 minutes, he saw me and waved me over and informed me that he had hurt himself. I asked him where the pain was and if he needed an ambulance. He said he needed an ambulance. At that point, I asked Control to dispatch the ambulance. We asked him not to move his knee as he waited. He said he is on medication but doesn[']t know the names. [ERA] arrived on scene at 23:40 and took the passenger to Richmond General @ 23:47. How did the incident occur: Passenger accidently took the escalator going up to go downstairs.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 were they injured: He fell on his knee on the escalator The passenger was intoxicated Footwear: Sneakers, good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Control Room Log Entry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23:22 CLA Sabeequa LAE-01 requesting EHS for a Pax that fall down the stairs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23:22 EHS called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23:43 EHS at station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23:46 Pax taken by EHS to Richmond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Hospital Incident is Bookmarked and happened at 23:12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foregoing log entry requires some explanation. The 23:22 entry refers to when Ms. Laeeq called in asking for an EHS vehicle for a passenger who had fallen down the stairs. "PAX" means or refers to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Robinson, a control-room supervisor who gave evidence at trial, but who did not make the foregoing entry, explained that the various entries pertained to both what the control-room operator who made the entry was told, as well as what he or she would have seen on the video screen when they recovered the relevant videotape and played it. Thus, what Ms. Laeeq reported to the control room and what her report indicates is that Mr. Mohamed said he fell on the "escalator". However, the Control-Room Log Entry reflects both that report and the control-room operator's subsequent review of the video, thus explaining the note that Mr. Mohamed fell down the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control-room operator, who brought up the video from the relevant cameras, reported and recorded when the incident actually occurred. Thus, the last entry on the log, "Bookmarked and happened at 23:12", means that the tape from the relevant camera was bookmarked at 23:12 hours, that being the time when the operator saw the incident that gave rise to the report. Specifically, this is the time when Mr. Mohamed would have fallen.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timing in the Control-Room Log Entry, assuming its accuracy, established that Mr. Mohamed fell at 23:12, that Ms. Laeeq called the control room at 23:22, and that an EHS vehicle arrived at the station at 23:43. The latter two times generally aligned with both the Laeeq Report and with the Excel Log I referred to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these two records in hand, Ms. Martin went to the computer room, a room that can only be accessed by a very limited number of individuals, where she was able to access the relevant recordings from all relevant cameras at the Aberdeen Station. She located the events in question using this "bookmark" in the Control-Room Log Entry and described the procedures she then followed. Simply put, she is able to bring up multiple recordings from multiple cameras on one computer screen at the same time. She is able, through the bank of cameras in the station that are available to her, to track the route of a passenger as he or she gets off a train and as they then take the stairs or escalator or elevator to exit that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this case, Ms. Martin said she viewed all of the relevant cameras available to her. She reviewed those cameras and the relevant recordings several times. With the aid of a drawing or depiction of the physical layout of the Aberdeen Station, she was able to describe the specific cameras she relied on. She further said that she will often review particular scenes up to 20 times in order to ensure she has observed certain details accurately. Thus, for example, if an injury occurs on a set of stairs, she will count the number of stairs or focus on the injured party's footwear and record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this case, she was also able to work backwards to ensure the accuracy of her information. Thus, she was able to identify, from the cameras, when the EHS vehicle arrived at the station and took Mr. Mohamed away. Ms. Martin confirmed that this was the only EHS vehicle called to the Aberdeen Station that day. She was also able, working backwards, to see Mr. Mohamed on the bench outside with Ms. Laeeq waiting for the ambulance and to then see him, again working backwards, in the station, on the stairs right through to when he had first gotten off of the SkyTrain.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the time, as was her standard practice, Ms. Martin made handwritten notes as she watched the videos on her screen. She thereafter returned to her office and entered those notes, sometimes with other information, into her computer report. The resulting written report (the "Martin Report"), contains different categories of information and includes the following 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23:12:10 Male middle aged passenger disembarked O/B train and proceeded to stairs. Intoxicated and medication. Good condition runners, floppy briefcase in right hand and object in left hand. (Both hands occupied)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down first span of stairs his ankles became wobbly and he staggered down to the left.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before the mid-span landing, his left foot caught in the side area between wall and stair. He gripped rail with both hands, righted himself and continued to the bottom of the stairs cautiously limping. He exited the station and sat on a bench outside the station. He hailed a CLA to call EHS. Ambulance took him to Richmond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again, relevant that all reports of the kind made by Ms. Martin make their way to the Railway Safety Manager of the BCSA and that ProTrans is required to maintain and deliver such reports. The Martin Report was signed on July 20,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Martin also testified that it was her practice, and that she did in this case, extract the relevant video footage and save it on the hard drive of the viewing computer. Practice then required a transfer of that footage to an external hard drive which was then stored in a locked filing cabinet. Either Ms. Martin or the other HSQE coordinator would have performed the transfer. A spot check of the transferred items did not reveal that they were corrupted. The files on the viewing computer were, however, deleted before any error was identified. Subsequent efforts to recover the files, by sending the hard drive and the server that contained the footage to forensics experts, were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Thus, a central difficulty with aspects of the defendants' case is that the video footage that underlies the Martin Report and the Control-Room Log Entry are no longer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Apart from the various records that I have referred to, and the evidence of how and why those records were generated and maintained, each of Ms. Laeeq and Ms. Martin gave evidence of their direct involvement in these events and of what they recalled of that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Laeeq, who was a good witness and had a clear memory of events, was working with a co-worker at the Aberdeen Station that evening. She did not see Mr. Mohamed injure himself. Instead, she said that she and her co-worker were standing at the lower level of the station, near a coil grill that can be lowered to close off the station, when she and her colleague were waved over by Mr. Mohamed. Mr. Mohamed was already sitting on a bench outside of the station. Mr. Mohamed told her that he had fallen on the escalator. He was holding his knee and said he was in pain. She then called for an ambulance. While she waited for the ambulance, she filled out a form that contained some of the information that is now contained in the Laeeq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Mohamed told her that he used prescription medication. The report she filled out asks if the person in question has been drinking, and Ms. Laeeq, because she smelled alcohol on Mr. Mohamed's breath, and because his speech was slurred, concluded that he was intoxicated. In her cross-examination, she accepted, however, that a person who smelled of alcohol was not necessarily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Laeeq said that the Aberdeen Station was "the quietest station", particularly at that time of night, and that if Mr. Mohamed had called out for help, she believed she would have heard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She also said that shortly after Mr. Mohamed was taken to the hospital by EHS, she received a call from a male control-room operator asking her to call in. When she did so, she was told that the plaintiff had not fallen on the escalator as he had reported but, rather, that he had fallen on the stairs (the "Control-Room Oral Communication to Ms. Laeeq").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Martin also said that she had a good memory of the events she had viewed on the videos that later gave rise to the Martin Report. Ms. Martin said she observed the plaintiff come off of the SkyTrain, move past the escalator and immediately to the stairs. He never tried to use the escalator. She confirmed that there were no gaps in the videos available to her. She said that Mr. Mohamed was a bit wobbly at the top of the stairs as he headed downwards. Three quarters of the way down to the first landing, he switched sides on the stairs. He caught his foot in a "rut" or depression below the railing beside the steps which caused him to stumble. He did not fall, but righted himself, went to the bottom of the stairs and then exited to a bench outside of the station where he sat down. After a period of time, he was joined by a Canada Line attendant. Thereafter, the EHS ambulance arrived. Ms. Martin confirmed that Mr. Mohamed never returned to the station after he first went to the bench.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evidence that the defendants seek to rely on gives rise to various questions of reliability as well as admissibility, the purpose for which specific evidence has been tendered and the weight to be given to such evidence. These various inquiries are relevant to:</w:t>
      </w:r>
      <w:r>
        <w:rPr>
          <w:rFonts w:ascii="arial" w:eastAsia="arial" w:hAnsi="arial" w:cs="arial"/>
          <w:sz w:val="20"/>
          <w:lang w:val="en-US" w:eastAsia="en-US" w:bidi="ar-SA"/>
        </w:rPr>
        <w:cr/>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Martin's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Martin Report;</w:t>
      </w:r>
    </w:p>
    <w:p>
      <w:pPr>
        <w:numPr>
          <w:numId w:val="1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Laeeq's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Laeeq Report;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Control-Room Log Entry;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Control-Room Oral Communication to Ms. Laeeq.</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Ms. Martin's Viva Voce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generally accepts that Ms. Martin's oral evidence is admissible. I say "generally", because the plaintiff takes the position, with respect to much of the defendants' evidence, that because the defendants lost, destroyed or corrupted the recordings of the plaintiff's conduct in the late hours of July 17, 2010, all such evidence should, as a matter of policy, be excluded. The plaintiff advances no authority in support of such a policy, and I do not accept the need for or wisdom of any such policy. Indeed, I consider that such a policy would not accord with the relevant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It has long been understood and accepted that secondary evidence may be admitted when a court is satisfied that an original document or record has been lost or destroyed; Alan W. Bryant, Sidney N. Lederman &amp; Michelle K. Fuerst, eds., </w:t>
      </w:r>
      <w:r>
        <w:rPr>
          <w:rFonts w:ascii="arial" w:eastAsia="arial" w:hAnsi="arial" w:cs="arial"/>
          <w:i/>
          <w:color w:val="000000"/>
          <w:sz w:val="20"/>
          <w:lang w:val="en-US" w:eastAsia="en-US" w:bidi="ar-SA"/>
        </w:rPr>
        <w:t>Sopinka, Lederman &amp; Bryant: The Law of Evidence in Canada</w:t>
      </w:r>
      <w:r>
        <w:rPr>
          <w:rFonts w:ascii="arial" w:eastAsia="arial" w:hAnsi="arial" w:cs="arial"/>
          <w:color w:val="000000"/>
          <w:sz w:val="20"/>
          <w:lang w:val="en-US" w:eastAsia="en-US" w:bidi="ar-SA"/>
        </w:rPr>
        <w:t>, 3d ed. (Markham: LexisNexis Canada, 2009) at para. 18.11. The authors of this text go on, at para. 18.12, to comment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far as admissibility is concerned, there are no degrees of secondary evidence, and oral evidence of the contents of a paper from a person who has read it and a copy of that document are put on exactly the same footing. While more weight may be attached to a copy of a document than oral evidence of it, there is no requirement to account for copies before oral evidence can be adduced.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Furthermore, in both the criminal and civil context, there are numerous examples of oral evidence being led in instances where the video or documentary record of such evidence has been lost or destroyed; see e.g. </w:t>
      </w:r>
      <w:r>
        <w:rPr>
          <w:rFonts w:ascii="arial" w:eastAsia="arial" w:hAnsi="arial" w:cs="arial"/>
          <w:i/>
          <w:color w:val="000000"/>
          <w:sz w:val="20"/>
          <w:lang w:val="en-US" w:eastAsia="en-US" w:bidi="ar-SA"/>
        </w:rPr>
        <w:t>R. v. J.S.C.</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2013 ABCA 157</w:t>
        </w:r>
      </w:hyperlink>
      <w:r>
        <w:rPr>
          <w:rFonts w:ascii="arial" w:eastAsia="arial" w:hAnsi="arial" w:cs="arial"/>
          <w:color w:val="000000"/>
          <w:sz w:val="20"/>
          <w:lang w:val="en-US" w:eastAsia="en-US" w:bidi="ar-SA"/>
        </w:rPr>
        <w:t xml:space="preserve"> at paras. 14-16; </w:t>
      </w:r>
      <w:r>
        <w:rPr>
          <w:rFonts w:ascii="arial" w:eastAsia="arial" w:hAnsi="arial" w:cs="arial"/>
          <w:i/>
          <w:color w:val="000000"/>
          <w:sz w:val="20"/>
          <w:lang w:val="en-US" w:eastAsia="en-US" w:bidi="ar-SA"/>
        </w:rPr>
        <w:t>Bank of B.C. v. Smart</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(1988), 35 B.C.L.R. (2d) 21</w:t>
        </w:r>
      </w:hyperlink>
      <w:r>
        <w:rPr>
          <w:rFonts w:ascii="arial" w:eastAsia="arial" w:hAnsi="arial" w:cs="arial"/>
          <w:color w:val="000000"/>
          <w:sz w:val="20"/>
          <w:lang w:val="en-US" w:eastAsia="en-US" w:bidi="ar-SA"/>
        </w:rPr>
        <w:t xml:space="preserve"> at 24 (Co. Ct.); </w:t>
      </w:r>
      <w:r>
        <w:rPr>
          <w:rFonts w:ascii="arial" w:eastAsia="arial" w:hAnsi="arial" w:cs="arial"/>
          <w:i/>
          <w:color w:val="000000"/>
          <w:sz w:val="20"/>
          <w:lang w:val="en-US" w:eastAsia="en-US" w:bidi="ar-SA"/>
        </w:rPr>
        <w:t>Surfwood Supply Ltd. v. General Alarms Ltd.</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[1976] B.C.J. No. 1067</w:t>
        </w:r>
      </w:hyperlink>
      <w:r>
        <w:rPr>
          <w:rFonts w:ascii="arial" w:eastAsia="arial" w:hAnsi="arial" w:cs="arial"/>
          <w:color w:val="000000"/>
          <w:sz w:val="20"/>
          <w:lang w:val="en-US" w:eastAsia="en-US" w:bidi="ar-SA"/>
        </w:rPr>
        <w:t xml:space="preserve"> at para. 26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am satisfied that the recordings that Ms. Martin viewed, and the copies of those recordings that she sought to copy, were lost or corrupted inadvertently. Indeed, there was no real suggestion otherwise. Furthermore, I am satisfied that diligent and earnest efforts were made to locate and/or re-create those materials. Again, there was no suggestion otherwise. I see no reason why, on a principled basis, the innocent loss or destruction of a record should effectively prevent the party who is responsible for that loss from adducing evidence that is probative of the events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Counsel for the plaintiff also accepts that the fact Ms. Martin testified to what she observed on a recording, notwithstanding the fact that that recording has since been lost or destroyed, does not give rise to a hearsay concern. This conclusion is confirmed, for example, in </w:t>
      </w:r>
      <w:r>
        <w:rPr>
          <w:rFonts w:ascii="arial" w:eastAsia="arial" w:hAnsi="arial" w:cs="arial"/>
          <w:i/>
          <w:color w:val="000000"/>
          <w:sz w:val="20"/>
          <w:lang w:val="en-US" w:eastAsia="en-US" w:bidi="ar-SA"/>
        </w:rPr>
        <w:t>R. v. Mesfin</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2012 ABPC 115</w:t>
        </w:r>
      </w:hyperlink>
      <w:r>
        <w:rPr>
          <w:rFonts w:ascii="arial" w:eastAsia="arial" w:hAnsi="arial" w:cs="arial"/>
          <w:color w:val="000000"/>
          <w:sz w:val="20"/>
          <w:lang w:val="en-US" w:eastAsia="en-US" w:bidi="ar-SA"/>
        </w:rPr>
        <w:t xml:space="preserve"> at paras. 25, 28, and in </w:t>
      </w:r>
      <w:r>
        <w:rPr>
          <w:rFonts w:ascii="arial" w:eastAsia="arial" w:hAnsi="arial" w:cs="arial"/>
          <w:i/>
          <w:color w:val="000000"/>
          <w:sz w:val="20"/>
          <w:lang w:val="en-US" w:eastAsia="en-US" w:bidi="ar-SA"/>
        </w:rPr>
        <w:t>Taylor v. Chief Constable of Cheshire</w:t>
      </w:r>
      <w:r>
        <w:rPr>
          <w:rFonts w:ascii="arial" w:eastAsia="arial" w:hAnsi="arial" w:cs="arial"/>
          <w:color w:val="000000"/>
          <w:sz w:val="20"/>
          <w:lang w:val="en-US" w:eastAsia="en-US" w:bidi="ar-SA"/>
        </w:rPr>
        <w:t>, [1987] 1 E.R. 225 at 230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terms of the reliability of Ms. Martin's evidence, I consider that she was an honest witness. Furthermore, I do not accept the suggestion made by counsel for the plaintiff that Ms. Martin may have inadvertently viewed the tapes relating to some other event or some other passenger. This assertion is inconsistent with the process Ms. Martin followed, with her turning to the events that had been "bookmarked" earlier, with her viewing multiple screens concurrently to follow the path of the plaintiff in the station and, finally, with the fact that Ms. Martin actually worked backwards, or reversed the steps of Mr. Mohamed starting with when the ambulance took him away and finishing with when he first got off the SkyTrain at the Aberdeen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would say, however, that the fact Ms. Martin viewed the tapes in question a half decade ago would normally militate against the reliability of her memory. This is all the more relevant because Ms. Martin would, by virtue of her position, have viewed the tapes relating to many hundreds of other events in the intervening years. Still further, this event was, by Ms. Martin's admission, a relatively minor incident. The fact that the plaintiff's description of how he was injured did not accord with the taped version of those events made the event, from Ms. Martin's perspective, unusual but not extraordinary.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the other hand, the fact that the relevant recordings were lost or corrupted was highly unusual. Indeed, Ms. Martin said this was the only occasion she was aware of that this would have happened. These circumstances would, I believe, have elevated the importance or significance of this incident involving Mr. Mohamed in Ms. Martin's mind.</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Martin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Counsel for the defendants accepts that if Ms. Martin's oral evidence is admissible, there is no principled basis to seek to rely on the Martin Report as a business record or to seek to admit that written record for the truth of its contents. It would be Ms. Martin's oral evidence that the defendants would rely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argued, however, and the plaintiff appeared to accept, that if Ms. Martin's oral evidence is admissible, the Martin Report is, nevertheless, admissible as a prior consistent statement. It can thus be relied upon to rebut any allegation that Ms. Martin may have fabricated her evidence after learning that the relevant computer files or recordings had been corrupted. Though this position was not pursued by the plaintiff with any real vigor, it is a position that the plaintiff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such circumstances, the Martin Report can be relied on "in support of" Ms. Martin's oral evidence and it is relevant in the "larger assessment of [her] credibility"; </w:t>
      </w:r>
      <w:r>
        <w:rPr>
          <w:rFonts w:ascii="arial" w:eastAsia="arial" w:hAnsi="arial" w:cs="arial"/>
          <w:i/>
          <w:color w:val="000000"/>
          <w:sz w:val="20"/>
          <w:lang w:val="en-US" w:eastAsia="en-US" w:bidi="ar-SA"/>
        </w:rPr>
        <w:t>R. v. Stirling</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2008 SCC 10</w:t>
        </w:r>
      </w:hyperlink>
      <w:r>
        <w:rPr>
          <w:rFonts w:ascii="arial" w:eastAsia="arial" w:hAnsi="arial" w:cs="arial"/>
          <w:color w:val="000000"/>
          <w:sz w:val="20"/>
          <w:lang w:val="en-US" w:eastAsia="en-US" w:bidi="ar-SA"/>
        </w:rPr>
        <w:t xml:space="preserve"> at para. 11. Importantly, however, the Martin Report is not admissible, in this way, to establish the truth of its contents; </w:t>
      </w:r>
      <w:r>
        <w:rPr>
          <w:rFonts w:ascii="arial" w:eastAsia="arial" w:hAnsi="arial" w:cs="arial"/>
          <w:i/>
          <w:color w:val="000000"/>
          <w:sz w:val="20"/>
          <w:lang w:val="en-US" w:eastAsia="en-US" w:bidi="ar-SA"/>
        </w:rPr>
        <w:t>Stirling</w:t>
      </w:r>
      <w:r>
        <w:rPr>
          <w:rFonts w:ascii="arial" w:eastAsia="arial" w:hAnsi="arial" w:cs="arial"/>
          <w:color w:val="000000"/>
          <w:sz w:val="20"/>
          <w:lang w:val="en-US" w:eastAsia="en-US" w:bidi="ar-SA"/>
        </w:rPr>
        <w:t xml:space="preserve"> at paras. 7, 12; see also </w:t>
      </w:r>
      <w:r>
        <w:rPr>
          <w:rFonts w:ascii="arial" w:eastAsia="arial" w:hAnsi="arial" w:cs="arial"/>
          <w:i/>
          <w:color w:val="000000"/>
          <w:sz w:val="20"/>
          <w:lang w:val="en-US" w:eastAsia="en-US" w:bidi="ar-SA"/>
        </w:rPr>
        <w:t>R. v. Austin</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(2006), 214 C.C.C. (3d) 38</w:t>
        </w:r>
      </w:hyperlink>
      <w:r>
        <w:rPr>
          <w:rFonts w:ascii="arial" w:eastAsia="arial" w:hAnsi="arial" w:cs="arial"/>
          <w:color w:val="000000"/>
          <w:sz w:val="20"/>
          <w:lang w:val="en-US" w:eastAsia="en-US" w:bidi="ar-SA"/>
        </w:rPr>
        <w:t xml:space="preserve"> at para. 33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a result of these conclusions, I do not consider that I have to parse through the Martin Report and distinguish between those parts that record Ms. Martin's observations and those parts that simply repeat portions of the Laeeq Report. Similarly, I do not consider that I have to separate out what are properly factual observations and what are expressions of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Ms. Laeeq's Oral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accepts that Ms. Laeeq's oral evidence is admissible. I also consider, as I have said, that she was a careful and forthright witness with a good memory of events. The plaintiff does not contest her evidence in any meaningful way. Indeed, the plaintiff accepts, through a series of admissions that I will return to, aspects of Ms. Laeeq's evidence that conflict with Mr. Mohamed's account of events.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Laeeq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Since Ms. Laeeq has a clear memory of the facts and events recorded in the Laeeq Report, there is no necessity for those documents to be admitted separately as business records. This is notwithstanding the fact that the various constituent requirements for the admissibility of a business record under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R.S.B.C. 1996, c. 124, s. 42</w:t>
        </w:r>
      </w:hyperlink>
      <w:r>
        <w:rPr>
          <w:rFonts w:ascii="arial" w:eastAsia="arial" w:hAnsi="arial" w:cs="arial"/>
          <w:color w:val="000000"/>
          <w:sz w:val="20"/>
          <w:lang w:val="en-US" w:eastAsia="en-US" w:bidi="ar-SA"/>
        </w:rPr>
        <w:t>, are satisfied.</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Control-Room Log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plaintiff accepts, and I am satisfied, that the author of the Control-Room Log Entry was under a duty to keep that record. The language of s. 42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does not, however, expressly require such a duty. It provides: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"business" includes every kind of business, profession, occupation, calling, operation or activity, whether carried on for profit or otherwise;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"document" includes any device by means of which information is recorded or stored;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"statement" includes any representation of fact, whether made in words or otherwise.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proceedings in which direct oral evidence of a fact would be admissible, a statement of a fact in a document is admissible as evidence of the fact if</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 was made or kept in the usual and ordinary course of business, and</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in the usual and ordinary course of the business to record in that document a statement of the fact at the time it occurred or within a reasonable time after that.</w:t>
      </w:r>
    </w:p>
    <w:p>
      <w:pPr>
        <w:numPr>
          <w:numId w:val="2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 the circumstances of the making of the statement, including lack of personal knowledge by the person who made the statement, may be shown to affect the statement's weight but not its admissibility.</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makes admissible as evidence a statement made by a person interested at a time when proceedings were pending or anticipated involving a dispute as to a fact that the statement might tend to establish.</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any rule of law or practice requiring evidence to be corroborated or regulating the manner in which uncorroborated evidence is to be treated, a statement rendered admissible by this section must not be treated as corroboration of evidence given by the maker of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plaintiff also accepts that the Control-Room Log Entry was made in the ordinary course of the defendants' business as required by s. 42(2)(a), that business being transporting passengers safely on the Canada Line. This, of necessity, includes their safety in and around SkyTrain stations. </w:t>
      </w:r>
      <w:r>
        <w:rPr>
          <w:rFonts w:ascii="arial" w:eastAsia="arial" w:hAnsi="arial" w:cs="arial"/>
          <w:i/>
          <w:color w:val="000000"/>
          <w:sz w:val="20"/>
          <w:lang w:val="en-US" w:eastAsia="en-US" w:bidi="ar-SA"/>
        </w:rPr>
        <w:t>Setak Computer Services Corporation Ltd. v. Burroughs Business Machines Ltd.</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(1977), 15 O.R. (2d) 750</w:t>
        </w:r>
      </w:hyperlink>
      <w:r>
        <w:rPr>
          <w:rFonts w:ascii="arial" w:eastAsia="arial" w:hAnsi="arial" w:cs="arial"/>
          <w:color w:val="000000"/>
          <w:sz w:val="20"/>
          <w:lang w:val="en-US" w:eastAsia="en-US" w:bidi="ar-SA"/>
        </w:rPr>
        <w:t xml:space="preserve"> at 760 (H.C.J.), establishes that records made at some phase of the business, whether for a principal or an auxiliary purpose, are admissible. </w:t>
      </w:r>
      <w:r>
        <w:rPr>
          <w:rFonts w:ascii="arial" w:eastAsia="arial" w:hAnsi="arial" w:cs="arial"/>
          <w:i/>
          <w:color w:val="000000"/>
          <w:sz w:val="20"/>
          <w:lang w:val="en-US" w:eastAsia="en-US" w:bidi="ar-SA"/>
        </w:rPr>
        <w:t>Setak</w:t>
      </w:r>
      <w:r>
        <w:rPr>
          <w:rFonts w:ascii="arial" w:eastAsia="arial" w:hAnsi="arial" w:cs="arial"/>
          <w:color w:val="000000"/>
          <w:sz w:val="20"/>
          <w:lang w:val="en-US" w:eastAsia="en-US" w:bidi="ar-SA"/>
        </w:rPr>
        <w:t xml:space="preserve"> has been referred to or relied on in this province many times; see e.g. </w:t>
      </w:r>
      <w:r>
        <w:rPr>
          <w:rFonts w:ascii="arial" w:eastAsia="arial" w:hAnsi="arial" w:cs="arial"/>
          <w:i/>
          <w:color w:val="000000"/>
          <w:sz w:val="20"/>
          <w:lang w:val="en-US" w:eastAsia="en-US" w:bidi="ar-SA"/>
        </w:rPr>
        <w:t>Olynyk v. Yeo</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(1988), 33 B.C.L.R. (2d) 247</w:t>
        </w:r>
      </w:hyperlink>
      <w:r>
        <w:rPr>
          <w:rFonts w:ascii="arial" w:eastAsia="arial" w:hAnsi="arial" w:cs="arial"/>
          <w:color w:val="000000"/>
          <w:sz w:val="20"/>
          <w:lang w:val="en-US" w:eastAsia="en-US" w:bidi="ar-SA"/>
        </w:rPr>
        <w:t xml:space="preserve"> at 254 (C.A.); </w:t>
      </w:r>
      <w:r>
        <w:rPr>
          <w:rFonts w:ascii="arial" w:eastAsia="arial" w:hAnsi="arial" w:cs="arial"/>
          <w:i/>
          <w:color w:val="000000"/>
          <w:sz w:val="20"/>
          <w:lang w:val="en-US" w:eastAsia="en-US" w:bidi="ar-SA"/>
        </w:rPr>
        <w:t>Can-Dive Services Ltd. v. Pacific Coast Energy Corp</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(1994), 100 B.C.L.R. (2d) 356</w:t>
        </w:r>
      </w:hyperlink>
      <w:r>
        <w:rPr>
          <w:rFonts w:ascii="arial" w:eastAsia="arial" w:hAnsi="arial" w:cs="arial"/>
          <w:color w:val="000000"/>
          <w:sz w:val="20"/>
          <w:lang w:val="en-US" w:eastAsia="en-US" w:bidi="ar-SA"/>
        </w:rPr>
        <w:t xml:space="preserve"> at paras. 32-35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is also clear, based on Mr. Robinson's evidence, that s. 42(2)(b) is satisfied as it was in "the usual and ordinary course" of ProTrans' business to "record in that document [the Control-Room Log Entry] a statement of the fact at the time it occurred or within a reasonable time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evidence of Mr. Robinson establishes that the Control-Room Log Entry would have been produced at the time that Ms. Laeeq called into the control room for assistance for Mr. Mohamed or immediately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 am also satisfied that s. 42(4) is not engaged. All calls relevant to all incidents of all kinds at all stations are entered into the control-room log. These entries, when made, are not made to advance an "investigation or inquiry" as those words have been interpreted; see e.g. </w:t>
      </w:r>
      <w:r>
        <w:rPr>
          <w:rFonts w:ascii="arial" w:eastAsia="arial" w:hAnsi="arial" w:cs="arial"/>
          <w:i/>
          <w:color w:val="000000"/>
          <w:sz w:val="20"/>
          <w:lang w:val="en-US" w:eastAsia="en-US" w:bidi="ar-SA"/>
        </w:rPr>
        <w:t>R. v. McLarty (No. 3)</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(1978), 45 C.C.C. (2d) 184</w:t>
        </w:r>
      </w:hyperlink>
      <w:r>
        <w:rPr>
          <w:rFonts w:ascii="arial" w:eastAsia="arial" w:hAnsi="arial" w:cs="arial"/>
          <w:color w:val="000000"/>
          <w:sz w:val="20"/>
          <w:lang w:val="en-US" w:eastAsia="en-US" w:bidi="ar-SA"/>
        </w:rPr>
        <w:t xml:space="preserve"> at 186-187 (Ont. Co. Ct.); </w:t>
      </w:r>
      <w:r>
        <w:rPr>
          <w:rFonts w:ascii="arial" w:eastAsia="arial" w:hAnsi="arial" w:cs="arial"/>
          <w:i/>
          <w:color w:val="000000"/>
          <w:sz w:val="20"/>
          <w:lang w:val="en-US" w:eastAsia="en-US" w:bidi="ar-SA"/>
        </w:rPr>
        <w:t>R. v. Sunila</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(1986), 26 C.C.C. (3d) 331</w:t>
        </w:r>
      </w:hyperlink>
      <w:r>
        <w:rPr>
          <w:rFonts w:ascii="arial" w:eastAsia="arial" w:hAnsi="arial" w:cs="arial"/>
          <w:color w:val="000000"/>
          <w:sz w:val="20"/>
          <w:lang w:val="en-US" w:eastAsia="en-US" w:bidi="ar-SA"/>
        </w:rPr>
        <w:t xml:space="preserve"> at 335 (N.S.S.C.). Instead, the entries made in the control-room log, including the Control-Room Log Entry, were made to satisfy the various ISO and BCSA criteria that ProTrans is required to adhere to and to allow for the ongoing evolution and improvement of the safety standards within its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addition, the Excel Log I was shown for July 17, 2010, reveals both the wide variety of issues and the number of such issues that are raised in a single day. All such events have a control-room log entry made in relation to them. Inevitably, some modest subset of this body of information and of these records may become relevant and/or may be relied on if an action is commenced in relation to a particular incident or accident. This does not, however, detract from the reliability or trustworthiness of such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Ares v. Venner</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[1970] S.C.R. 608</w:t>
        </w:r>
      </w:hyperlink>
      <w:r>
        <w:rPr>
          <w:rFonts w:ascii="arial" w:eastAsia="arial" w:hAnsi="arial" w:cs="arial"/>
          <w:color w:val="000000"/>
          <w:sz w:val="20"/>
          <w:lang w:val="en-US" w:eastAsia="en-US" w:bidi="ar-SA"/>
        </w:rPr>
        <w:t xml:space="preserve"> at 625-626, Hall J., for the Court, addressed the admissibility of certain nurses' notes in a patient's charts. Such entries were viewed as routine and as necessary. Often, the court recognized, the person making such entries cannot be called upon to recollect a particular entry made years earlier. Nevertheless, such records are admitted 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proof of the facts stated within them. This is so notwithstanding the fact that some modest subset of such medical records may become relevant, at some point, in particular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One last point arises. It is not entirely clear who, specifically, made the Control-Room Log Entry. I do not consider that this matters. Mr. Robinson fully described the purpose for these log entries, the means by which they are created and the timing that underlies their creation. It is also clear that the person who "bookmarked" Mr. Mohamed's fall would have had "first-hand knowledge" of that entry in the sense that he or she would have reviewed the relevant video footage in order to place the "bookmark" and to fix the time of the incident. The fact that some other person may thereafter have copied the entry into the log does not detract from its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 consider that these considerations and evidence, together with the other matters I have addressed, satisfy the requirements of s. 42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and that the Control-Room Log Entry is admissible as a business record.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vi) The Control-Room Oral Communication to Ms. Laeeq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defendants argue that the Control-Room Oral Communication to Ms. Laeeq, which advised her that Mr. Mohamed had fallen on the stairs, rather than the escalator, is admissible for the truth of its contents either as a common-law oral business record or under the principled exception to the hearsay rule as developed in </w:t>
      </w:r>
      <w:r>
        <w:rPr>
          <w:rFonts w:ascii="arial" w:eastAsia="arial" w:hAnsi="arial" w:cs="arial"/>
          <w:i/>
          <w:color w:val="000000"/>
          <w:sz w:val="20"/>
          <w:lang w:val="en-US" w:eastAsia="en-US" w:bidi="ar-SA"/>
        </w:rPr>
        <w:t>R. v. Khan</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[1990] 2 S.C.R. 531</w:t>
        </w:r>
      </w:hyperlink>
      <w:r>
        <w:rPr>
          <w:rFonts w:ascii="arial" w:eastAsia="arial" w:hAnsi="arial" w:cs="arial"/>
          <w:color w:val="000000"/>
          <w:sz w:val="20"/>
          <w:lang w:val="en-US" w:eastAsia="en-US" w:bidi="ar-SA"/>
        </w:rPr>
        <w:t xml:space="preserve"> at 542, and </w:t>
      </w:r>
      <w:r>
        <w:rPr>
          <w:rFonts w:ascii="arial" w:eastAsia="arial" w:hAnsi="arial" w:cs="arial"/>
          <w:i/>
          <w:color w:val="000000"/>
          <w:sz w:val="20"/>
          <w:lang w:val="en-US" w:eastAsia="en-US" w:bidi="ar-SA"/>
        </w:rPr>
        <w:t>R. v. Khelawon</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2006 SCC 57</w:t>
        </w:r>
      </w:hyperlink>
      <w:r>
        <w:rPr>
          <w:rFonts w:ascii="arial" w:eastAsia="arial" w:hAnsi="arial" w:cs="arial"/>
          <w:color w:val="000000"/>
          <w:sz w:val="20"/>
          <w:lang w:val="en-US" w:eastAsia="en-US" w:bidi="ar-SA"/>
        </w:rPr>
        <w:t xml:space="preserve"> at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motivation and underlying basis for the common-law admissibility of business records and declarations made in the course of duty are similar, but not identical, to those underlying the statutory business record provisions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that I have already addressed; </w:t>
      </w:r>
      <w:r>
        <w:rPr>
          <w:rFonts w:ascii="arial" w:eastAsia="arial" w:hAnsi="arial" w:cs="arial"/>
          <w:i/>
          <w:color w:val="000000"/>
          <w:sz w:val="20"/>
          <w:lang w:val="en-US" w:eastAsia="en-US" w:bidi="ar-SA"/>
        </w:rPr>
        <w:t>Ares</w:t>
      </w:r>
      <w:r>
        <w:rPr>
          <w:rFonts w:ascii="arial" w:eastAsia="arial" w:hAnsi="arial" w:cs="arial"/>
          <w:color w:val="000000"/>
          <w:sz w:val="20"/>
          <w:lang w:val="en-US" w:eastAsia="en-US" w:bidi="ar-SA"/>
        </w:rPr>
        <w:t xml:space="preserve"> at 626; </w:t>
      </w:r>
      <w:r>
        <w:rPr>
          <w:rFonts w:ascii="arial" w:eastAsia="arial" w:hAnsi="arial" w:cs="arial"/>
          <w:i/>
          <w:color w:val="000000"/>
          <w:sz w:val="20"/>
          <w:lang w:val="en-US" w:eastAsia="en-US" w:bidi="ar-SA"/>
        </w:rPr>
        <w:t>Desharnais v. Parkhurst</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2013 BCCA 113</w:t>
        </w:r>
      </w:hyperlink>
      <w:r>
        <w:rPr>
          <w:rFonts w:ascii="arial" w:eastAsia="arial" w:hAnsi="arial" w:cs="arial"/>
          <w:color w:val="000000"/>
          <w:sz w:val="20"/>
          <w:lang w:val="en-US" w:eastAsia="en-US" w:bidi="ar-SA"/>
        </w:rPr>
        <w:t xml:space="preserve"> at para.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 key difference is that s. 42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addresses the admissibility of "documents" that record or store information and so does not apply to oral statements. In contrast, the common-law exception for records or declarations made in the course of duty extends to oral declarations; David M. Paciocco and Lee Stuesser, </w:t>
      </w:r>
      <w:r>
        <w:rPr>
          <w:rFonts w:ascii="arial" w:eastAsia="arial" w:hAnsi="arial" w:cs="arial"/>
          <w:i/>
          <w:color w:val="000000"/>
          <w:sz w:val="20"/>
          <w:lang w:val="en-US" w:eastAsia="en-US" w:bidi="ar-SA"/>
        </w:rPr>
        <w:t>The Law of Evidence</w:t>
      </w:r>
      <w:r>
        <w:rPr>
          <w:rFonts w:ascii="arial" w:eastAsia="arial" w:hAnsi="arial" w:cs="arial"/>
          <w:color w:val="000000"/>
          <w:sz w:val="20"/>
          <w:lang w:val="en-US" w:eastAsia="en-US" w:bidi="ar-SA"/>
        </w:rPr>
        <w:t>, 7th ed. (Toronto: Irwin Law, 2015) at 181; Sopinka at para. 6.199.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While both the Paciocco and Sopinka texts are clear and have been recently re-stated on this point in cases including </w:t>
      </w:r>
      <w:r>
        <w:rPr>
          <w:rFonts w:ascii="arial" w:eastAsia="arial" w:hAnsi="arial" w:cs="arial"/>
          <w:i/>
          <w:color w:val="000000"/>
          <w:sz w:val="20"/>
          <w:lang w:val="en-US" w:eastAsia="en-US" w:bidi="ar-SA"/>
        </w:rPr>
        <w:t>Hollowcore v. Visocchi</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2014 ONSC 6802</w:t>
        </w:r>
      </w:hyperlink>
      <w:r>
        <w:rPr>
          <w:rFonts w:ascii="arial" w:eastAsia="arial" w:hAnsi="arial" w:cs="arial"/>
          <w:color w:val="000000"/>
          <w:sz w:val="20"/>
          <w:lang w:val="en-US" w:eastAsia="en-US" w:bidi="ar-SA"/>
        </w:rPr>
        <w:t xml:space="preserve"> at para. 145, and </w:t>
      </w:r>
      <w:r>
        <w:rPr>
          <w:rFonts w:ascii="arial" w:eastAsia="arial" w:hAnsi="arial" w:cs="arial"/>
          <w:i/>
          <w:color w:val="000000"/>
          <w:sz w:val="20"/>
          <w:lang w:val="en-US" w:eastAsia="en-US" w:bidi="ar-SA"/>
        </w:rPr>
        <w:t>Bezanson v. Sun Life Assurance Company</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2015 NSSC 1</w:t>
        </w:r>
      </w:hyperlink>
      <w:r>
        <w:rPr>
          <w:rFonts w:ascii="arial" w:eastAsia="arial" w:hAnsi="arial" w:cs="arial"/>
          <w:color w:val="000000"/>
          <w:sz w:val="20"/>
          <w:lang w:val="en-US" w:eastAsia="en-US" w:bidi="ar-SA"/>
        </w:rPr>
        <w:t xml:space="preserve"> at para. 17, there appear to be few cases that have been called upon to apply this hearsay exception to a factual scenario involving the admissibility of oral reports made in the course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West</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[2001] O.J. No. 3413</w:t>
        </w:r>
      </w:hyperlink>
      <w:r>
        <w:rPr>
          <w:rFonts w:ascii="arial" w:eastAsia="arial" w:hAnsi="arial" w:cs="arial"/>
          <w:color w:val="000000"/>
          <w:sz w:val="20"/>
          <w:lang w:val="en-US" w:eastAsia="en-US" w:bidi="ar-SA"/>
        </w:rPr>
        <w:t xml:space="preserve"> (S.C.), Hill J. considered the admissibility of a written forensic report authored by a deceased biologist. Hill J.'s comment on the admissibility of an earlier oral report is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Indeed, Mr. Pinto's oral report of findings to the police, provided months prior to creation of the report, discharged his duty to inform the party submitting exhibits to the CFS for testing. This act was itself a declaration in the course of duty. Only through timely reporting of CFS biologists to the police, without awaiting submission of a final and formal report, could the investigative process function in an effective manner in circumstances of urgency.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In this case, on the evidence, Mr. Pinto made statements in laboratory work sheets and reported orally to investigators in a contemporaneous fashion. This discharged his duty of reporting in a timely way by way of declarations in the course of duty. As such, the notes and oral report would, in my view, themselves be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Palter Cap Co. Ltd. v. Great West Life Assurance Co.</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[1936] O.R. 341</w:t>
        </w:r>
      </w:hyperlink>
      <w:r>
        <w:rPr>
          <w:rFonts w:ascii="arial" w:eastAsia="arial" w:hAnsi="arial" w:cs="arial"/>
          <w:color w:val="000000"/>
          <w:sz w:val="20"/>
          <w:lang w:val="en-US" w:eastAsia="en-US" w:bidi="ar-SA"/>
        </w:rPr>
        <w:t xml:space="preserve"> (C.A.), the court considered the admissibility of the written contents of a medical file under the declaration in the course of duty exception. Of relevance is Macdonnell J.A.'s summary of some of the older authorities in his concurring decision at 369: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we go further and specifically consider oral as contrasted with written declarations, the statement of Blackburn J., with the word "report" interpreted as meaning either an oral or a written report, is of necessity to be preferred; for we know that in proper circumstances oral declarations made in the course of duty are admissible. In </w:t>
      </w:r>
      <w:r>
        <w:rPr>
          <w:rFonts w:ascii="arial" w:eastAsia="arial" w:hAnsi="arial" w:cs="arial"/>
          <w:i/>
          <w:color w:val="000000"/>
          <w:sz w:val="20"/>
          <w:lang w:val="en-US" w:eastAsia="en-US" w:bidi="ar-SA"/>
        </w:rPr>
        <w:t>The Sussex Peerage</w:t>
      </w:r>
      <w:r>
        <w:rPr>
          <w:rFonts w:ascii="arial" w:eastAsia="arial" w:hAnsi="arial" w:cs="arial"/>
          <w:color w:val="000000"/>
          <w:sz w:val="20"/>
          <w:lang w:val="en-US" w:eastAsia="en-US" w:bidi="ar-SA"/>
        </w:rPr>
        <w:t xml:space="preserve"> case (1844), 11 Cl. &amp; F. 85, at p. 113, Lord Campbell says: "By the law of England the declarations of deceased persons are not generally admissible, unless they are against the pecuniary interest of the party making them. There are two exceptions: first, where a declaration by word of mouth or by writing is made in the course of the business of the individual making it." In </w:t>
      </w:r>
      <w:r>
        <w:rPr>
          <w:rFonts w:ascii="arial" w:eastAsia="arial" w:hAnsi="arial" w:cs="arial"/>
          <w:i/>
          <w:color w:val="000000"/>
          <w:sz w:val="20"/>
          <w:lang w:val="en-US" w:eastAsia="en-US" w:bidi="ar-SA"/>
        </w:rPr>
        <w:t>Reg. v. Buckley</w:t>
      </w:r>
      <w:r>
        <w:rPr>
          <w:rFonts w:ascii="arial" w:eastAsia="arial" w:hAnsi="arial" w:cs="arial"/>
          <w:color w:val="000000"/>
          <w:sz w:val="20"/>
          <w:lang w:val="en-US" w:eastAsia="en-US" w:bidi="ar-SA"/>
        </w:rPr>
        <w:t xml:space="preserve"> (1873), 13 Cox C.C. 293, the oral report of a police constable to his inspector was admitted. And Halsbury, 2nd ed., vol. 13, at p. 591, dealing with declarations in the course of duty, says "it is immaterial whether the statements sought to be proved were made orally or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contrast, in </w:t>
      </w:r>
      <w:r>
        <w:rPr>
          <w:rFonts w:ascii="arial" w:eastAsia="arial" w:hAnsi="arial" w:cs="arial"/>
          <w:i/>
          <w:color w:val="000000"/>
          <w:sz w:val="20"/>
          <w:lang w:val="en-US" w:eastAsia="en-US" w:bidi="ar-SA"/>
        </w:rPr>
        <w:t>R. v. Delaronde</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2003 BCPC 502</w:t>
        </w:r>
      </w:hyperlink>
      <w:r>
        <w:rPr>
          <w:rFonts w:ascii="arial" w:eastAsia="arial" w:hAnsi="arial" w:cs="arial"/>
          <w:color w:val="000000"/>
          <w:sz w:val="20"/>
          <w:lang w:val="en-US" w:eastAsia="en-US" w:bidi="ar-SA"/>
        </w:rPr>
        <w:t xml:space="preserve"> at para. 8, the court ruled that oral statements made by a pathologist in the course of an autopsy were inadmissible on the basis that the court was not aware of a case supporting that proposition and on the basis that both </w:t>
      </w:r>
      <w:r>
        <w:rPr>
          <w:rFonts w:ascii="arial" w:eastAsia="arial" w:hAnsi="arial" w:cs="arial"/>
          <w:i/>
          <w:color w:val="000000"/>
          <w:sz w:val="20"/>
          <w:lang w:val="en-US" w:eastAsia="en-US" w:bidi="ar-SA"/>
        </w:rPr>
        <w:t>Ares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Larson</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2003 BCCA 18</w:t>
        </w:r>
      </w:hyperlink>
      <w:r>
        <w:rPr>
          <w:rFonts w:ascii="arial" w:eastAsia="arial" w:hAnsi="arial" w:cs="arial"/>
          <w:color w:val="000000"/>
          <w:sz w:val="20"/>
          <w:lang w:val="en-US" w:eastAsia="en-US" w:bidi="ar-SA"/>
        </w:rPr>
        <w:t xml:space="preserve"> at para. 13 considered and described written records. With respect, I do not find the analysis in </w:t>
      </w:r>
      <w:r>
        <w:rPr>
          <w:rFonts w:ascii="arial" w:eastAsia="arial" w:hAnsi="arial" w:cs="arial"/>
          <w:i/>
          <w:color w:val="000000"/>
          <w:sz w:val="20"/>
          <w:lang w:val="en-US" w:eastAsia="en-US" w:bidi="ar-SA"/>
        </w:rPr>
        <w:t>Delaronde</w:t>
      </w:r>
      <w:r>
        <w:rPr>
          <w:rFonts w:ascii="arial" w:eastAsia="arial" w:hAnsi="arial" w:cs="arial"/>
          <w:color w:val="000000"/>
          <w:sz w:val="20"/>
          <w:lang w:val="en-US" w:eastAsia="en-US" w:bidi="ar-SA"/>
        </w:rPr>
        <w:t xml:space="preserve"> persuasive. It appears that the attention of that court was not drawn to authorities such as those I have identified above. Further, I do not consider that the expression of the rule, in the context of the documentary evidence before the courts in </w:t>
      </w:r>
      <w:r>
        <w:rPr>
          <w:rFonts w:ascii="arial" w:eastAsia="arial" w:hAnsi="arial" w:cs="arial"/>
          <w:i/>
          <w:color w:val="000000"/>
          <w:sz w:val="20"/>
          <w:lang w:val="en-US" w:eastAsia="en-US" w:bidi="ar-SA"/>
        </w:rPr>
        <w:t>Ares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Larson,</w:t>
      </w:r>
      <w:r>
        <w:rPr>
          <w:rFonts w:ascii="arial" w:eastAsia="arial" w:hAnsi="arial" w:cs="arial"/>
          <w:color w:val="000000"/>
          <w:sz w:val="20"/>
          <w:lang w:val="en-US" w:eastAsia="en-US" w:bidi="ar-SA"/>
        </w:rPr>
        <w:t xml:space="preserve"> gives rise to a persuasive reason to deviate from the long-standing common-law that is relevant to oral reports made in the course of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Further, the continued application of the declarations made in the course of duty exception to oral reports is consistent with the underlying principles of reliability and necessity, as must be the case; </w:t>
      </w:r>
      <w:r>
        <w:rPr>
          <w:rFonts w:ascii="arial" w:eastAsia="arial" w:hAnsi="arial" w:cs="arial"/>
          <w:i/>
          <w:color w:val="000000"/>
          <w:sz w:val="20"/>
          <w:lang w:val="en-US" w:eastAsia="en-US" w:bidi="ar-SA"/>
        </w:rPr>
        <w:t>R. v. Starr</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2000 SCC 40</w:t>
        </w:r>
      </w:hyperlink>
      <w:r>
        <w:rPr>
          <w:rFonts w:ascii="arial" w:eastAsia="arial" w:hAnsi="arial" w:cs="arial"/>
          <w:color w:val="000000"/>
          <w:sz w:val="20"/>
          <w:lang w:val="en-US" w:eastAsia="en-US" w:bidi="ar-SA"/>
        </w:rPr>
        <w:t xml:space="preserve"> at paras. 200-201.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authors of the Paciocco text at 179, describe the salient requirements of the declarations made in the course of duty exception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Declarations, oral or written, are admissible for their truth where (1) made reasonably contemporaneously; (2) in the ordinary course of duty; (3) by persons having personal knowledge of the matters; (4) who are under a duty to make the record or report; and (5) there is no motive to misrepresent the matters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These factors tend to increase the reliability of the statement at issue; </w:t>
      </w:r>
      <w:r>
        <w:rPr>
          <w:rFonts w:ascii="arial" w:eastAsia="arial" w:hAnsi="arial" w:cs="arial"/>
          <w:i/>
          <w:color w:val="000000"/>
          <w:sz w:val="20"/>
          <w:lang w:val="en-US" w:eastAsia="en-US" w:bidi="ar-SA"/>
        </w:rPr>
        <w:t>Hollowcore</w:t>
      </w:r>
      <w:r>
        <w:rPr>
          <w:rFonts w:ascii="arial" w:eastAsia="arial" w:hAnsi="arial" w:cs="arial"/>
          <w:color w:val="000000"/>
          <w:sz w:val="20"/>
          <w:lang w:val="en-US" w:eastAsia="en-US" w:bidi="ar-SA"/>
        </w:rPr>
        <w:t xml:space="preserve"> at para. 150. I consider that this is so regardless of whether the statement was made orally or in writing. Where the original statement was made orally, the subsequent reliability of the witnesses' recollection of that statement does not raise hearsay concerns as that recollection can be tested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regards to necessity, Nolan J. summarized the appropriate business context approach in </w:t>
      </w:r>
      <w:r>
        <w:rPr>
          <w:rFonts w:ascii="arial" w:eastAsia="arial" w:hAnsi="arial" w:cs="arial"/>
          <w:i/>
          <w:color w:val="000000"/>
          <w:sz w:val="20"/>
          <w:lang w:val="en-US" w:eastAsia="en-US" w:bidi="ar-SA"/>
        </w:rPr>
        <w:t>Hollowcore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[172] With respect to necessity, unavailability is not a strict requirement to admitting hearsay. In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Lamer C.J. held that it also relates to expediency or convenience. In </w:t>
      </w:r>
      <w:r>
        <w:rPr>
          <w:rFonts w:ascii="arial" w:eastAsia="arial" w:hAnsi="arial" w:cs="arial"/>
          <w:i/>
          <w:color w:val="000000"/>
          <w:sz w:val="20"/>
          <w:lang w:val="en-US" w:eastAsia="en-US" w:bidi="ar-SA"/>
        </w:rPr>
        <w:t>R. v. L.(C.)</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[1999] O.J. No. 3268</w:t>
        </w:r>
      </w:hyperlink>
      <w:r>
        <w:rPr>
          <w:rFonts w:ascii="arial" w:eastAsia="arial" w:hAnsi="arial" w:cs="arial"/>
          <w:color w:val="000000"/>
          <w:sz w:val="20"/>
          <w:lang w:val="en-US" w:eastAsia="en-US" w:bidi="ar-SA"/>
        </w:rPr>
        <w:t xml:space="preserve"> the court held that calling the doctor who had authored a letter to an abortion clinic regarding paternity a number of years earlier would be unrealistic because it was such a routine letter that the doctor would be unlikely to remember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note that, in this case, however, Ms. Laeeq did not recall the specific male individual in the control room that she spoke to when she called back, nor is there any record of who that individual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rule's requirement that a declaration be made in the ordinary course of duty by a person under the duty to make the record or report is consistent with the fact that business reports, such as the nurses' notes discussed above, are often of a routine nature and do not lend themselves to detailed recollection. The exception is in line with the principle of necessity, and I do not consider that there is a principled reason to distinguish between statements made orally and those made in writing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Turning to the application of the exception as summarized in the Paciocco text to the facts of this case, the various requirements of the common-law rule relating to the admissibility of declarations in the course of duty are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call Ms. Laeeq received from the control room was made reasonably contemporaneously with her report of Mr. Mohamed's fall. Based on Ms. Laeeq's evidence, likely no more than 20-25 minutes elapsed between the two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Based on the evidence of Mr. Robinson, operators in the control room are, when they receive a report of an incident, under a duty to bring up the relevant video recordings, to "bookmark" those recordings, and to interact with SkyTrain attendant who called in the incident. The relevant operator would, based on his or her review of the relevant video footage, have personal knowledge of what had occurred or of how Mr. Mohamed had fallen. The subsequent communication or report of what the operator had viewed on the video footage would not, again, be hearsay. There is also no need to identify the specific person who made the record or, in this case, the report back to Ms. Laeeq; see e.g. </w:t>
      </w:r>
      <w:r>
        <w:rPr>
          <w:rFonts w:ascii="arial" w:eastAsia="arial" w:hAnsi="arial" w:cs="arial"/>
          <w:i/>
          <w:color w:val="000000"/>
          <w:sz w:val="20"/>
          <w:lang w:val="en-US" w:eastAsia="en-US" w:bidi="ar-SA"/>
        </w:rPr>
        <w:t>Trang v. Alberta</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2006 ABQB 824</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Next, though this aspect of the requirements I have identified was developed least fully in the evidence, I am satisfied that the operator who later called Ms. Laeeq back was under a duty to call her and to report what he had witnessed in the video footage.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interaction of these various actors is part of a coherent and integrated set of obligations. The Canada Line attendant is required to call in and to make a record of an incident. The operators in the control room are required to note, bookmark, and log the incident in the way I have described. They are also required to contact the Canada Line attendant in the event that further action is required. In this case, no such action was required and Ms. Laeeq was, in a sense, advised of that fact. The "bookmarked" event and the Canada Line attendant's report are also, where appropriate, reviewed the next day by one of two HSQE coordinators for further consideration and for further report. In this case, Ms. Martin was the person who was delegated these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Finally, I am satisfied that there was no motive, for the operator who called Ms. Laeeq, to misrepresent the matters he reported or had witnessed from a camera. The incident was, in the scheme of matters, relatively modest and quite common. It was the very type of matter that an operator in the control room might deal with multiple times each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am, therefore, satisfied that the constituent elements for the common-law "declaration in the course of duty" exception are made out and that the Control-Room Oral Communication to Ms. Laeeq is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Mohamed's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earlier described Mr. Mohamed's oral evidence. While the defendants do not say that Mr. Mohamed is dishonest, they do say he is a poor historian. I agree with that description for many reasons. Some of these reasons pertain directly to the evidence he gave about his fall at the Aberdeen Station. Others pertain to his evidence more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Though there are numerous examples of such difficulties, a few examples will suffice.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Mohamed described, at some length, how he hit his head on the escalator when he fell. He was adamant that he had sustained an injury to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However, it is clear that Mr. Mohamed did not suffer a head injury. Ms. Laeeq said that when she attended to him she expressly asked him if he had suffered any injury apart from his knee injury. She was told by him that he had not. Such a question is a standard and common-sense question that Canada Line attendants are trained to ask of all passengers who are injured. The Laeeq Report is consistent with her having asked the question and with her evidence of Mr. Mohamed's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Similarly, there is no reference in either the EHS or the Richmond Hospital records to Mr. Mohamed having suffered a head injury. Still further, Dr. Chao, Mr. Mohamed's family physician, who Mr. Mohamed visited shortly after his fall, said that Mr. Mohamed never reported having suffered a head injury arising from his fall at the SkyTrain station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Mohamed also reported, for example, that after he fell, he yelled for help at different times, started to hop down the stairs, saw a Canada Line attendant at the bottom of the stairs when he was partway down and asked her for help. She then went to call for an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It is patent that this aspect of Mr. Mohamed's evidence is also inaccurate. It is admitted, in a notice to admit, that Mr. Mohamed was sitting on a bench outside of the station when he saw and then asked Ms. Laeeq for assistance. Ms. Laeeq also testified that had Mr. Mohamed called for help, she believed she would have heard him, and she said that he had been sitting on the bench for some minutes before he waved her over. Ms. Laeeq's timeline is supported by the evidence and records I have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Another relevant area of difficulty pertains to whether Mr. Mohamed, who admits to having had two beer that afternoon or evening, had also taken prescription medication. His discovery evidence suggested that he had. Mr. Mohamed's evidence at trial was that he had not, though that evidence was confused and his explanation for the disparities in his evidence was not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Yet another example of difficulty with Mr. Mohamed's recollection arises from his description of his improving condition after the 2006 Accident and, in particular, in the period shortly before his fall at the Aberdeen Station. In particular, in his direct evidence, he described how he had been doing volunteer work in that period of time with the hope of perhaps finding some sort of casual and not terribly-demanding work. His cross-examination, and further reference to various records, revealed that his efforts at volunteer work were, in fact, very short-lived and problematic in numerous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Apart from these specific examples of difficulty with Mr. Mohamed's evidence, I would also describe him as a poor witness. He was prone to over-statement. He would not yield when it was clear that he was mistaken but sought, instead, to explain his answers with still less plausible and more strained explanations.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Having said this, and though I do not accept Mr. Mohamed's evidence, I do not consider that he is lying when he said that he fell on the escalator at the Aberdeen Station. This evidence is consistent with his first description of how he was injured. It is what he first communicated to Ms. Laeeq, at a time when he made no reference to a sign having misled him, and when he was simply communicating that he had had an accident by trying to step on an escalator that was ascending when he believed it would lead him out of the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Counsel for Mr. Mohamed argues, in a related vein, that the various notes in the EHS records and in the Richmond Hospital records, which simply record that Mr. Mohamed fell on an "escalator", should be admitted for the truth of their contents. I note that while </w:t>
      </w:r>
      <w:r>
        <w:rPr>
          <w:rFonts w:ascii="arial" w:eastAsia="arial" w:hAnsi="arial" w:cs="arial"/>
          <w:i/>
          <w:color w:val="000000"/>
          <w:sz w:val="20"/>
          <w:lang w:val="en-US" w:eastAsia="en-US" w:bidi="ar-SA"/>
        </w:rPr>
        <w:t>Ares</w:t>
      </w:r>
      <w:r>
        <w:rPr>
          <w:rFonts w:ascii="arial" w:eastAsia="arial" w:hAnsi="arial" w:cs="arial"/>
          <w:color w:val="000000"/>
          <w:sz w:val="20"/>
          <w:lang w:val="en-US" w:eastAsia="en-US" w:bidi="ar-SA"/>
        </w:rPr>
        <w:t xml:space="preserve"> accepted the admissibility of medical records as a form of business records, patient-made statements recorded in clinical notes are not admissible under that rule; </w:t>
      </w:r>
      <w:r>
        <w:rPr>
          <w:rFonts w:ascii="arial" w:eastAsia="arial" w:hAnsi="arial" w:cs="arial"/>
          <w:i/>
          <w:color w:val="000000"/>
          <w:sz w:val="20"/>
          <w:lang w:val="en-US" w:eastAsia="en-US" w:bidi="ar-SA"/>
        </w:rPr>
        <w:t>Seaman v. Crook</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2003 BCSC 464</w:t>
        </w:r>
      </w:hyperlink>
      <w:r>
        <w:rPr>
          <w:rFonts w:ascii="arial" w:eastAsia="arial" w:hAnsi="arial" w:cs="arial"/>
          <w:color w:val="000000"/>
          <w:sz w:val="20"/>
          <w:lang w:val="en-US" w:eastAsia="en-US" w:bidi="ar-SA"/>
        </w:rPr>
        <w:t xml:space="preserve"> at para. 14. Instead, counsel for Mr. Mohamed argues that, in this case, these statements reflect spontaneous statements by Mr. Mohamed and, as such, they constitute a recognized exception to the hearsay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authors of the </w:t>
      </w:r>
      <w:r>
        <w:rPr>
          <w:rFonts w:ascii="arial" w:eastAsia="arial" w:hAnsi="arial" w:cs="arial"/>
          <w:i/>
          <w:color w:val="000000"/>
          <w:sz w:val="20"/>
          <w:lang w:val="en-US" w:eastAsia="en-US" w:bidi="ar-SA"/>
        </w:rPr>
        <w:t>Paciocco</w:t>
      </w:r>
      <w:r>
        <w:rPr>
          <w:rFonts w:ascii="arial" w:eastAsia="arial" w:hAnsi="arial" w:cs="arial"/>
          <w:color w:val="000000"/>
          <w:sz w:val="20"/>
          <w:lang w:val="en-US" w:eastAsia="en-US" w:bidi="ar-SA"/>
        </w:rPr>
        <w:t xml:space="preserve"> text explain that such statements are admissible because their "reliability is founded on the </w:t>
      </w:r>
      <w:r>
        <w:rPr>
          <w:rFonts w:ascii="arial" w:eastAsia="arial" w:hAnsi="arial" w:cs="arial"/>
          <w:i/>
          <w:color w:val="000000"/>
          <w:sz w:val="20"/>
          <w:lang w:val="en-US" w:eastAsia="en-US" w:bidi="ar-SA"/>
        </w:rPr>
        <w:t>spontaneous</w:t>
      </w:r>
      <w:r>
        <w:rPr>
          <w:rFonts w:ascii="arial" w:eastAsia="arial" w:hAnsi="arial" w:cs="arial"/>
          <w:color w:val="000000"/>
          <w:sz w:val="20"/>
          <w:lang w:val="en-US" w:eastAsia="en-US" w:bidi="ar-SA"/>
        </w:rPr>
        <w:t xml:space="preserve"> making of the statement before there is time for concoction. Necessity is based on expediency, 'in the sense that there is no other equally-satisfactory source of evidence either from the same person or elsewhere'"; at 186-187 (footnote omitted). The authors further confirm that a declarant (here Mr. Mohamed), may testify and that the spontaneous statement may also be admissible into evidence; at 187.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There are several categories of spontaneous statement. The most fitting, in this case, is the "excited utterance" classification. This category captures statements that are made by a declarant in circumstances where "the declarant is under the stress of excitement caused by the event or condition"; </w:t>
      </w:r>
      <w:r>
        <w:rPr>
          <w:rFonts w:ascii="arial" w:eastAsia="arial" w:hAnsi="arial" w:cs="arial"/>
          <w:i/>
          <w:color w:val="000000"/>
          <w:sz w:val="20"/>
          <w:lang w:val="en-US" w:eastAsia="en-US" w:bidi="ar-SA"/>
        </w:rPr>
        <w:t>Paciocco</w:t>
      </w:r>
      <w:r>
        <w:rPr>
          <w:rFonts w:ascii="arial" w:eastAsia="arial" w:hAnsi="arial" w:cs="arial"/>
          <w:color w:val="000000"/>
          <w:sz w:val="20"/>
          <w:lang w:val="en-US" w:eastAsia="en-US" w:bidi="ar-SA"/>
        </w:rPr>
        <w:t xml:space="preserve"> at 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Andrews</w:t>
      </w:r>
      <w:r>
        <w:rPr>
          <w:rFonts w:ascii="arial" w:eastAsia="arial" w:hAnsi="arial" w:cs="arial"/>
          <w:color w:val="000000"/>
          <w:sz w:val="20"/>
          <w:lang w:val="en-US" w:eastAsia="en-US" w:bidi="ar-SA"/>
        </w:rPr>
        <w:t>, [1987] 1 A.C. 281 at 300-301, the House of Lords developed the following relevant guidelines:</w:t>
      </w:r>
      <w:r>
        <w:rPr>
          <w:rFonts w:ascii="arial" w:eastAsia="arial" w:hAnsi="arial" w:cs="arial"/>
          <w:sz w:val="20"/>
          <w:lang w:val="en-US" w:eastAsia="en-US" w:bidi="ar-SA"/>
        </w:rPr>
        <w:cr/>
      </w:r>
    </w:p>
    <w:p>
      <w:pPr>
        <w:numPr>
          <w:numId w:val="2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question which the judge must, ask himself is - can the possibility of concoction or distortion be disregarded?</w:t>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answer that question the judge must first consider the circumstances in which the particular statement was made, in order to satisfy himself that the event was so unusual or startling or dramatic as to dominate the thoughts of the victim, so that his utterance was an instinctive reaction to that event, thus giving no real opportunity for reasoned reflection. ...</w:t>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for the statement to be sufficiently "spontaneous" it must be so closely associated with the event which has excited the statement, that it can be fairly stated that the mind of the declarant was still dominated by the event. Thus the judge must be satisfied that the event, which provided the trigger mechanism for the statement, was stilI operative. The fact that the statement was made in answer to a question is but one factor to consider under this heading.</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Quite apart, from the time factor, there may be special features in the case, which relate to the possibility of concoction or distortion. ...</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the possibility of error in the facts narrated in the statement, if only the ordinary fallibility of human recollection is relied upon, this goes to the weight to be attached to and not to the admissibility of the statement and is therefore a matter for the jury. However, here again there may be special features that may give rise to the possibility of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the victim of a stabbing identified his assailants to two police officers who attended at the scene within 10 - 15 minutes of the attack. One of the officers asked how the victim had been injured and the accused was named. The statement was ruled admissible, notwithstanding the passage of time, and notwithstanding the fact that the response was elicited by the police officer's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this case, the statements made by Mr. Mohamed to Ms. Laeeq would be similar. They were statements made by Mr. Mohamed within some minutes of his falling, while he was being attended to, and in response to Ms. Laeeq's inquiries. I am satisfied that these comments are properly "spontaneous statements" and are, accordingly,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written references in the records of each of the EHS and Richmond Hospital are somewhat different. This is primarily so because in neither case is it clear that the relevant note is a communication made by Mr. Mohamed. Thus, as it pertains to the EHS records, Mr. Mohamed said that he had no memory of whether he communicated how he had fallen to the EHS officers who attended to him. Similarly, though, Ms. Laeeq did not say she told the EHS attendants how Mr. Mohamed had fallen. She did confirm that she, too, spoke briefly to those same attendants. I also observe, based on the Control-Room Log Entry, that more than 30 minutes had elapsed between when Mr. Mohamed fell and when EHS personnel arrived at the Aberdeen Station, though I do not say that this length of time, without more, would have caused me to deny the admissibility of these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Richmond Hospital records suffer from similar frailties. Mr. Mohamed again confirmed that he had no memory of what he told the nurses or other persons who attended to him at the hospital about his fall. He also said that he did not get home until five or six a.m. the next day, which means that he would have been at the hospital for about five to six hours. It is not clear when the specific records at issue were made during this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Thus, it is not clear who said what to whom at what time so as to give rise to the various records and specific entries that I was provided with. Under such circumstances, I would not admit these records and, in particular, those portions of the records that describe how Mr. Mohamed suffered his fall, as "spontaneous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am satisfied, on the whole of the evidence, that Mr. Mohamed did not attempt to use the escalator to exit the Aberdeen Station. Instead, I am satisfied that he attempted to descend the stairs, that he stumbled on those stairs, and that he thereby injured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This conclusion is based on the evidence of Ms. Martin, the Control-Room Log Entry and the Control-Room Oral Communication to Ms. Laeeq. These various pieces of evidence are coherent and consistent. The evidence of Ms. Martin is "supported" by records that were generated contemporaneously.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Mohamed's evidence, conversely, is unreliable in that it is inconsistent and inaccurate in numerous respects, many of which are material and directly relevant to the circumstances of his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Counsel for the plaintiff accepts that, if I conclude Mr. Mohamed injured himself on the stairs of the Aberdeen Station, there is no basis to impose liability 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Accordingly, the plaintiff's claim is dismissed. The defendants asked, if they were successful, to be awarded their costs and disbursements of the trial. That request was not opposed by the plaintiff. Hence, I make that order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3"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Mountainview Co-operative Housing Assn. v. Moerkerken, [2004] B.C.J. No. 469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H.J. 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S024810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469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324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B.C.L.R. (4th) 391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 C.C.L.T. (3d) 130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46 M.P.L.R. (3d) 217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595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Mountainview Co-operative Housing Association, plaintiff, and Barry Moerkerken, City of Port Moody, Wilfred D. Buttjes, R. Rapske, Wilfred Buttjes &amp; R. Rapske carrying on business as W.D. Buttjes &amp; R. Rapske Associates Architects, Tad Bukala and White Eagel Fire Prvention Services Ltd., A.W. Fireguard Supplies (1991) Ltd. and Charles Paul Wadge, defendants, and A.W. Fireguard Supplies (1991) Ltd. and Charles Paul Wade and Mary Bevan,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jc w:val="both"/>
        <w:rPr>
          <w:rFonts w:ascii="arial" w:eastAsia="arial" w:hAnsi="arial" w:cs="arial"/>
          <w:sz w:val="20"/>
          <w:lang w:val="en-US" w:eastAsia="en-US" w:bidi="ar-SA"/>
        </w:rPr>
      </w:pPr>
      <w:bookmarkStart w:id="158" w:name="Counsel_28"/>
      <w:bookmarkEnd w:id="1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4"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N.P. Kent, for the plaintiff. P.A. McDonnell, for the defendant City.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9" w:name="Judgment_28"/>
      <w:bookmarkEnd w:id="159"/>
      <w:r>
        <w:pict>
          <v:line id="_x0000_s1145" style="position:absolute;z-index:2517401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0" w:name="H.J. HOLMES J."/>
            <w:bookmarkEnd w:id="160"/>
            <w:r>
              <w:rPr>
                <w:rFonts w:ascii="arial" w:eastAsia="arial" w:hAnsi="arial" w:cs="arial"/>
                <w:b/>
                <w:color w:val="000000"/>
                <w:sz w:val="30"/>
                <w:lang w:val="en-US" w:eastAsia="en-US" w:bidi="ar-SA"/>
              </w:rPr>
              <w:t>H.J. 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 fire destroyed the plaintiff's apartment building on February 16, 2001. The claim against the defendant City of Port Moody relates to the City's role in issuing a building permit and ensuring compliance with building code requirements in 1965-1966 when the building was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question for determination is whether the plaintiff's action against the City is barred by the ultimate limitation period of 30 years in s. 8 of the Limitation Act. This turns on whether the right to bring the action arose at the time of the City's involvement in the mid-1960s or, rather, in February, 2001 when a blowtorch ignited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 recent decision of this court on almost identical facts is fatal to the City's application: 410727 B.C. Ltd. et al. v. Dayhu Investments Ltd. et al., </w:t>
      </w:r>
      <w:hyperlink r:id="rId693" w:history="1">
        <w:r>
          <w:rPr>
            <w:rFonts w:ascii="arial" w:eastAsia="arial" w:hAnsi="arial" w:cs="arial"/>
            <w:i/>
            <w:color w:val="0077CC"/>
            <w:sz w:val="20"/>
            <w:u w:val="single"/>
            <w:shd w:val="clear" w:color="auto" w:fill="FFFFFF"/>
            <w:lang w:val="en-US" w:eastAsia="en-US" w:bidi="ar-SA"/>
          </w:rPr>
          <w:t>2003 BCSC 1142</w:t>
        </w:r>
      </w:hyperlink>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[2003] B.C.J. No. 1878</w:t>
        </w:r>
      </w:hyperlink>
      <w:r>
        <w:rPr>
          <w:rFonts w:ascii="arial" w:eastAsia="arial" w:hAnsi="arial" w:cs="arial"/>
          <w:color w:val="000000"/>
          <w:sz w:val="20"/>
          <w:lang w:val="en-US" w:eastAsia="en-US" w:bidi="ar-SA"/>
        </w:rPr>
        <w:t>) (S.C.). The City submits that the decision in Dayhu Investments is wrong, and that the constraints of judicial comity do not require me to follow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three-storey multi-unit apartment building in Port Moody, B.C. was built in 1965-1966, and was acquired by the plaintiff Co-operative in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fire in February, 2001 began in the suite of one of the tenants, when the tenant had an unlicensed plumber install her washer and dryer.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statement of claim dated August 28, 2002 alleges fault on the part of four groups of defendants. The City in submissions described the defendants and the general nature of the claims as follows:</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"Plumbing Defendant" - whom it is alleged use a blow-torch to solder pipe located in concealed spaces in the wall of the building on February 16, 2001, thereby igniting the surrounding materials;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"Fire Extinguisher Defendants" - whom it is alleged failed to properly inspect, test and service the building's fire extinguishers in December, 2000;</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"Architects" - whom it is alleged failed to ensure in 1965-66, that the building was designed and constructed in accordance with the applicable Building Code requirements respecting fire prevention and retardation ("the Structural Defects");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 whom it is alleged failed in 1965-66 to ensure that the building was free of the Structural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tenants of the building brought a separate action in relation to personal property destroyed in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two actions were ordered to be tried together. A four-week trial is scheduled to begin on April 26,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All the claims are now resolved or undefended, except for the Co-operative's claim against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City applies under Rule 18A for dismissal of the Co-operative's action as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ULTIMATE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City relies on s. 8(1)(c) of the Limitation Act, which provides for an ultimate limitation period of 30 years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Subject to section 3 (4) and subsection (2) of this section but despite a confirmation made under section 5, a postponement or suspension of the running of time under section 6 or 11 (2) or a postponement or suspension of the running of time under section 7 in respect of a person who is not a minor, no action to which this Act applies may be brought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[a hospital...6 years],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[a medical practitioner... 6 years], or</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other case, after the expiration of 30 years from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It was common ground that the date on which "the right to [bring an action] arose" occurs when all the elements of the cause of action, including compensable damage arising from the breach, are in existence: Bera v. Marr </w:t>
      </w:r>
      <w:hyperlink r:id="rId694" w:history="1">
        <w:r>
          <w:rPr>
            <w:rFonts w:ascii="arial" w:eastAsia="arial" w:hAnsi="arial" w:cs="arial"/>
            <w:i/>
            <w:color w:val="0077CC"/>
            <w:sz w:val="20"/>
            <w:u w:val="single"/>
            <w:shd w:val="clear" w:color="auto" w:fill="FFFFFF"/>
            <w:lang w:val="en-US" w:eastAsia="en-US" w:bidi="ar-SA"/>
          </w:rPr>
          <w:t>(1986), 1 B.C.L.R. (2d) 1</w:t>
        </w:r>
      </w:hyperlink>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27 D.L.R. (4th) 161</w:t>
        </w:r>
      </w:hyperlink>
      <w:r>
        <w:rPr>
          <w:rFonts w:ascii="arial" w:eastAsia="arial" w:hAnsi="arial" w:cs="arial"/>
          <w:color w:val="000000"/>
          <w:sz w:val="20"/>
          <w:lang w:val="en-US" w:eastAsia="en-US" w:bidi="ar-SA"/>
        </w:rPr>
        <w:t xml:space="preserve"> (C.A.) at 23-27.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DECISION IN DAYHU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Kent for the Co-operative aptly described the facts in Dayhu Investments as uncannily similar to those here. In Dayhu Investments, the plaintiffs' apartment building design was inspected by the defendant City of Richmond in 1967 and the building was constructed in 1968. The building was substantially destroyed by a fire in January 2002, started by a plumber using an acetylene torch.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Dayhu Investments, the defendant city argued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building inspection in the 1960s gave rise to a cause of action that accrued when the apartment building was completed in a defective state, and that a new and separate cause of action could not be brought more than 30 years later in relation to that negligent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Justice Shabbits rejected that proposition, concluding at [paragraph] 27 that the plaintiffs' action was a new claim arising from an external event: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fire loss damage of 2002 was not the manifestation of a new measure of damages arising from a claim in pure economic loss for construction deficiencies, but was a new claim caused by an external event. In Cartledge, Lord Pearce said at page 350 that two separate actions could be brought, one for personal injury and one for damage to property, even though both were caused by the same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see no reason why the plaintiffs at bar could not have brought two separate actions, one for pure economic loss and the other for damage to property, (leaving aside the consideration that the first action is now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therefore determined that the ultimate limitation period did not apply to bar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told that the decision in Dayhu Investments is under appeal and likely to be heard this spring. Counsel candidly advised me that the submissions before me are substantially similar to those expected to be made to the panel hearing the Dayhu Investments appeal, and that the progress of the present matter will be closely associated with that appeal and its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DAYHU INVESTMENTS AND JUDICIAL COMITY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common ground that Dayhu Investments decided precisely the issue before me now on almost identical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importance and scope of judicial comity are expressed in Mr. Justice Wilson's well-known words in Re: Hansard Spruce Mills Limited, </w:t>
      </w:r>
      <w:hyperlink r:id="rId695"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13 W.W.R. (N.S.) 285</w:t>
        </w:r>
      </w:hyperlink>
      <w:r>
        <w:rPr>
          <w:rFonts w:ascii="arial" w:eastAsia="arial" w:hAnsi="arial" w:cs="arial"/>
          <w:color w:val="000000"/>
          <w:sz w:val="20"/>
          <w:lang w:val="en-US" w:eastAsia="en-US" w:bidi="ar-SA"/>
        </w:rPr>
        <w:t xml:space="preserve"> (B.C.S.C.) at 592: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have no power to overrule a brother Judge, I can only differ from him, and the effect of my doing so is not to settle but rather to unsettle the law, because, following such a difference of opinion, the unhappy litigant is confronted with conflicting opinions emanating from the same Court and therefore of the same legal weight.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only go against a judgment of another Judge of this Court if:</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decisions have affected the validity of the impugned judgment;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demonstrated that some binding authority in case law, or some relevant statute was not considered;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 was unconsidered, a nisi prius judgment given in circumstances familiar to all trial Judges, where the exigencies of the trial require an immediate decision without opportunity to fully consult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none of these situations exist I think a trial Judge should follow the decisions of his brother Judges.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McDonnell submits that the situation Wilson J. describes in paragraph (b) applies, in that Shabbits J. relied on reasoning expressly overruled by authority binding on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Shabbits J. in Dayhu Investments relied on the conclusion of Lord Pearce in Cartledge v. E. Jopling &amp; Sons Ltd., [1963] 1 All E.R. 341 (H.L.), that two separate actions may arise from the same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Lord Pearce reached that conclusion in reliance on the decision in Brunsden v. Humphrey (1884), 14 Q.B.D. 141. The applicable portion of Shabbits J.'s reasons is this, at [paragraph]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that same case [Cartledge], Lord Pearce wrote at pages 349 and 350;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cases of personal injury the law is clear and has been settled for many years. Although two separate actions may be brought one for personal injury and one for damage to property, both being caused by the same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(Brunsden v. Humphrey (1884), 14 Q.B.D. 141), only one action may be brought in respect of all the damage from personal injury. In 1701 in Fitter v. Veal or Fetter v. Beale (1702), 1 Salk. 11, the plaintiff, after recovering damages for an assault and battery, discovered that his injuries were more serious than had been supposed. He sought to bring a second action for the fresh damage. It was held, however, that he had but one cause of action which had been extinguished by the judgment in the former case. That principle has never since been doubted. It has been applied daily in countless actions for damages for personal injuries. In each case the judge assesses the damages once and for all, with the knowledge that the plaintiff can get no further damages for the possible traumatic consequences, such as arthritis or epilepsy, which may occur in the years to come.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Mr. McDonnell submits that Shabbits J. failed to consider the binding authority in Cahoon v. Franks, </w:t>
      </w:r>
      <w:hyperlink r:id="rId696" w:history="1">
        <w:r>
          <w:rPr>
            <w:rFonts w:ascii="arial" w:eastAsia="arial" w:hAnsi="arial" w:cs="arial"/>
            <w:i/>
            <w:color w:val="0077CC"/>
            <w:sz w:val="20"/>
            <w:u w:val="single"/>
            <w:shd w:val="clear" w:color="auto" w:fill="FFFFFF"/>
            <w:lang w:val="en-US" w:eastAsia="en-US" w:bidi="ar-SA"/>
          </w:rPr>
          <w:t>[1967] S.C.R. 455</w:t>
        </w:r>
      </w:hyperlink>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63 D.L.R. (2d) 274</w:t>
        </w:r>
      </w:hyperlink>
      <w:r>
        <w:rPr>
          <w:rFonts w:ascii="arial" w:eastAsia="arial" w:hAnsi="arial" w:cs="arial"/>
          <w:color w:val="000000"/>
          <w:sz w:val="20"/>
          <w:lang w:val="en-US" w:eastAsia="en-US" w:bidi="ar-SA"/>
        </w:rPr>
        <w:t>, which overruled Brunsden v.Humphrey.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Cahoon v. Franks, the plaintiff was injured in a motor vehicle accident and sued for the value of his destroyed car. After the twelve month limitation expired, he sought to amend his statement of claim to also seek damages for personal injury. The Supreme Court of Canada accepted the plaintiff's proposition that only one cause of action arose from the single negligent act, and that all forms of damage resulting from the single tort must be assessed in one proceeding. The proposed amendments therefore did not set up a new cause of action, and the plaintiff's amendment was permitted. The Court at 459 endorsed the following conclusion of Porter J.A.: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factual situation" which gave the plaintiff a cause of action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which caused the plaintiff to suffer damage. This single cause of action cannot be split to be made the subject of several causes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 in Brunsden v. Humphrey may well have persisted in Great Britain largely because the courts were bound by it. Free as we are to apply reason unhampered by precedent, I am of the opinion that the principle of Brunsden v. Humphrey ought not to be adopted.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McDonnell submits that the decision in Dayhu Investments did not consider the binding development in Cahoon v. Franks according to which, he submits, a single wrongful act may give rise to only one cause of action. He submits that therefore judicial comity does not require that I follow the decision in Dayhu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ably submits that the decision in Dayhu Investments is not correct for numerous reasons, including that the very purpose of an ultimate limitation period requires that it run from the time of the factual situation said to give rise to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view, the effect of Cahoon v. Franks on the present issue is not as clear as Mr. McDonnell suggests. Cahoon v. Franks proceeded on the basis that there was only a single negligent act and a single tort. The court concluded that a claim in respect of a different type of injury flowing from that act did not set up a cause of action. Here, it is suggested that an extrinsic event (the fire) gave rise to the damage that is a necessary element of the cause of action. By that reasoning, the principle in Cahoon v. Franks would have little if any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Cartledge excerpt quoted at [paragraph] 20 above indicates that Lord Pearce considered two propositions: (1) that a single negligent act may give rise to two separate actions (one for personal injury and one for damage to property), and (2) that only one action may be brought in respect of all damage arising from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While the first proposition was rejected in Cahoon v. Franks, the fact remains that neither proposition was the essence of Shabbits J.'s decision in Dayhu Investments. The kernel of Shabbits J.'s decision was that the extrinsic event gave rise to a new cause of action. He was concerned with characterizing the action as either pure economic loss, or injury to property caused by fire; he determined that it was the latter. While a cause of action in pure economic loss accrued at the time that the building was completed in a defective state, a new cause of action in injury to property accrued when fire damage occurred. Thus, the two separate actions, both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shared their first two elements of duty and breach, but diverged in the third element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also note that the Co-operative's position that a cause of action may arise from an external event long after the initial construction of the building with which the defendant was associated finds some support in Flora Farms Ltd. v. Galaxy Agri-Products International Inc. </w:t>
      </w:r>
      <w:hyperlink r:id="rId697" w:history="1">
        <w:r>
          <w:rPr>
            <w:rFonts w:ascii="arial" w:eastAsia="arial" w:hAnsi="arial" w:cs="arial"/>
            <w:i/>
            <w:color w:val="0077CC"/>
            <w:sz w:val="20"/>
            <w:u w:val="single"/>
            <w:shd w:val="clear" w:color="auto" w:fill="FFFFFF"/>
            <w:lang w:val="en-US" w:eastAsia="en-US" w:bidi="ar-SA"/>
          </w:rPr>
          <w:t>(1998), 52 B.C.L.R. (3d) 223</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[1998] B.C.J. No. 541</w:t>
        </w:r>
      </w:hyperlink>
      <w:r>
        <w:rPr>
          <w:rFonts w:ascii="arial" w:eastAsia="arial" w:hAnsi="arial" w:cs="arial"/>
          <w:color w:val="000000"/>
          <w:sz w:val="20"/>
          <w:lang w:val="en-US" w:eastAsia="en-US" w:bidi="ar-SA"/>
        </w:rPr>
        <w:t xml:space="preserve"> (S.C.) and in Kaiser v. Bufton's Flowers Ltd. </w:t>
      </w:r>
      <w:hyperlink r:id="rId698" w:history="1">
        <w:r>
          <w:rPr>
            <w:rFonts w:ascii="arial" w:eastAsia="arial" w:hAnsi="arial" w:cs="arial"/>
            <w:i/>
            <w:color w:val="0077CC"/>
            <w:sz w:val="20"/>
            <w:u w:val="single"/>
            <w:shd w:val="clear" w:color="auto" w:fill="FFFFFF"/>
            <w:lang w:val="en-US" w:eastAsia="en-US" w:bidi="ar-SA"/>
          </w:rPr>
          <w:t>(1995), 2 B.C.L.R. (3d) 85</w:t>
        </w:r>
      </w:hyperlink>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55 B.C.A.C. 270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do not consider the decision in Dayhu Investments to fall clearly within the exceptional situations outlined by Wilson J. in Hansard Spruce Mills.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Dayhu Investments is a carefully reasoned decision, which is determinative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City's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H.J. 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6" style="position:absolute;z-index:2517903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Ranahan v. Oceguera, [2019] B.C.J. No. 259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A.P.A. Mayer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29-31, November 1-2, 5-9, 23,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M155667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2019 BCSC 228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Dana Marie Ranahan, Plaintiff, and Ian Michael Oceguera, Defendant,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(240 paras.)</w:t>
      </w:r>
    </w:p>
    <w:p>
      <w:pPr>
        <w:jc w:val="both"/>
        <w:rPr>
          <w:rFonts w:ascii="arial" w:eastAsia="arial" w:hAnsi="arial" w:cs="arial"/>
          <w:sz w:val="20"/>
          <w:lang w:val="en-US" w:eastAsia="en-US" w:bidi="ar-SA"/>
        </w:rPr>
      </w:pPr>
      <w:bookmarkStart w:id="161" w:name="Counsel_29"/>
      <w:bookmarkEnd w:id="1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7"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Wallin, A. Osadchyy.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J.P.C. Miller, D. Machat.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2" w:name="Judgment_29"/>
      <w:bookmarkEnd w:id="162"/>
      <w:r>
        <w:pict>
          <v:line id="_x0000_s1148" style="position:absolute;z-index:2517411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Ranahan's Personal and Professional Background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Pre-MVA Health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 Accident Physical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 Physical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Psychological and Cognitive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Impacts of Accident-Related Injuries on Ms. Ranahan's Quality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LAY WITNESS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Dennis Ranahan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Janet Malcolm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Denise Morbey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Margaret Bowden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Chow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Kiraly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Hull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Johnston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Randhawa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Boyle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Sexton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ADVERSE INFERENCES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call Dr. Lakha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call Dr. Miller and Dr. Dost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Party's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 on 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Non 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 on Past Loss of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Future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 on Costs of Future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Conclusion on Costs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Conclusion on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INCOME TAX GROSS UP AND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3" w:name="A.P.A. MAYER J."/>
            <w:bookmarkEnd w:id="163"/>
            <w:r>
              <w:rPr>
                <w:rFonts w:ascii="arial" w:eastAsia="arial" w:hAnsi="arial" w:cs="arial"/>
                <w:b/>
                <w:color w:val="000000"/>
                <w:sz w:val="30"/>
                <w:lang w:val="en-US" w:eastAsia="en-US" w:bidi="ar-SA"/>
              </w:rPr>
              <w:t>A.P.A. MAYER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evening of August 25, 2013 the plaintiff, Dana Ranahan, her husband Dennis and their two young daughters were driving to Whistler, British Columbia for a family vacation. After pulling out to pass two slower moving vehicles, Ms. Ranahan's vehicle, a 2012 Mazda CX-9, was struck from behind by a Ford F-350 pickup truck driven by the Defendant Ian Oceguera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Oceguera was speeding at the time of the collision. He was examined for discovery but did not file a response to the notice of civil claim and did not testify at trial. The Third Party, Insurance Corporation of British Columbia ("ICBC"), took no position on liability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ICBC agrees that Ms. Ranahan suffered a concussion and various soft tissue injuries including to her neck as a result of the accident. They deny that all of Ms. Ranahan's current medical conditions were caused by the accident and contend that she failed to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Accordingly, the major issues for determination are whether the accident caused all of Ms. Ranahan's injuries and to the extend that it did, what are the damages suffered as a result and finally, whether Ms. Ranahan failed to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August 25, 2013, Ms. Ranahan was driving north on the Sea-to-Sky Highway to Whistler from the family home in North Vancouver. Mr. Ranahan was seated in the front passenger seat and the couple's two daughters, who were 8 and 11 years old at the time, were seated in the rear seats. The family's four bicycles were carried on a rack at the rear of the vehicle and various possessions they had brought along for their vacation were stored in the back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While travelling northbound in the Furry Creek Hill area, between Lions Bay and Squamish, Ms. Ranahan moved her car into the left lane in order to pass two slower vehicles. After establishing herself in the passing lane Ms. Ranahan's vehicle was hit from behind by the Ford F-150 pick-up driven by Mr. Oceguera. Ms. Ranahan testified that she only saw the pick-up truck for a split second before impact. The impact was significant and was described by Ms. Ranahan as feeling and sounding like an explosion.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Ranahan pulled the family car over to the side of the road with her husband's assistance. Her vehicle suffered significant rear-end damage and its body or frame had been altered such that the left rear passenger door would not close. The family's bikes and bike rack were destroyed as well as an expensive espresso maker and a coffee grinder carried inside. The vehicle was not drivable after the accident and was eventually declared a total loss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the accident, the RCMP attended the scene and interviewed Ms. and Mr. Ranahan. The Ranahans were eventually picked up and returned to North Vancouver by a family friend, Ms. Malcolm.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During his examination for discovery, Mr. Oceguera admitted to be the owner and operator of the Ford pick-up truck at the time of the accident. He admitted that he collided with Ms. Ranahan's vehicle and left the accident scene, despite knowing that he had hit another vehicle, but he had no recollection of his speed or whether he applied his brakes prior to the accident. He was eventually charged with various offences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and pled guilty to failing to stop at the scene of an accident and driving a motor vehicle without due care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Corporal George Hilliard of the RCMP Lower Mainland Integrated Collision Analysis Reconstructionist Service provided factual evidence with respect to the circumstances of the accident. He downloaded and analyzed the data from the airbag control module in Mr. Oceguera's pick up truck and produced a report dated July 1, 2014, which was tendered at trial. Corporal Hilliard's evidence is, and I accept as a fact, the following:</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four seconds before impacting Ms. Ranahan's vehicle, Mr. Oceguera's pickup truck was travelling at around 149 km/h;</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steering wheel angle sensor data suggests that approximately 1.1 seconds prior to impact Mr. Oceguera attempted to make three evasive steering maneuvers;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point of impact, the airbag control module recorded the speed of Mr. Oceguera's pickup truck to have been around 133 km/h;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Oceguera only applied his brakes at around the time he collided with Ms. Ranahan's vehicle.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Ranahan's Personal and Professional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Ranahan was 45 years old on the date the accident occurred and is now 51. She was born in Ontario and married Mr. Ranahan in 1993. The couple moved to British Columbia 1994 and had two children who, as I have already mentioned, were 8 and 11 years old at the time of the accident and are now 13 and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Prior to Ms. Ranahan developing various conditions including chronic fatigue (discussed below), the Ranahans were an active family and participated together in a number of sports including cross-country skiing, hiking and biking. Ms. Ranahan had been active in sports and the arts from her teenage years. Prior to the accident, she was involved in coaching her daughters' soccer teams and did a lot of long-distance cycling including training for and participating in the first "Gran Fondo" race from Vancouver to Whistler. She had been an avid hiker, completing the Grouse Grind every couple of weeks, ran and had competed in triathlons. Ms. Ranahan's evidence was that participation in sports was important to her personally and professionally - given her occupation as a sports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Ranahan has a Bachelor of Science degree in physical therapy and has worked as a physiotherapist since 1993. She worked as a physiotherapist at the Burnaby 8 Rinks facility where she treated higher-level athletes and began to develop a keen interest in sports physiotherapy. She took a series of graduate courses and, in 1999, became a "Fellow of the Canadian Academy of Manual Therapists", which enabled her to teach prospective physiotherapists. In 2000, she incorporated Ranahan Sports Physiotherapy Corporation and continued working as a physiotherapist as an independent contractor. In 2007, she began to work with a private clinic in North Vancouver, "Espiritu Healing Arts" working with patients who were involved in higher level sports. She continued her on-going education and obtained a Diploma in Sports Therapy in 2008 which gave her a rarely obtained Sports Physiotherapist Designation, qualifying her to work with elite-level athletes.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2009, Ms. Ranahan decided to start her own physiotherapist business in North Vancouver and established BodyWorks Sports Physiotherapy ("BodyWorks"). She initially rented a space for her clinic but in 2012 purchased her own space in North Vancouver that could accommodate up to six physiotherapists. The new clinic space was partially renovated by her and her husband. Prior to the accident, she had prepared a business plan which contemplated growing her physiotherapy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Prior to the accident, she was averaging approximately 6 hours of clinical time with patients per shift, working two to three days per week and did not require a break between her patients. She stated she worked between 16 and 20 hours a week with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addition to running her physiotherapy clinic and treating patients, Ms. Ranahan was involved in a number of related activities. She worked as an instructor and mentor with the Canadian Physiotherapy Association, including teaching weekend-based courses. She also worked as an inspector with the College of Physical Therapists of British Columbia where she investigated complaints and infractions of the College's rules. She was a volunteer physiotherapist at the 2010 Olympic Games in Vancouver working with short-track speed skaters and at the World Cup events and Olympic qualifying tournaments.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Pre-MVA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Ranahan suffered a right ankle sprain in 2002 and a concussion in 2009 when she was hit in the head by a soccer ball during a game. After the soccer incident, her symptoms included dizziness, headaches and visual sensitivity, which improved within several months after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clinical records of Ms. Ranahan's GP, Dr. Lakha, dated June 2009, make reference to adjustment disorder, anxiety and depression. Ms. Ranahan denies suffering from anxiety and depression in 2009 or having an adjustment disorder. In response to questioning regarding a note in Dr. Lakha's clinical notes for September of 2010 that Ms. Ranahan reported she was exhausted all of the time, she stated that at that time she was volunteering at the 2010 Olympics, dealing with a serious health issue involving one of her daughters and was working to build her clinic. Dr. Lakha was not called as a witness at trial by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Other medical records indicate that she was having right hip issues and experiencing tinnitus in April 2011. An additional record from November 2012 noted that Ms. Ranahan was experiencing a great deal of stress and she reported that she was "vibrating out of her body" at that time which she explained meant that she was feeling "tight".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Ranahan was also seeing a psychologist, Dr. Lynda Grant, starting in the fall of 2009 and continuing through into 2013. Although she was not being treated for any particular psychological condition or chronic pain, the records reveal she was being treated for stress in 2013. These included stress arising from health issues of her husband and daughter and the resulting difficulty balancing work, teaching, and social life. Ms. Ranahan acknowledged that she was under stress but the evidence does not suggest that this stress was debilitating.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 Accident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Ranahan's testimony is that immediately after the accident she had pressure and pain in her head and neck along with a headache. She felt "wrecked" emotionally and was tired, foggy and confused and developed some sound and light sensitivity. After she returned home, she had difficulty accomplishing tasks, such as calling ICBC to report the accident and even ordering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Ranahan stated that her lack of energy, pain and headaches continued for a day or two after the accident. Although she and her family managed to make it up to Whistler for a shortened vacation, she found it difficult to go on short walks and struggled with low light vision. The family spent most of their time inside the cabin.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days and weeks following the accident, Ms. Ranahan developed pain in her jaw, low back and right hip and sleep difficulties. Her balance, unsteadiness, tinnitus, headaches and neck pain were persistent and slow to improve. She testified that her photosensitivity persisted and she had difficulty reading due to her visual symptoms. She testified that the tinnitus was severe and affected her ability to focus and caused sleep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November 2013, Ms. Ranahan sustained a left ankle dislocation after losing her balance while coaching a soccer game. She attributes this to a loss of balance resulting from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Current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Ranahan continues to suffer from daily neck pain and from headaches that occur at least two to three times a week including on-going upper back tightness and pain. Her tinnitus and hearing problems have worsened and affect her ability to hear and she is still having problems balancing from time to time. She continues to have intermittent right hip pain, jaw pain and tightness and suffers from persistent sleeping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Although her lower back pain has improved, her symptoms return when aggravated by tasks such as raking leaves. Her vision has also improved but some light sensitivity remains and she claims she still has trouble reading.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Psychological and Cognitive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Beyond her issues with memory and headaches, Ms. Ranahan struggled emotionally after the accident. She becomes more easily frustrated and angry and feels more vulnerable and emotional. This has furthered her feeling of exhaustion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Ranahan has started to have feelings of anxiety around driving, which has been compounded by her neck pain. Her reduced ability to concentrate has caused her to struggle with reading and absorbing information compared to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her mood symptoms have somewhat improved, she continues to be less patient and less positive than before. She finds it more and more difficult to keep pushing herself and that "getting up to go to work is a struggle every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Impacts of Accident-Related Injuries on Ms. Ranahan's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Ranahan's relationship with Mr. Ranahan has been significantly affected as a result of the accident. Mr. Ranahan was also injured in the accident and he was initially unable to provide much, if any, help with household chores. Ms. Ranahan has now become the parent primarily responsible for caring for their two daughters. She testified that her relationship with Mr. Ranahan no longer has much joy, although she loves him very much. The things that they used to do together before the accident no longer bring her much happiness.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Ranahan's relationship with her two children has also suffered. The increased stress in dealing with her own issues, including the stress of running her BodyWorks clinic, has resulted in a shorter temper and their relationship has changed as a result. She no longer coaches the girls' soccer teams.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family activities and vacations that the Ranahan's participated in before the accident have also changed. Ms. Ranahan testified that they no longer embark on active vacations, but rather more all-inclusive style vacations, in order to give herself and Mr. Ranahan a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Ranahan has reduced her social and recreational activities. She stated that she no longer really wants to talk to anyone and her friendships have started to fall off due to her struggles and lack of energy. She no longer participates to the same extent in the various sports and outdoor activities she used to do before the accident, although she has tried to do different things, such as short bicycle rides, jogging, and hiking. Her lack of participation in different sports has also exacerbated her social withdrawal as she used these activities to network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Ranahan says that she now has a diminished ability to carry out housework resulting from pain and lack of ability to focus. Immediately after the accident, she struggled with doing anything other than just wiping the counters. She states that she has required increased housekeeping assistance since the accident. In addition, as a result of an inability to take care of yard maintenance, as she and her husband had done in the past, she had to hire a gardener in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Ranahan testified that the accident has significantly impacted her job. Although she did not take any significant time off work after the accident she states that her work as a physiotherapist has become more difficult and that things such as stooping, bending and performing physical manipulations on patients causes aggravation of her symptoms. Computer work, noise lights and stress also aggravate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terms of career progress, Ms. Ranahan testified that her plan was to gradually increase her work load, as her daughters got older and more independent, to 30 hours a week (from her previous 16-20 hours) on top of taking care of the administrative duties related to owning the BodyWorks clinic. Her plan was to start increasing her workload when her oldest daughter turned 13 (that is, around 2015/16) and then to continue from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testified that, but-for the accident, she could have been working more hours now but that her lack of energy and increased stress have prevented her from doing so. She testified that she experienced a "complete crash" after trying to increase her patient workload and was unable to do much for a few days following. As such, she has had to maintain her hours at the same level as she had prior to the accident to try to manage her symptoms while keeping up with her financial obligations. This has led her to incorporate more breaks in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Ranahan stated that the accident has also delayed her retirement plans. Her original plan was to retire at 65 after paying off a 20-year mortgage that she incurred to buy the space for her BodyWorks clinic. However, given her struggles, she does not know if she will be able to do so and claims she may have to give up on her business and work for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Her business had employed two administrative staff and two physiotherapists but one physiotherapist recently resigned. Ms. Ranahan testified to working 15 to 18 clinical hours per week on Tuesdays and Thursdays. She testified that her original plan was to hire up to six physiotherapists to work at her clinic, but that since the accident, she has struggled to keep the business afloat because she has not had enough opportunity to promote and grow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Ranahan has also been unable to maintain her Sports Physiotherapy designation since the accident, which has led to personal disappointment. She also has less faith in her abilities and no longer feels confident mentoring other physiotherapists, both through her volunteer work and through training new physiotherapists at her clinic.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Ranahan attended massage therapy starting in September 2013, but did not find it beneficial and did not try it again until later. She started treatment with Ms. Morbey, a physiotherapist, a couple of weeks after the accident. She claims the treatment made her feel worse so she consulted with her family doctor, Dr. Lakha. Dr. Lakha referred her to a different physiotherapist, Ms. Kennedy, who specialized in neck injuries. Ms. Ranahan sought treatment from Ms. Kennedy about six weeks after the accident. She also sought additional treatment with Ms. Morbey. Ms. Ranahan also attended "Rehabilitation Pilates" with Ms. Bowden until Ms. Bowden retired in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Ranahan testified that she followed up with Dr. Lakha as regularly as she could but that she was very busy. She stated that Dr. Lakha referred her for some further treatment, including more massage therapy, and a hearing test. She attended further massage therapy with a Mr. Maharajh and a Ms. Holli. She has recently attended a tinnitus clinic and had a consultation with Dr. Hyams, a chronic pain specialist, on referral from Dr. Lakha.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Outside of treatment suggested by her doctor, Ms. Ranahan also tried other therapies, including osteopathic treatment, acupuncture/traditional Chinese medicine, as well as naturopathy. She saw Ms. Hatton for osteopath treatment and Ms. Kennett for naturopath treatment. She also saw a Dr. Coppin, a specialist in functional medicine, for treatment, but was unable to continue seeing him because of the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Ranahan has continued to see Dr. Grant for counselling and testified that her visits after the accident focused on post-accident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Ranahan has been taking over the counter pain medicine and various prescribed vitamins and supplements to help manage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Lay Witness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Ranahan called four witnesses to provide evidence of her pre and post accident condition. These included her husband Dennis Ranahan, her friend and neighbour Janet Malcolm, a friend and fellow physiotherapist Denise Morbey and a friend and former colleague, Margaret Bowden.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Dennis Ranahan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Ranahan is a professional engineer and had worked for the Greater Vancouver Regional District as the deputy manager of solid waste. He testified that he has not worked since July 2013 when was diagnosed with chronic fatigue syndrome, postural orthostatic tachycardia syndrome and migraines, which were all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Ranahan spoke very highly of Ms. Ranahan's pre-accident capabilities, stating that she was compassionate, empathetic to her patients and family and possessed a "photographic memory." He stated that although she was a perfectionist, she was very gifted.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Ranahan confirmed that Ms. Ranahan wanted an active lifestyle for themselves and their children and they regularly did several outdoor activities. He also testified that Ms. Ranahan had an extensive social network of friends they were close to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Although Ms. Ranahan was very busy, Mr. Ranahan testified that she was in excellent health and had no issues with sleep, mood, cognition, memory or focus before the accident. Despite some challenges, they were able to pull through and she dedicated a lot of energy to raising the children and her clinic. Prior to the accident, Mr. Ranahan would contribute significantly to the housework, but has had to scale it back due to his health condition and the effects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Ranahan's testimony of the events of the accident are consistent with Ms. Ranahan's.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terms of post-accident condition, Mr. Ranahan confirmed that Ms. Ranahan struggles with neck and back pain, balance issues, fatigue, tinnitus, headaches, and light sensitivity. He has also noticed that she is not as "sharp" as she used to be and has struggled with her memory. His testimony around Ms. Ranahan's mood changes and frustration is also consistent with her testimony. He said that Ms. Ranahan used to have a "balanced" life in terms of work, social activities and exercise, but now, she does not have the energy to do a lot of the things she used to. He confirmed that the accident has had a negative impact on their relationship and family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terms of the impact on her business, Mr. Ranahan testified that she has not been able to expand or develop the clinic as planned and that she considers it a failure. As Ms. Ranahan was the primary draw for patients, her social withdrawal has put more stress and pressure on her business.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Janet Malcolm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Malcolm has lived next door to the Ranahans since 2006 and considers herself a friend. She works as a high school teacher. She used to look after the Ranahan's home when they went on trips or vacations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Malcolm testified that before the accident, both Mr. and Ms. Ranahan were quite active, with both of them having participated in the Gran Fondo. Ms. Malcolm and Ms. Ranahan would also meet at least once a week and regularly went for walks. She testified that Ms. Ranahan was a "super girl" who participated in many sporting events and volunteered in addition to taking care of her family and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Malcolm testified that she saw the Ranahans load up their family vehicle on the day of the accident. Later on, early in the evening, she received a text from Ms. Ranahan advising that the family had been in an accident. She drove up to Furry Creek Hill and brought the family back home. Her testimony of the accident scene and the condition of the Ranahan family is consistent with Ms. Ranahan's.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Malcolm testified that she worked for Ms. Ranahan briefly in 2014 during the teachers' strike and was able to observe her work. Ms. Malcolm said that she put on a very professional persona in front of her patients, but that after she was done her clinic hours, she appeared very exhausted and her persona was quite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Malcolm testified that she doesn't see Ms. Ranahan as often as she did before the accident. When she does see her Ms. Malcolm believes that Ms. Ranahan does not have much energy after her work day. Ms. Malcom also testified that Ms. Ranahan does not have guests over to their home, a frequent occurrence before the accident, and that Ms. Ranahan does not seem to be leaving her home to bike or do physical activity as much. She also confirmed that she has also noticed Ms. Ranahan's mood has changed since the accident and that Ms. Ranahan has become less patient and more exhausted.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Malcolm also confirmed that Ms. Ranahan used to do the gardening herself, but has now hired a gardener.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Denise Morbey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Morbey is also a physiotherapist and has known Ms. Ranahan for over 13 years. Ms. Morbey testified that Ms. Ranahan mentored her when she was working toward her sports physiotherapy certificate. She testified that Ms. Ranahan was an amazing mentor with a "critical mind and good technique". In terms of personality, she described Ms. Ranahan as positive, happy, reliable and a wonderful mother who was always available to assist. Before the accident, she would see Ms. Ranahan on a weekly basis for either dinner, coffee, athletic events, or because their children were friends. They used to ride their bicycles together as well as hiking the "Grouse Grind", attending Pilates, cross-country skiing and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After the accident, Ms. Morbey helped treat Ms. Ranahan's injuries to her neck, back and right hip, as well as tried to help with the headaches. She also observed objective signs of injury, including a limited range of motion, increased muscle tone, limited joint movement, changes in body posture, as well as other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Outside of treatment, Ms. Morbey also testified that she noticed a significant shift in Ms. Ranahan's mood. She noted that Ms. Ranahan went from being outgoing to someone who was exhausted, rushed, and feigning happiness. Ms. Morbey testified that Ms. Ranahan appeared very upset and frustrated with her situation and that she had more breakdowns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Morbey also confirmed that Ms. Ranahan's activity levels went down drastically after the accident and that they have only gone biking twice since then and that they no longer cross-country ski together like they used to, although she did testify that she believes Ms. Ranahan cross-country skis on a weekly basis now. They have also had much less social contact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Morbey testified that Ms. Ranahan's house has been messier than it used to be and that their garden has become over grown, when before it was well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Morbey testified that Ms. Ranahan's BodyWorks clinic still has a good reputation in the physiotherapy community. She also testified that Ms. Ranahan was able to work through her ankle injury from November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Finally, Ms. Morbey testified that Ms. Ranahan is no longer active in teaching or mentoring, despite being quite involved in both these activities before.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Margaret Bowden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Bowden is a retired registered nurse and a clinical Pilates instructor. She also met Ms. Ranahan over 13 years ago when they both worked at a rehabilitation center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Consistent with the testimony of other witnesses, Ms. Bowden testified that prior to the accident Ms. Ranahan was very sharp minded, articulate and a bit of a perfectionist. She states that Ms. Ranahan was always professional around patients and took care of them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Bowden and Ms. Ranahan also used to socialize a lot and also spent time biking, walking, or hiking together. Ms. Bowden was also a patient of Ms. Ranahan's.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Even while Ms. Ranahan was setting up her business, Ms. Bowden described her as energetic, active and a wonderful mother. She stated that Ms. Ranahan was excited about starting her own practice as well as teaching at UBC. Ms. Ranahan also excelled in Ms. Bowden's Pilates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Bowden was advised of the accident when her tenant notified her that the Ranahans had not showed up at her cabin as planned. Ms. Bowden called Ms. Ranahan and described her state as distraught and it seemed that her thoughts were not organized.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After the accident, Ms. Ranahan continued to go to Ms. Bowden's Pilates class, but struggled and appeared upset and sore. Her attendance became much less regular after the accident and her mood during the class showed more frustration.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Bowden worked for Ms. Ranahan's clinic as a physiotherapy assistant in October to December 2017. She noted that Ms. Ranahan looked more tired and had a lower energy level than before the accident. She also noticed that Ms. Ranahan was not participating in athletic activities as often, claiming she was too tired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She also testified that Ms. Ranahan had to take over more housekeeping and child care responsibilities due to the effect of the accident on Mr. Ranahan, compounded with his pre-existing health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Seven medical experts tendered expert reports and opinion evidence at trial. Five of them, Dr. Chow, Dr. Kiraly, Dr. Johnston, Ms. Hull and Dr. Randhawa, were called by Ms. Ranahan. Dr. Boyle and Dr. Sexton were called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Additionally, Ms. Ranahan and ICBC each retained their own economics experts to provide evidence concerning the calculation of Ms. Ranahan's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Raphael Chow is a physiatrist and saw Ms. Ranahan for an independent medical-legal examination ("IME") on July 12, 2016, and authored a report dated August 5,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It is Dr. Chow's opinion that as a result of the accident, Ms. Ranahan has sustained mild traumatic brain injury and soft tissue injuries to her spine, which has developed into chronic neck pain, upper back pain, post-concussion syndrome, cognitive problems with memory and focus, imbalance, tiredness, fatigue, tinnitus, eye strain, sleep disturbance and chronic headaches. He also believes that due to imbalance caused by her accident related injuries, Ms. Ranahan subsequently sustained a left ankle dislocation with a chip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terms of prognosis, Dr. Chow believes that her quality of life and lifestyle have been affected due to her ongoing chronic symptoms and functional limitations. He states that she has not been able to carry out a full load in her job and that her personal care, housekeeping, social and vocational activities have been affected. He notes that many types of tasks involving her neck and torso aggravate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From a physical perspective, Dr. Chow opines that Ms. Ranahan is disabled in performing tasks or jobs that require activities at and beyond the "occasional" frequency rate and beyond the "light-medium" physical demand level. Higher functional cognitive tasks may also persistently be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his written opinion and during direct examination, Dr. Chow stated that Ms. Ranahan has reached "maximum medical improvement" and that the chronic pain, cognitive deficit and headaches will continue, as well as a permanent impairment of the cervicothoracic spine (neck and upper back) and left ankle. He is also of the opinion that she is more at risk of developing degenerative disc disease, which may require surgical intervention to fix. He also expects her condition to deteriorate with the ordinary aging process. He opines that by her late fifties, she may be limited in activities at and beyond the occasional rate and physical demands at and beyond the "sedentary-light" demand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Chow testified that during his assessment of her, Ms. Ranahan appeared credible in her complaints and did not display an exaggerated pain presentation and that her symptoms appeared consistent on repeat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During cross examination, Dr. Chow agreed that Ms. Ranahan may benefit from additional treatment or assessment including: a neuropsychological evaluation; in home occupational therapy assessment; commence a trial of tricyclic or other antidepressants; diagnostic facet blocks for her neck; seek treatment with a general neurologist specializing in headaches; and see a psychiatrist and consider psychotropic drugs. He agreed that with these treatments, Ms. Ranahan may see further improvement.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Kiraly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Leslie Kiraly, a psychiatrist, saw Ms. Ranahan for an IME on July 21, 2017, and authored a medical-legal report dated October 18,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his report, Dr. Kiraly diagnosed Ms. Ranahan using the Diagnostic and Statistical Manual of Mental Disorders, Fourth Edition, Text Revision ("DSM-IV-TR") and the Fifth Edition ("DSM-5"), as published by the American Psychiatric Association. His opinion is that Ms. Ranahan can be diagnosed with the following conditions: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DSM-IV-TR Psychological Diagnoses (Axis I)</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depression in partial remission;</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Mixed chronic pain due to psychological factors and medical condition;</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 residual symptoms;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Post-concussion syndrome</w:t>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DSM-IV-TR Other Diagnoses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Asthma and allergies;</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the neck and back;</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post-concussion type;</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stress due to the loss of her good health and role functions.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DSM-IV-TR Global Assessment of Functioning (Axis V)</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score of 55, indicating moderate symptoms or moderate difficulty in social, occupational or school functioning.</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DSM-5 Diagnosis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Somatic symptom disorder, predominantly pain; and</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Neurocognitive disorder due to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Kiraly's opinion is that Ms. Ranahan's condition is likely to deteriorate in the future, with respect to both pain and cognitive issues, and that her depression is likely to relapse due to comorbidities. He believes that her career may be shortened and that she has an increased risk of developing dementia and/or Parkinson's disease - although I note that this prognosis is not agreed to by Dr.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cross-examination, Dr. Kiraly admitted that the reliability of his opinion depended on the accuracy of Ms. Ranahan's history that was provided to him. He agreed that there was no testing of Ms. Ranahan's baseline psychiatric state before the accident and that Dr. Grant's records were not provided to him at the time he first prepared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cross-examination, Dr. Kiraly acknowledged that Ms. Ranahan's pre-accident stressors (which include taking care of her children, worrying about sick family members, financial stresses and increased workload) are considered to be predisposing factors which made her more vulnerable to complications arising from her accident-related injuries but ultimately that she did not have pain or major depression prior to the accident. He stated that although she did appear to have some mood issues, stresses and aches and pains, none of these were comparable to the severity of her status following the accident. That is, the accident made everything worse.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Hull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Natalie Hull, an occupational therapist, saw Ms. Ranahan for a functional capacity evaluation on May 15, 2018, and produced a functional capacity evaluation and costs of future care report dated June 25,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Hull stated that her demonstrative functional testing showed that Ms. Ranahan does not have a sufficient level of function to perform the full range of physical demands required of a physiotherapist. Specifically, she stated that Ms. Ranahan does not meet the full range of demands for medium level strength tasks nor does Ms. Ranahan show tolerance for demands associated with maintaining a sustained position. She observed that Ms. Ranahan had difficulty with static standing and sustained neck flexion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Based on that assessment, it is Ms. Hull's opinion that Ms. Ranahan's current work load of 12-18 hours of clinical time per week is at the upper end of her work tolerance on a durable basis. Ms. Hull believes that Ms. Ranahan's work load limit will decline as she ages. Ms. Hull believes that it is unlikely, based on the testing and Ms. Ranahan's history, that she will be able to return to being active in either teaching or mentoring other physiotherapists.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With respect to homemaking capacity, Ms. Hull's opinion is that Ms. Ranahan is capable of performing day-to-day cooking and some cleaning activities, but will continue to have difficulty with tasks that require stooping down and neck flexion, such as cleaning bathrooms, vacuuming and mopping floors. Ms. Hull believes that Ms. Ranahan will have difficulty with seasonal cleaning demands, such as cleaning walls, baseboards and 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Hull's opinion is that Ms. Ranahan's ability to participate in pre-accident recreational activities, such as cycling, running, hiking, skiing and coaching soccer, has been significantly compromised by her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Dean Johnston, a neurologist, saw Ms. Ranahan for an IME on July 11, 2018, and authored a report dated July 19,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Johnston's opinion is that Ms. Ranahan suffered a concussive blow to the head as a result of the accident. This has resulted in post-traumatic amnesia, cervicogenic headaches and musculoskeletal complaints in her neck and thoracic spine. His opinion is that Ms. Ranahan's symptoms are consistent with a diagnosis of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is Dr. Johnston's opinion that Ms. Ranahan's 2009 concussion does not have any medical bearing on her current symptoms, given that she completely recovered from that event for a durable period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Johnston's report states that Ms. Ranahan has a number of features of depression and that it is well known that neurocognitive impairments can accompany a mood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Johnston's opinion is that the injury to her cervical and thoracic spine are both persistent and likely permanent, given the amount of time that has passed since the accident. He also believes that Ms. Ranahan's chronic headaches are likely cervicogenic in origin and related to the neck injury and chronic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cross-examination Dr. Johnston agreed that it is not possible to know with certainty whether Ms. Ranahan's neurocognitive issues will subside until she undergoes treatment for her mood disorder and that there was room for her to improve. He also agreed that difficulties in sleep can cause neurocognitive issues and that attendance at a sleep clinic or sleep aids may assist with these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Randhawa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Mini Randhawa, an optometrist, saw Ms. Ranahan for an IME on July 18, 2018, then produced an expert report dated July 23,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Randhawa conducted a comprehensive eye examination of Ms. Ranahan. Dr. Randhawa's opinion is that Ms. Ranahan presents with binocular dysfunction and that her eyes have a reduced ability to converge and diverge. Additionally, she found a misalignment of Ms. Ranahan's eyes and that her eye tracking ability was below expected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Randhawa's opinion is that the binocular dysfunction may play a role in several of Ms. Ranahan's reported symptoms, including her headaches, trouble focusing when reading or using a computer, nausea, dizziness and function in low light environments. Based on this, Dr. Randhawa believes that Ms. Ranahan's eye condition may impact several spheres of her daily life, including her work, driving, watching TV and riding her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is Dr. Randhawa's opinion that the binocular dysfunction was a result of the accident. She notes that this condition can result from trauma and particularly after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response to a question from the Court, Dr. Randhawa confirmed that her opinion that binocular dysfunction resulted from the accident was based on Ms. Ranahan's subjective complaints at the time of her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cross-examination, Dr. Randhawa confirmed that she is not a medical doctor, but despite that, she would not defer to an ophthalmologist or a neuro-ophthalmologist on her opinion in relation to Ms. Ranahan's diagnosis, prognosis or treatment in relation to diseases of the eye.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Boyle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Marc Boyle, an orthopaedic surgeon, conducted an IME of Ms. Ranahan for ICBC on January 20,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Boyle's opinion is that Ms. Ranahan's range of motion in her neck and back was normal on testing. He also stated that her power and strength was normal on testing. He stated that, from a musculoskeletal point of view, there was nothing precluding Ms. Ranahan to returning to full function. He believes that Ms. Ranahan's complaints should be further investigated through an x-ray or CT scan on her neck to determine if other treatment options are available. Overall, his opinion is that Ms. Ranahan's condition has not been thoroughly investigated.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Boyle believes that, given Ms. Ranahan's high average pain levels, she should have sought x-rays on her neck or have sought treatment in a hospital instead of just carrying on. He believes that Ms. Ranahan's reports of extreme pain were not consistent with his examination or the available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It is Dr. Boyle's opinion that further radiological exams are required in order to determine a diagnosis, recommend a treatment plan,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On cross-examination Dr. Boyle conceded that he did not review Ms. Ranahan's medical information or the letter of instruction from counsel before conducting his very brief 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Boyle did not appear on direct or cross to have a firm recollection or understanding of Ms. Ranahan's pre or post accident complaints. He admitted that his opinion was not intended to be a definitive statement of Ms. Ranahan's condition but was merely based on his assessment and the information available to him at the time of his physical assessment. Interestingly, he confirmed on cross-examination that he did not preserve any clinical records provided to him and therefore did not review any clinical records before testifying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Sexton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Briar Sexton, an ophthalmologist, did not assess Ms. Ranahan directly. She provided a report, dated September 17, 2018, that challenged the findings of Dr. Randhawa.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 cross-examination, Dr. Sexton confirmed that she did not disagree with Dr. Randhawa's finding that Ms. Ranahan suffered from binocular dysfunction and that this may result from trauma, such as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Sexton also agreed on cross examination that while Ms. Ranahan may be able to carry out activities such as driving, watching TV and participating in some sports, this would not include more strenuous activities such as mountain biking, playing soccer or skiing - except on bright and clear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Adverse Inferences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Failure to call Dr. Lakha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ICBC asks that an adverse inference be drawn against Ms. Ranahan for failing to call her family practitioner, Dr. Lakha, to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particular, ICBC submits that given that Dr. Lakha had been Ms. Ranahan's general practitioner since 2004, she was uniquely positioned to provide an assessment of her pre-accident medical history and her condition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Ranahan contends that Dr. Lakha was not actively involved in Ms. Ranahan's care after the accident. In addition, Ms. Ranahan says that it was her intention to call Dr. Lakha but, as a result of changes to the timing of testimony of other witnesses during trial, it was not possible to schedule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This Court has drawn an adverse inference resulting from a failure to call witnesses who may have important medical evidence. Fisher J., as she then was, stated in </w:t>
      </w:r>
      <w:r>
        <w:rPr>
          <w:rFonts w:ascii="arial" w:eastAsia="arial" w:hAnsi="arial" w:cs="arial"/>
          <w:i/>
          <w:color w:val="000000"/>
          <w:sz w:val="20"/>
          <w:lang w:val="en-US" w:eastAsia="en-US" w:bidi="ar-SA"/>
        </w:rPr>
        <w:t>Mohamud v. Yu</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2016 BCSC 1138</w:t>
        </w:r>
      </w:hyperlink>
      <w:r>
        <w:rPr>
          <w:rFonts w:ascii="arial" w:eastAsia="arial" w:hAnsi="arial" w:cs="arial"/>
          <w:color w:val="000000"/>
          <w:sz w:val="20"/>
          <w:lang w:val="en-US" w:eastAsia="en-US" w:bidi="ar-SA"/>
        </w:rPr>
        <w: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As the Court of Appeal noted in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the notion of adverse inference is related to the best evidence rule. A party is certainly free to dispense with evidence that is relatively unimportant or perhaps repetitive, but the same may not be the case for evidence that may be described as "superior in respect to the fact to be proved" (see Wigmore's </w:t>
      </w:r>
      <w:r>
        <w:rPr>
          <w:rFonts w:ascii="arial" w:eastAsia="arial" w:hAnsi="arial" w:cs="arial"/>
          <w:i/>
          <w:color w:val="000000"/>
          <w:sz w:val="20"/>
          <w:lang w:val="en-US" w:eastAsia="en-US" w:bidi="ar-SA"/>
        </w:rPr>
        <w:t>Evidence in Trials at Common Law</w:t>
      </w:r>
      <w:r>
        <w:rPr>
          <w:rFonts w:ascii="arial" w:eastAsia="arial" w:hAnsi="arial" w:cs="arial"/>
          <w:color w:val="000000"/>
          <w:sz w:val="20"/>
          <w:lang w:val="en-US" w:eastAsia="en-US" w:bidi="ar-SA"/>
        </w:rPr>
        <w:t xml:space="preserve">, cited in </w:t>
      </w:r>
      <w:r>
        <w:rPr>
          <w:rFonts w:ascii="arial" w:eastAsia="arial" w:hAnsi="arial" w:cs="arial"/>
          <w:i/>
          <w:color w:val="000000"/>
          <w:sz w:val="20"/>
          <w:lang w:val="en-US" w:eastAsia="en-US" w:bidi="ar-SA"/>
        </w:rPr>
        <w:t>Buksh</w:t>
      </w:r>
      <w:r>
        <w:rPr>
          <w:rFonts w:ascii="arial" w:eastAsia="arial" w:hAnsi="arial" w:cs="arial"/>
          <w:color w:val="000000"/>
          <w:sz w:val="20"/>
          <w:lang w:val="en-US" w:eastAsia="en-US" w:bidi="ar-SA"/>
        </w:rPr>
        <w:t xml:space="preserve"> at para. 30). The well-known proposition, stated in </w:t>
      </w:r>
      <w:r>
        <w:rPr>
          <w:rFonts w:ascii="arial" w:eastAsia="arial" w:hAnsi="arial" w:cs="arial"/>
          <w:i/>
          <w:color w:val="000000"/>
          <w:sz w:val="20"/>
          <w:lang w:val="en-US" w:eastAsia="en-US" w:bidi="ar-SA"/>
        </w:rPr>
        <w:t>Barker v. McQuahe</w:t>
      </w:r>
      <w:r>
        <w:rPr>
          <w:rFonts w:ascii="arial" w:eastAsia="arial" w:hAnsi="arial" w:cs="arial"/>
          <w:color w:val="000000"/>
          <w:sz w:val="20"/>
          <w:lang w:val="en-US" w:eastAsia="en-US" w:bidi="ar-SA"/>
        </w:rPr>
        <w:t xml:space="preserve"> (1964), 49 W.W.R. 685 (BCCA), is that an adverse inference may be drawn if a litigant, without explanation, fails to call a witness who might be expected to give supporting evidence. In personal injury cases, this means that a plaintiff may be expected to call "all doctors" who attended her for the important aspects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It is not a certainty that such an adverse inference will be made when a physician is not called. In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 35, the Court of Appeal stated that there are a number of factors to consider before drawing an adverse inference,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whether, given the evidence before the court, given the explanations proffered for not calling the witness, given the nature of the evidence that could be provided by the witness, given the extent of disclosure of that physician's clinical notes, and given the circumstances of the trial (e.g., an initial agreement to introduce clinical records that work contrary to the inference, or incorporation of that witness's views or observations in the report of a witness called by the other side) a juror could reasonably draw the inference that the witness not called would have given evidence detrimental to the party's case.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this case, the clinical records of Dr. Lakha were available to ICBC and some of these records were canvassed, or available to be canvassed, during cross examination of Ms. Ranahan, the lay witnesses and the medical experts who provided evidence with respect to her post accident condition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addition, Ms. Ranahan has provided an explanation as to why she did not call Dr. Lakha as a witness, being the exigencies of witness scheduling during trial. I note that there is no suggestion that ICBC, when it learned that Dr. Lakha was not going to be called by Ms. Ranahan, expressed any desire to the Court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Although Dr. Lakha may have provided additional useful evidence with respect to Ms. Ranahan's pre-accident medical condition, there were a number of other witnesses who provided such evidence, none of whom were seriously challenged during cross examination. Accordingly, I am unable to determine what adverse inferences are to be drawn as a result of the failure of Ms. Ranahan to call her GP.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the circumstances, I do not find it appropriate to draw the adverse inference sought by ICBC.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Failure to call Dr. Miller and Dr. Dost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addition to reports by Dr. Boyle and Dr. Sexton, ICBC also had Ms. Ranahan independently assessed by Dr. Robert Miller, a psychiatrist, and Dr. Rehan Dost, a neurologist. Both doctors provided an expert report to counsel, however, ICBC called off their attendance to testify before trial without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Ranahan submits that adverse inferences should be drawn due to ICBC's failure to call Dr. Miller and Dost. I note that Ms. Ranahan called Dr. Johnston to provide an opinion as a neurologist and Dr. Kiraly to provide an opinion as a psychiatrist, as part of her case. It is always open to a defendant to elect at any point, including during trial, not to call certain evidence to respond to evidence tendered by a plaintiff. It does not follow that an adverse inference should be presumed when a defendant decides not to call an expert witness especially when such expert evidence has already been called by the plaintiff. That is the situation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 agree with finding of Justice Groves in </w:t>
      </w:r>
      <w:r>
        <w:rPr>
          <w:rFonts w:ascii="arial" w:eastAsia="arial" w:hAnsi="arial" w:cs="arial"/>
          <w:i/>
          <w:color w:val="000000"/>
          <w:sz w:val="20"/>
          <w:lang w:val="en-US" w:eastAsia="en-US" w:bidi="ar-SA"/>
        </w:rPr>
        <w:t>Tan v. Mintzler and Miller</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2016 BCSC 1183</w:t>
        </w:r>
      </w:hyperlink>
      <w:r>
        <w:rPr>
          <w:rFonts w:ascii="arial" w:eastAsia="arial" w:hAnsi="arial" w:cs="arial"/>
          <w:color w:val="000000"/>
          <w:sz w:val="20"/>
          <w:lang w:val="en-US" w:eastAsia="en-US" w:bidi="ar-SA"/>
        </w:rPr>
        <w:t xml:space="preserve"> that adverse inferences should generally only be made against the party who bears the onus of proof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Accordingly, I decline to draw any adverse inferences from ICBC's decision not to call Dr. Miller and Dr. Dost as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Credibility was not raised as a significant factor in this trial and although it is not necessary for me to make any general findings in this regard, I will say that I found Ms. Ranahan to be a credible witness and I accept her evidence. Unless I have raised specific incidents of credibility or reliability below, the same applies to the remaining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stated above, Mr. Oceguera did not file a response to the notice of civil claim and, therefore, takes no position on liability. ICBC took no position on the issue of liability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Based on the uncontroverted evidence of Ms. Ranahan, I find that she was fully established in her lane of travel when the accident happened. I find that Mr. Oceguera was driving his pick-up truck at a higher speed than was safe and collided into the rear of Ms. Ranahan's vehicle and that the collision was significant. I find that Ms. Ranahan had no reasonable opportunity to avoid being hit by Mr. Oceguera's vehicle given his rate of speed and the fact she would have limited time to react to the situation. There is no evidence to support a conclusion that Ms. Ranahan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the result, I find Mr. Oceguera completely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at para. 9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the Supreme Court of Canada revisited the causation test. The Court affirmed the "but for" causation test, which is a factual determination that is to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Athey's</w:t>
      </w:r>
      <w:r>
        <w:rPr>
          <w:rFonts w:ascii="arial" w:eastAsia="arial" w:hAnsi="arial" w:cs="arial"/>
          <w:color w:val="000000"/>
          <w:sz w:val="20"/>
          <w:lang w:val="en-US" w:eastAsia="en-US" w:bidi="ar-SA"/>
        </w:rPr>
        <w:t xml:space="preserve"> "material contribution" test is appropriate without showing factual "but for" causation only in cases where it is otherwise impossible to determine which of a number of negligent acts committed by a number of parties in fact caused the injury: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para. 13. Given the nature of this claim, a rear-end motor vehicle collision for which Mr. Oceguera has been found solely liable, the material contribution test is not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Tortfeasors must take their victims as they find them, even if the plaintiff's injuries are more severe than they would be for a normal person (the thin skull rule). However, the defendant need not compensate the plaintiff for any debilitating effects of a pre-existing condition which the plaintiff would have experienced anyway (the crumbling skull rule):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Justice Lambert summarized the principles to be applied in assessing claims of psychological injury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at paras. 12-13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It is important to understand what is established and what is not established by the decision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I propose to set out a number of principles extracted from the reasons of Mr. Justice Taylor, for the Court, in the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case. The first point is a preliminary point and appears in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at p. 133 under the heading "(a) The Background":</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the pain, discomfort or weakness is "real" in the sense that the victim genuinely experiences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remaining ten points are drawn from the part of the reasons headed "(b) The Basic Principles" at pp. 134 to 137:</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his or her psychological problems have their cause in the defendant's unlawful act.</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act if they arise from a desire on the plaintiff's part for such things as care, sympathy, relaxation or compensation.</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wrongful act if the plaintiff could be expected to overcome them by his or her own inherent resources, or "will-power".</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to end, their existence or continuation must be said to have a subjective, or internal, cause. (NOTE: I consider that this proposition must deal with the conscious mind, otherwise it seems to me to beg the question; see my first observation, later in this Part of these reasons.)</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court could not say whether the plaintiff really desired to be free of the psychological problems, the plaintiff would not have established his or her case on the critical issue of causation.</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question of mitigation, or failure to mitigate, arises only after causation has been established.</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ask whether a psychological condition such as "chronic, benign pain syndrome" is "compensable". Such a psychological condition may be compensable or it may not. The identification of the symptoms as "chronic benign pain syndrome" does not resolve the questions of legal liability or the question of assessment of damages.</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medical practitioners can answer, as matters of expert opinion, the ultimate questions on which these cases often turn.</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Justice Spencer, at trial in the Maslen case, put the overall test quite correctly in these words: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[C]hronic benign pain syndrome will attract damages ... where the plaintiff's condition is caused by the defendant and is not something within her control to prevent. If it is true of a chronic benign pain syndrome, then it will be true also of other psychologically-caused suffering where the psychological mechanism, whatever it is, is beyond the plaintiff's power to control and was set in motion by the defendant's fault.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evidence of a "convincing" nature to overcome the improbability that pain will continue, in the absence of objective symptoms, well beyond the recovery period, but the plaintiff's own evidence, if consistent with the surrounding circumstances, may nevertheless suffice for the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 am sure Mr. Justice Taylor did not consider that the "basic" principles which he set out exhausted all the possibilities for the application of principle to the difficult problems in these cases. The general principles which apply in relation to causation in law will apply to psychological injury as they apply to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 am satisfied that the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robust and common sense approach sense to "but for" applies. Accordingly, Ms. Ranahan must establish on a balance of probabilities that her physical and psychological injuries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Ranahan's position is that the evidence of the lay witnesses and experts supports a finding, on a balance of probabilities, Ms. Ranahan's physical and psychological/cognitive injuries were all caused by the accident and satisfy the "but for" test. While Mr. Ranahan's pre-accident health issues may have contributed to her current state, the accident had a significant effect on her functionality and the "but for" test is still made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Third Party's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ICBC agrees that Ms. Ranahan suffered a concussion and various soft tissue injuries including to her neck as a result of the accident. ICBC does not agree that Ms. Ranahan's changes in mood or demeanor, that is her psychological impairments, were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caused by the accident. It notes that the reported changes in this respect correspond to the period in which Ms. Ranahan was dealing with stresses related to her husband's serious health issues, parenting and work responsibilities.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At the time of the accident, Ms. Ranahan experienced immediate pressure and pain in her head and neck along with headache. She felt "wrecked" emotionally and suffered from fatigue, cognitive difficulties and sound and light sensitivity. In the days following the accident she developed pain in her jaw, low back and right hip, and sleep difficulties. Other symptoms which manifested at or shortly after the accident include sleep difficulties and balance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At this time, she continues to suffer from daily neck pain and frequent headaches, has upper back tightness and pain, and with occasional low back pain. She also suffers from intermittent right hip pain, jaw pain and tightness. She continues to experience tinnitus, some sensitivity to sounds and continues to have occasional problems with balance. She has some difficulties with vision which makes it difficult for her to read for long periods of time. She has persistent difficulties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lay witness evidence and available medical evidence establishes that Ms. Ranahan did not suffer from these symptoms either at all, or not to the same extent,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find that as a result of the accident, Ms. Ranahan has sustained mild traumatic brain injury and soft tissue injuries to her spine, which has developed into chronic neck pain, upper back pain, post-concussion syndrome, cognitive problems with memory and focus, imbalance, tiredness, fatigue, tinnitus, eye strain, sleep disturbance and chronic headaches. I also accept that the imbalance caused by her accident resulted in a further injury, the left ankle dislocation with a chip fracture, while coaching a soccer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also find that Ms. Ranahan suffers from ongoing mood symptoms including irritability, moodiness a reduction in patience and positivity. She is experiencing on-going difficulties dealing with stress. Although Ms. Ranahan admits that prior to the accident she was under significant stress as a result of her husband's health issues, family and work responsibilities she was managing these stresses and was fully functioning at work and at home and was able to participate in a number of sports and social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find, based on the totality of the lay and expert evidence, that there are no genuine issues of causation in this case. I find that but for the accident Ms. Ranahan would not be suffering from her current physical and psychological/cognitive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ICBC concedes that Ms. Ranahan is entitled to non-pecuniary damages for her injuries, but argues that the amount sought by Ms. Ranahan is beyond the appropriate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Comparable cases, though helpful, serve only as a rough guide. Each case depends on its own unique facts: </w:t>
      </w:r>
      <w:r>
        <w:rPr>
          <w:rFonts w:ascii="arial" w:eastAsia="arial" w:hAnsi="arial" w:cs="arial"/>
          <w:i/>
          <w:color w:val="000000"/>
          <w:sz w:val="20"/>
          <w:lang w:val="en-US" w:eastAsia="en-US" w:bidi="ar-SA"/>
        </w:rPr>
        <w:t>Benavides v. Doe</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2015 BCSC 1831</w:t>
        </w:r>
      </w:hyperlink>
      <w:r>
        <w:rPr>
          <w:rFonts w:ascii="arial" w:eastAsia="arial" w:hAnsi="arial" w:cs="arial"/>
          <w:color w:val="000000"/>
          <w:sz w:val="20"/>
          <w:lang w:val="en-US" w:eastAsia="en-US" w:bidi="ar-SA"/>
        </w:rPr>
        <w:t xml:space="preserve"> at para. 94; aff'd by </w:t>
      </w:r>
      <w:r>
        <w:rPr>
          <w:rFonts w:ascii="arial" w:eastAsia="arial" w:hAnsi="arial" w:cs="arial"/>
          <w:i/>
          <w:color w:val="000000"/>
          <w:sz w:val="20"/>
          <w:lang w:val="en-US" w:eastAsia="en-US" w:bidi="ar-SA"/>
        </w:rPr>
        <w:t>Benavides v. Insurance Corp. of British Columbia</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2017 BCCA 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effect of the injuries on a plaintiff's particular circumstances must be taken into consideration. Factors to be considered in assessing non-pecuniary damages include the age of the plaintiff, nature of the injury, severity and duration of pain, disability, emotional suffering, loss or impairment of life, impairment of family, marital and social relationships, impairment of physical and mental abilities and loss of lifestyle: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A plaintiff's stoicism should not, generally speaking, penalize the plaintiff: </w:t>
      </w:r>
      <w:r>
        <w:rPr>
          <w:rFonts w:ascii="arial" w:eastAsia="arial" w:hAnsi="arial" w:cs="arial"/>
          <w:i/>
          <w:color w:val="000000"/>
          <w:sz w:val="20"/>
          <w:lang w:val="en-US" w:eastAsia="en-US" w:bidi="ar-SA"/>
        </w:rPr>
        <w:t>Giang v. Clayton, Liang and Zheng</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or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correct approach to assessing injuries which depend on subjective reports of pain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by McEachern C.J. (quoted with approval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at para. 2).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the Court explained that evaluating a plaintiff's subjective complaints about injury, pain and loss into compensatory damages is never simple. This is especially so in cases involving soft tissue injury - and I would add psychological and cognitive symptoms - with little or no objective evidence of continuing injury and where complaints persist for a long period (at 397, 399).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Ranahan submits that non-pecuniary damages in the range of $180,000 to $220,000 are appropriate in the circumstances and relies upon the following cases, with adjustments for inflation:</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xml:space="preserve"> [$221,129]</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Burdett v. Eidse</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2010 BCSC 219</w:t>
        </w:r>
      </w:hyperlink>
      <w:r>
        <w:rPr>
          <w:rFonts w:ascii="arial" w:eastAsia="arial" w:hAnsi="arial" w:cs="arial"/>
          <w:color w:val="000000"/>
          <w:sz w:val="20"/>
          <w:lang w:val="en-US" w:eastAsia="en-US" w:bidi="ar-SA"/>
        </w:rPr>
        <w:t xml:space="preserve"> [$226,262]</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Young v. Anderson</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2008 BCSC 1306</w:t>
        </w:r>
      </w:hyperlink>
      <w:r>
        <w:rPr>
          <w:rFonts w:ascii="arial" w:eastAsia="arial" w:hAnsi="arial" w:cs="arial"/>
          <w:color w:val="000000"/>
          <w:sz w:val="20"/>
          <w:lang w:val="en-US" w:eastAsia="en-US" w:bidi="ar-SA"/>
        </w:rPr>
        <w:t xml:space="preserve"> [$225,416]</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Niessen v. Emcon Services Inc.</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2018 BCSC 1410</w:t>
        </w:r>
      </w:hyperlink>
      <w:r>
        <w:rPr>
          <w:rFonts w:ascii="arial" w:eastAsia="arial" w:hAnsi="arial" w:cs="arial"/>
          <w:color w:val="000000"/>
          <w:sz w:val="20"/>
          <w:lang w:val="en-US" w:eastAsia="en-US" w:bidi="ar-SA"/>
        </w:rPr>
        <w:t xml:space="preserve"> [$170,000]</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Tan v. Mitzler and Miller</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2016 BCSC 1183</w:t>
        </w:r>
      </w:hyperlink>
      <w:r>
        <w:rPr>
          <w:rFonts w:ascii="arial" w:eastAsia="arial" w:hAnsi="arial" w:cs="arial"/>
          <w:color w:val="000000"/>
          <w:sz w:val="20"/>
          <w:lang w:val="en-US" w:eastAsia="en-US" w:bidi="ar-SA"/>
        </w:rPr>
        <w:t xml:space="preserve"> [$220,763]</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Sundin v. Turnbull</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2017 BCSC 15</w:t>
        </w:r>
      </w:hyperlink>
      <w:r>
        <w:rPr>
          <w:rFonts w:ascii="arial" w:eastAsia="arial" w:hAnsi="arial" w:cs="arial"/>
          <w:color w:val="000000"/>
          <w:sz w:val="20"/>
          <w:lang w:val="en-US" w:eastAsia="en-US" w:bidi="ar-SA"/>
        </w:rPr>
        <w:t xml:space="preserve"> [$180,400]</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Sabaa v. Ricci</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2015 BCSC 1492</w:t>
        </w:r>
      </w:hyperlink>
      <w:r>
        <w:rPr>
          <w:rFonts w:ascii="arial" w:eastAsia="arial" w:hAnsi="arial" w:cs="arial"/>
          <w:color w:val="000000"/>
          <w:sz w:val="20"/>
          <w:lang w:val="en-US" w:eastAsia="en-US" w:bidi="ar-SA"/>
        </w:rPr>
        <w:t xml:space="preserve"> [$192,304]</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[$189,226]</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Ali v. Padam</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2017 BCSC 1849</w:t>
        </w:r>
      </w:hyperlink>
      <w:r>
        <w:rPr>
          <w:rFonts w:ascii="arial" w:eastAsia="arial" w:hAnsi="arial" w:cs="arial"/>
          <w:color w:val="000000"/>
          <w:sz w:val="20"/>
          <w:lang w:val="en-US" w:eastAsia="en-US" w:bidi="ar-SA"/>
        </w:rPr>
        <w:t xml:space="preserve"> [$195,863]</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Sirna v. Smolinski</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2007 BCSC 967</w:t>
        </w:r>
      </w:hyperlink>
      <w:r>
        <w:rPr>
          <w:rFonts w:ascii="arial" w:eastAsia="arial" w:hAnsi="arial" w:cs="arial"/>
          <w:color w:val="000000"/>
          <w:sz w:val="20"/>
          <w:lang w:val="en-US" w:eastAsia="en-US" w:bidi="ar-SA"/>
        </w:rPr>
        <w:t xml:space="preserve"> [$233,550]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ICBC submits that non-pecuniary damages in the range of $50,000 to $80,000 are appropriate and relies upon the following cases:</w:t>
      </w:r>
      <w:r>
        <w:rPr>
          <w:rFonts w:ascii="arial" w:eastAsia="arial" w:hAnsi="arial" w:cs="arial"/>
          <w:sz w:val="20"/>
          <w:lang w:val="en-US" w:eastAsia="en-US" w:bidi="ar-SA"/>
        </w:rPr>
        <w:cr/>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Borecka v. Wilkins</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2017 BCSC 13</w:t>
        </w:r>
      </w:hyperlink>
      <w:r>
        <w:rPr>
          <w:rFonts w:ascii="arial" w:eastAsia="arial" w:hAnsi="arial" w:cs="arial"/>
          <w:color w:val="000000"/>
          <w:sz w:val="20"/>
          <w:lang w:val="en-US" w:eastAsia="en-US" w:bidi="ar-SA"/>
        </w:rPr>
        <w:t xml:space="preserve"> [$85,000]</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Gillespie v. Yellow Cab Company Ltd.</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2014 BCSC 1745</w:t>
        </w:r>
      </w:hyperlink>
      <w:r>
        <w:rPr>
          <w:rFonts w:ascii="arial" w:eastAsia="arial" w:hAnsi="arial" w:cs="arial"/>
          <w:color w:val="000000"/>
          <w:sz w:val="20"/>
          <w:lang w:val="en-US" w:eastAsia="en-US" w:bidi="ar-SA"/>
        </w:rPr>
        <w:t xml:space="preserve"> [$85,000]</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Bonham v. Weir</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2009 BCSC 1080</w:t>
        </w:r>
      </w:hyperlink>
      <w:r>
        <w:rPr>
          <w:rFonts w:ascii="arial" w:eastAsia="arial" w:hAnsi="arial" w:cs="arial"/>
          <w:color w:val="000000"/>
          <w:sz w:val="20"/>
          <w:lang w:val="en-US" w:eastAsia="en-US" w:bidi="ar-SA"/>
        </w:rPr>
        <w:t xml:space="preserve"> [$75,000]</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Mandra v. Lu</w:t>
      </w:r>
      <w:r>
        <w:rPr>
          <w:rFonts w:ascii="arial" w:eastAsia="arial" w:hAnsi="arial" w:cs="arial"/>
          <w:color w:val="000000"/>
          <w:sz w:val="20"/>
          <w:lang w:val="en-US" w:eastAsia="en-US" w:bidi="ar-SA"/>
        </w:rPr>
        <w:t>, 2014, BCSC 2199 [$75,000]</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[$60,000]</w:t>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Yip v. Saran</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2014 BCSC 1283</w:t>
        </w:r>
      </w:hyperlink>
      <w:r>
        <w:rPr>
          <w:rFonts w:ascii="arial" w:eastAsia="arial" w:hAnsi="arial" w:cs="arial"/>
          <w:color w:val="000000"/>
          <w:sz w:val="20"/>
          <w:lang w:val="en-US" w:eastAsia="en-US" w:bidi="ar-SA"/>
        </w:rPr>
        <w:t xml:space="preserve"> [$55,000]</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Warren v. Morgan</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2013 BCSC 708</w:t>
        </w:r>
      </w:hyperlink>
      <w:r>
        <w:rPr>
          <w:rFonts w:ascii="arial" w:eastAsia="arial" w:hAnsi="arial" w:cs="arial"/>
          <w:color w:val="000000"/>
          <w:sz w:val="20"/>
          <w:lang w:val="en-US" w:eastAsia="en-US" w:bidi="ar-SA"/>
        </w:rPr>
        <w:t xml:space="preserve">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It is not necessary for me to review the details of the cases cited by counsel. While I take some guidance from them each case turns on its particular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 and Conclusion on 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Prior to the accident Ms. Ranahan had suffered some physical injuries including an ankle injury in 2002 and a concussion in 2009. Between 2009 and the date of the accident her medical records establish that she was experiencing a number of psychological symptoms including an adjustment disorder, anxiety, depression. She reported and her medical records confirm, that during some of this time she was exhausted and stressed. The evidence does not establish that at the time of the accident some or all of these injuries and symptoms had not resolved or that Ms. Ranahan was significantly impaired from carrying out her work, family and extra-curricular personal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find that, as a result of the accident, Ms. Ranahan experienced and continues to experience physical and emotional pain, suffering and limitation. Relevant facts have been set out earlier in my reasons and there is no need to repeat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impacts have interfered with her family and business life but as a result of her stoicism these impacts have been managed to a certain extent. In addition, her injuries have significantly impacted her recreational and social pursuits but she has not been completely unable to participate in some of these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find that there has been some improvement in some of Ms. Ranahan's symptoms. What is not clear is whether there will be any further improvement. There appears to be a belief amongst some of the medical experts, including Drs. Chow, Johnston and Boyle, that further assessment and treatment may result in improvement. The prognosis of Dr. Chow and Dr. Johnston is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Many of the cases relied upon by Ms. Ranahan occupy the higher end of the spectrum for non-pecuniary damages for similar injuries. The cases relied upon by ICBC are in my view at the lower range and the damages awarded in those cases are not sufficient to address the pain, suffering, loss of enjoyment of life and loss of amenities suffered by Ms. Ranahan.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Having reviewed the cases provided by the parties I assess Ms. Ranahan's non-pecuniary damages at $160,000.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Ms. Ranahan contends that but for the accident, she would have incrementally increased her clinical hours and continued to grow her BodyWorks clinic's physiotherapy business, steadily increasing her hours as her children aged and they became more independent, entered high school and eventually university or the workforce. She also contends that but for the accident she would also have been able to continue her work as an instructor, mentor, and inspector of physiotherapists and through this work and her own marketing attract more physiotherapists to work at her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ICBC disputes that past income loss has been proven. They argue that prior to the accident Ms. Ranahan had already increased her responsibility in terms of housework and child rearing as a result of her husband's health issues and therefore that it is not likely that she would have been able to increase her clinical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Compensation for past and future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A claim for what is sometimes described as a claim for past income loss, is actually a claim for loss of earning capacity. That is, a claim for the loss of the value of the work that the injured party would have performed but was unable to perform because of the injury. Loss of earning capacity rather than the loss of actual income is considered, although loss of income may provide some basis in determining the value of loss of capacity: </w:t>
      </w:r>
      <w:r>
        <w:rPr>
          <w:rFonts w:ascii="arial" w:eastAsia="arial" w:hAnsi="arial" w:cs="arial"/>
          <w:i/>
          <w:color w:val="000000"/>
          <w:sz w:val="20"/>
          <w:lang w:val="en-US" w:eastAsia="en-US" w:bidi="ar-SA"/>
        </w:rPr>
        <w:t>Mojahedi v. Friesen</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2016 BCSC 1225</w:t>
        </w:r>
      </w:hyperlink>
      <w:r>
        <w:rPr>
          <w:rFonts w:ascii="arial" w:eastAsia="arial" w:hAnsi="arial" w:cs="arial"/>
          <w:color w:val="000000"/>
          <w:sz w:val="20"/>
          <w:lang w:val="en-US" w:eastAsia="en-US" w:bidi="ar-SA"/>
        </w:rPr>
        <w:t xml:space="preserve"> at para. 73 referring to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burden of proof of actual past events is proof on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that it would have occurred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the Court of Appeal summarized what constitutes a real and substantial possibility applicable to assessing loss of past and future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summary, an assessment of loss of both past and future earning capacity involves a consideration of hypothetical events. The plaintiff is not required to prove these hypothetical events on a balance of probabilities. A future or hypothetical possibility will be taken into consideration as long as it is a real and substantial possibility and not mere speculation. If the plaintiff establishes a real and substantial possibility, the Court must then determine the measure of damages by assessing the likelihood of the event. Depending on the facts of the case, a loss may be quantified either on an earnings approach or on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assessment of past or future loss requires the court to estimate a pecuniary loss by weighing possibilities and probabilities of hypothetical events. The use of economic and statistical evidence does not turn the assessment into a calculation but can be a helpful tool in determining what is fair and reasonable in the circumstances: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amount of past or future income loss may be proven using the "earnings approach" or the "capital asset" approach. The former will be more useful when a loss is more easily measureable, for example where a plaintiff's income is not expected to fluctuate, up or down, over time. The latter is more useful when the loss is not easily measured: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 on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Ranahan has provided an economic loss report prepared by Darren Benning who was qualified to provide an expert opinion with respect to Ms. Ranahan's past and future wage loss. Mr. Benning's report provides an estimate of past wage loss predicated upon the "earnings approach". Ms. Ranahan submits that although the "loss of capacity" approach is more appropriate in the circumstances of this case, Mr. Benning's mathematical calculation provides the Court with some guidance.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Benning calculates that damages resulting from Ms. Ranahan's past loss of earning capacity to be $150,787 based upon a provided scenario of gradual increases in the clinical hours that Ms. Ranahan could have worked but for the accident. His calculation does not take into account any residual loss of earnings opportunity in relations Ms. Ranahan's inability to more effectively and efficiently maintain, market, grow and operate her business as a growing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As I have already stated, ICBC contends that Ms. Ranahan has not suffered past wage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 and Conclusion on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evidence establishes that Ms. Ranahan has over many years worked towards a goal of establishing her own sports-focussed physiotherapy clinic. She purchased and renovated a space to establish her BodyWorks clinic with the capacity to employ six physiotherapists. She was working to cultivate a sports clientele through her on-going education and participation in sporting activities - including long-distance cycling and coaching. She was also carrying out activities including instructing and mentoring physiotherapists which in part, provided an opportunity to recruit physiotherapists to her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accept Ms. Ranahan's evidence that she intended to incrementally expand her physiotherapy business starting when her oldest daughter reached the age of 13. I also find that this intention was formed prior to Mr. Ranahan's July 2013 diagnosis of chronic fatigue syndrome, postural orthostatic tachycardia syndrome and migraines. Although Mr. Ranahan's symptoms worsened significantly after the accident, it is possible that absent the accident Ms. Ranahan would have had to spend more time caring for him and taking on additional home and childcare duties as a result of his diminished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Although I have found there is a real and substantial possibility that but for the accident Ms. Ranahan would have sought to increase her clinical hours and grown her physiotherapy business, steadily increasing her hours, these efforts would have been mitigated by the requirement for her to deal with Mr. Rahahan's pre-accident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find that the estimate of actual loss of income, in the amount of $150,787 calculated by Darren Benning provides a useful starting point in determining Ms. Ranahan's damages resulting from past loss of earning capacity but I consider that a deduction of 30% is appropriate to account for contingencies related to the on-going, pre-existing care requirements for Mr. Ranahan. Accordingly, I assess damages under this head to be $106,000.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Ms. Ranahan contends that she has suffered functional and vocational deficits as a result of the injuries that will negatively impact her future earning potential. I have already found that it was her intention to increase her clinical hours and grow her physiotherapy business as her children grow up. She argues that, given her injuries, that is no longer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Darren Benning calculates that damages resulting from Ms. Ranahan's future loss of earning capacity to be $1,255,658 to age 65 and this calculation is based solely upon the assumption that Ms. Ranahan will have to forego clinical hours that she would have worked, absent the accident. It does not take into account the contingency that, absent the accident, Ms. Ranahan may have worked in some capacity beyond 65, nor does it take into account the prospect of a forced early retirement due to her injuries. As well, Mr. Benning's calculation does not take into account the potential for Ms. Ranahan to earn more through the growth of the business of BodyWorks clinic. Ms. Ranahan submits that damages under this head of $1,100,000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ICBC submits that Ms. Ranahan's claim for future loss of earnings is too speculative. They contend that there is no proof that Ms. Ranahan will never be able to increase her clinical hours, despite her injuries, and that it is possible that her symptoms will improve, allowing her to work more. ICBC states that even if she cannot increase her clinical hours or can only increase them partially, she will be able to devote more time to marketing, mentoring, and teaching in order to build her business and hire other physiotherapists.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ICBC also submits that any loss related to a potential increase in her earning resulting from the growth of her BodyWorks clinic business is too speculative and has not been proven. They point to the fact that she doubled her business revenue from 2013 to 2016 from around $169,000 to $334,000. ICBC also submits that there was no independent evidence presented from experts in business evaluation setting out the relative likelihood of the success of her business model. ICBC proposes that damages under this head in the range of $100,000 to $200,000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on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 ...</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 and Conclusion on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same rationale for awarding Ms. Ranahan damages for past loss of earning capacity applies to her claim for loss of future capacity, being the impairment of her capacity to earn income - the loss of a capital asset that attracts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do not agree with ICBC that there is no proof that Ms. Ranahan would have increased her clinical hours if the accident had not occurred. Dr. Chow and Ms. Hull are of the opinion that her condition has likely plateaued although they and other experts including Dr. Johnston and Dr. Boyle consider it possible that her condition will improve somewhat after further assessment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With respect to Ms. Ranahan's business losses, that is losses flowing from a decreased capacity to grow the business of the BodyWorks clinic, on the one hand, ICBC argues such losses are too speculative. On the other hand, they contend that even if she cannot increase her clinical hours or can only increase them partially, she will be able to devote more time to marketing, mentoring, and teaching in order to build her business, which will exceed the cost of her replacement labour. As such, they submit that Ms. Ranahan has not discharged the burden of proof that her damages are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find that Ms. Ranahan has proven that there is a real and substantial possibility that going forward she will not be able to work the clinical hours she could have, but for the accident. In addition, I find that Ms. Ranahan has demonstrated a real and substantial possibility that she will not be able to grow the business of her BodyWorks clinic as much as she had hoped.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find that the estimate of future income loss, in the amount of $1,255,658 calculated by Darren Benning provides a useful starting point in determining Ms. Ranahan's damages resulting from future loss of earning capacity. Mr. Benning's calculation is based on an assumption that Ms. Ranahan would have retired at 65 years of age which is consistent with Ms. Ranahan's evidence at trial regarding her future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assumptions which underlie Mr. Benning's calculation are not iron-clad. There is a possibility that her condition may improve, which may result in an increase in her ability to work clinical hours and grow her business. There is also a possibility that Mr. Ranahan's care needs, arising from his condition before the accident, would have persisted or increased, which would therefore result in a reduction in her future earnings capacity. In the circumstances, in consideration of the overall fairness and reasonableness of the award I consider that a deduction of 30% is appropriate to account for contingencies related to the pre-accident care requirements for Mr. Ranahan and the possibility that after further assessment and treatment, Ms. Ranahan's symptoms will improve. Accordingly, I assess Ms. Ranahan's damages under this head to be $879,000.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Ms. Ranahan submits that her cost of future care, based on opinion evidence provided by Dr. Chow, will have to include occupational therapy, physical therapy, pharmacotherapy, intervention treatments, and a head injury program. She also submits that Ms. Hull's evidence supports that Ms. Ranahan will need a wide variety of treatments, including but not limited to facet block injections, psychotherapeutic treatments, occupational therapy, neuro-optometry assessments, visual rehabilitation, symptom management treatments (osteopathy, massage therapy, physiotherapy, IMS), medications and supplements, a heating pad, Epsom salts, a foam roller, massage balls, a gym pass, and homemaking/gardening support. Ms. Ranahan seeks an award of between $220,000 and $266,000 as the present value of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ICBC has primarily taken issue with Ms. Ranahan's claim for supplements (which account for approximately $109,000 of the claimed costs) on the basis that there is not enough medical evidence to support that she needs them. Additionally, ICBC contends that claim for the cost of consultation with a spine specialist and facet blocks would be included under her Medical Services Plan coverage. They also contend that there is enough evidence to support a finding that Ms. Ranahan requires a neural optometry assessment. ICBC contends that the cost of symptom management therapies to age 65 (osteopathy, massage, physiotherapy and IMS), epsom salts, housework support and gardening support claims are excessive. They also contend that Ms. Ranahan will also not require rollers or massage balls as she owns a physiotherapy studio already and has access to that equipment and that a gym/pool membership is not required as she previously attended Pilates classes. Finally, ICBC contends that Ms. Ranahan's claim for cleaning services, yard clean-up and maintenance would overcompensate her for her loss and replace the work previously done by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ICBC contends that the costs of future care are unnecessary, inflated and will likely diminish over time as her symptoms resolve and that some of the claimed amounts are inappropriate. They submit that an award under this head of damages should be between $25,000 and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A plaintiff is entitled to compensation for the cost of future care based on what is reasonably necessary to restore her to her pre-accident condition in so 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Future care costs are "justified" if they are both medically necessary and likely to be incurred by the plaintiff. The award of damages is thus a matter of prediction as to what will happen in the future. If a plaintiff has not used a particular item or service in the past it may be inappropriate to include its cost in a future care award. However, if the evidence shows that previously rejected services will not be (able to be) rejected in the future, the plaintiff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&amp; 68-70.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 on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Cost of future care recommendations were set out in the report of Natalie Hull. Natalie Hull's recommendations with respect to on-going care needs were made on the assumption that Ms. Ranahan's pain symptoms and mood and cognitive complaints are unlikely to improve. A present value calculation and methodology for adjusting this calculation was included in the report of 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According to Natalie Hull, the health supplements reportedly taken by Ms. Ranahan were recommended by Dr. Coppin. Ms. Hull stated that she would defer to the suitable medical expert to provide an opinion on the medical justification for these supplements. Dr. Coppin was not called as a witness at trial. I was not provided with expert medical evidence establishing that supplements are required in order to maintain or improve a condition which resulted from the accident and accordingly I do not find that these costs are justified. This results in a reduction of $109,000 from the present value calculation of the costs of future care completed by 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Natalie Hull's recommendations include the cost of a one time consultation with a spine specialist and up to two facet joint blocks to address Ms. Ranahan's on-going neck pain at a total cost of approximately $3,475 - which are "private-pay" costs. Dr. Chow recommended consideration of this treatment. Although ICBC submits that these costs are covered by MSP I was not taken to evidence in this regard. Accordingly, I find that these costs are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With respect to the cost of undergoing a neuro optometry assessment, I find that there is sufficient evidence establishing that Ms. Ranahan suffers from on-going vision issues and that this assessment cost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Natalie Hull has recommended ongoing periodic osteopathy, massage therapy and physiotherapy with IMS treatments to help mitigate adverse impacts of future neck related flare-ups. She has recommended other supplies, including Epsom salts, foam roller and massage balls to assist with ongoing symptom management. I find that these treatment costs are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With respect to annual costs of a gym/pool pass Natalie Hull recommends ongoing access to a community centre facility to such facilities to provide Ms. Ranahan with a suitable venue for continuing her independent rehabilitative exercise regime. ICBC contends that these costs are, in effect, duplicative in that Ms. Ranahan has a history of attending at Pilates classes. I am not satisfied that attendance at a gym and pool is medically justified given Ms. Ranahan's other physical activities, including hiking, biking and Pilates. In addition there is a possibility that she would have incurred these costs even if the accident had not occurred. This results in a reduction of approximately $10,000 from the present value calculation of the cost of future care completed by 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Natalie Hull recommends ongoing provision of housekeeping services of four hours per month for heavier tasks (cleaning bathrooms, washing floors) that Ms. Ranahan is unable to perform. I accept that the lower range proposed for these costs, $1,200 per year, is justified. This results in a reduction of approximately $17,500 from the present value calculation of the cost of future care completed by 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Natalie Hull has recommended a one time expenditure for cleaning up Ms. Ranahan's yard and on-going maintenance to perform work that requires repetitive or sustained bending or neck flexion. I agree with the submission of ICBC that some of this work was likely previously carried out by Mr. Ranahan and accordingly, it would be inappropriate if Ms. Ranahan was compensated for the cost of work previously performed by both her and her husband. In my view, it would be appropriate to reduce Natalie Hull's estimated one time clean-up cost ($2,500) and the low-end of annual maintenance costs ($840) by 50%. This results in a total deduction of approximately $12,100 from the present value calculation of the cost of future care completed by Darren Benning.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assessment of damages for the cost of future care is not an accounting exercise. I consider that a reasonable estimate of the present value of the cost of Ms. Ranahan's future care, after making the deductions I have outlined above, is $148,600.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also consider that this amount should be further reduced for contingencies including the potential that Ms. Ranahan's condition will improve and therefore, that she will not require the same level of care for the length of time used in Darren Benning's calculation. In my view, a reduction 15% is a fair and reasonable deduction.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As a result I assess Ms. Ranahan's damages for costs of future care to be $126,310.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Where a plaintiff suffers an injury which would make a reasonable person in their circumstances unable to perform usual and necessary household work - that is where the plaintiff has suffered a loss of capacity - that loss may be compensated by way of a pecuniary award: </w:t>
      </w:r>
      <w:r>
        <w:rPr>
          <w:rFonts w:ascii="arial" w:eastAsia="arial" w:hAnsi="arial" w:cs="arial"/>
          <w:i/>
          <w:color w:val="000000"/>
          <w:sz w:val="20"/>
          <w:lang w:val="en-US" w:eastAsia="en-US" w:bidi="ar-SA"/>
        </w:rPr>
        <w:t>Kin v. Lin</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Ms. Ranahan submits that her capacity to perform household tasks and chores has been reduced as a result of her injuries. Natalie Hull's functional capacity assessment conclude that Ms. Ranahan is physically capable of performing day to day cooking and some cleaning activities but will have difficulty with heavier cleaning tasks that require stooping and neck flexion.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Ms. Ranahan claims that as a result of her physical limitations since the accident she has had to increase her housekeeper's hours by four hours per month, to incorporate additional duties that she used to perform herself. This initially resulted in additional monthly housekeeping costs of $100 (4 hours at $25/hr) per month after the accident but Ms. Ranahan has recently increased the hours worked by her housekeeper to 16 hours per week. Ms. Ranahan seeks an award of between $25,000 and $30,000 for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have already included an award for damages for loss of housekeeping capacity in my assessment of damages for cost of future care (of approximately $25,000) and I see no basis for awarding additional damages in this respect under a separate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Ms. Ranahan makes a special damages claim for various out-of-pocket expenses, including acupuncture, massage therapy, naturopathy, osteopathy, physiotherapy, Pilates, assessments and treatment by a preventative/functional medicine specialist, counselling, optometry assessment, tinnitus treatment, chronic pain treatment and other miscellaneous expenses. She also claims for expenses in relation to her increased need for housekeeping services, property maintenance and gardening assistance. Her claim for these special damages is $38,729.14.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Additionally, Ms. Ranahan claims for the cost of replacing the family's bicycles, bicycle rack, coffee machine, and grinder in the amount of $12,744.50.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ICBC opposes significant portions of this claim on the basis that there is no medical evidence to support that the therapies were needed to improve Ms. Ranahan's condition. Specifically, they object to the costs related to acupuncture, naturopathy, osteopathy, Pilates, treatment by a preventative medicine specialist, optometry assessment and naturopathic treatments included under miscellaneous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addition, ICBC also opposes the award of damages relating to travel costs associated with Ms. Ranahan's attendance at several treatment and IME facilities on the basis that they are medically unnecessary, would have been attended at despite the accident, are unrelated to the accident, or, are properly categorized as disbursements. In addition, ICBC opposes the claim for Ms. Ranahan's lunches on January 17, 2018, and July 11, 2018, as well as her parking on July 11, 2018, as they are properly categorized as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Finally, ICBC opposes paying for the plaintiff's pain medication due to lack of receipts, her "Brux Guard" on the basis that it is not medically necessary, and $6,100 of her housekeeping expense due to lack of receipts.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 and Conclusion on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It is well established that an injured person is entitled to recover the reasonable out-of-pocket expenses he or she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A medical justification for a claimed special damages expense is a factor which should be applied in determining reasonableness of an expense: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xml:space="preserve">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With respect to the costs of Ms. Ranahan's attendance at various therapists, I find that, with the exception of costs for Pilates, such therapies were undertaken by Ms. Ranahan in a good faith effort to improve her condition. It is clear that she was struggling with a number of significant symptoms and was making an effort to recover. Although Ms. Ranahan admits that she chose to see an osteopath and that this did not result from a recommendation made by her GP, Dr. Lakha, I consider that she did so in an attempt to seek medical assistance in dealing with painful headaches. With respect to costs of attending at Pilates sessions after the accident, I am not satisfied that Ms. Ranahan would not have continued to do so, even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There is no dispute and I find that Ms. Ranahan is entitled to the cost claimed for replacing the family's bicycles, bike rack, coffee machine and coffee grinder.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With respect to travel costs, I agree with the submissions of ICBC that Ms. Ranahan should not be compensated for travel costs for attending at medical appointments which, but for the accident, she would have attended in any case. I also agree that travel costs for attendance to IMEs and meal expenses are property considered as disbursements. Finally, I agree that there has been no medical evidence provided to support the claim for reimbursement of the cost of purchasing a Brux guard. For the same reason set out above concerning cost of future care I do not consider that Ms. Ranaham's claim for membership at the North Vancouver Rec Center is recoverable. I consider it appropriate that the amount of $3,000 is deducted from Ms. Ranahan's claim for special damages as unrecoverable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With respect to the $6,100 in additional housekeeping expense, which ICBC challenges on the basis that receipts have not been provided, I accept Ms. Ranahan's evidence that this expense was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Accordingly, I find that Ms. Ranahan is entitled to reimbursement for her special damages in the amount of $48,473.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ICBC contends that Ms. Ranahan failed to mitigate her loss by failing to follow the recommendations of Dr. Chow to:</w:t>
      </w:r>
      <w:r>
        <w:rPr>
          <w:rFonts w:ascii="arial" w:eastAsia="arial" w:hAnsi="arial" w:cs="arial"/>
          <w:sz w:val="20"/>
          <w:lang w:val="en-US" w:eastAsia="en-US" w:bidi="ar-SA"/>
        </w:rPr>
        <w:cr/>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Undergo a neuro-psychological examination;</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an in-home assessment by an occupational therapist;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a work place assessment conducted by an occupational therapist;</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Take a trial of tricyclic medication, either Lyrica or Cmybalta; and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Undergo diagnostic facet block injections and potentially therapeutic injections for her neck; and undergo treatment by a neurologist with a specialty in headaches and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As well, ICBC contends that Ms. Ranahan failed to mitigate her loss by not following the recommendations of Dr. Kiraly to:</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Undergo psychotherapeutic support and cognitive behaviour therapy;</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Undergo psychiatric treatment; and likely</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Take psychotropic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A defendant bears the onus of proving that a plaintiff could have avoided all or a portion of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When doctors recommend treatment and their advice is not followed the defendant must prove first that the plaintiff acted unreasonably in not taking the treatment and second, the extent to which the plaintiff's damages would have been reduced: </w:t>
      </w:r>
      <w:r>
        <w:rPr>
          <w:rFonts w:ascii="arial" w:eastAsia="arial" w:hAnsi="arial" w:cs="arial"/>
          <w:i/>
          <w:color w:val="000000"/>
          <w:sz w:val="20"/>
          <w:lang w:val="en-US" w:eastAsia="en-US" w:bidi="ar-SA"/>
        </w:rPr>
        <w:t>Maltese v. Pratap</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2014 BCSC 18</w:t>
        </w:r>
      </w:hyperlink>
      <w:r>
        <w:rPr>
          <w:rFonts w:ascii="arial" w:eastAsia="arial" w:hAnsi="arial" w:cs="arial"/>
          <w:color w:val="000000"/>
          <w:sz w:val="20"/>
          <w:lang w:val="en-US" w:eastAsia="en-US" w:bidi="ar-SA"/>
        </w:rPr>
        <w:t xml:space="preserve"> at para. 52, citing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and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at paras. 166-72.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Proof that a plaintiff's damages would have been reduced does not require direct evidence that a plaintiff would have benefitted from a specific treatment. It may be sufficient to adduce evidence that most persons are assisted by a particular treatment, which is sufficient to enable the Court to infer that a plaintiff would have benefited from it: </w:t>
      </w:r>
      <w:r>
        <w:rPr>
          <w:rFonts w:ascii="arial" w:eastAsia="arial" w:hAnsi="arial" w:cs="arial"/>
          <w:i/>
          <w:color w:val="000000"/>
          <w:sz w:val="20"/>
          <w:lang w:val="en-US" w:eastAsia="en-US" w:bidi="ar-SA"/>
        </w:rPr>
        <w:t>Liu v. Bipinchandra</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2016 BCSC 283</w:t>
        </w:r>
      </w:hyperlink>
      <w:r>
        <w:rPr>
          <w:rFonts w:ascii="arial" w:eastAsia="arial" w:hAnsi="arial" w:cs="arial"/>
          <w:color w:val="000000"/>
          <w:sz w:val="20"/>
          <w:lang w:val="en-US" w:eastAsia="en-US" w:bidi="ar-SA"/>
        </w:rPr>
        <w:t>, at paras. 102 and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Chow completed an IME of Ms. Ranahan on July 12, 2016, three years after the accident. Accordingly, to the extent that he may have provided recommendations regarding further care, any failure to mitigate by not following such recommendations could only have occurred after that date. With respect to what ICBC describes as recommendations made by him, I make the following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In his report Dr. Chow stated that a neuropsychological and psychological assessment will be required along with a neurological consultation from someone specializing in headaches and traumatic brain injury. In cross examination, he testified that further assessments in this regard would be of assistance. Dr. Chow also stated in his report that it would be beneficial if Ms. Ranahan underwent psychiatric treatment including potentially taking psychiatric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Ms. Ranahan was assessed by Dr. Kiraly, a psychiatrist, on July 21, 2017. Dr. Kiraly recommended further psychotherapeutic support and psychiatric care and stated that psychotropic medications could be considered for depression and pain </w:t>
      </w:r>
      <w:r>
        <w:rPr>
          <w:rFonts w:ascii="arial" w:eastAsia="arial" w:hAnsi="arial" w:cs="arial"/>
          <w:color w:val="000000"/>
          <w:sz w:val="20"/>
          <w:u w:val="single"/>
          <w:lang w:val="en-US" w:eastAsia="en-US" w:bidi="ar-SA"/>
        </w:rPr>
        <w:t>if needed in the future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Ms. Ranahan was assessed by Dr. Johnston, a neurologist, in July 11, 2018. He noted in his report that Ms. Ranahan had undergone psychiatric and pharmacological treatment of her depressive symptoms, with modest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Beyond attending at IMEs, Ms. Ranahan did seek various treatments to deal with her symptoms including seeing an osteopath to help with headaches, Dr. James Coppin, who specializes in Functional Medicine, Dr. Grant, a psychologist and Dr. Hyams, a Chronic Pain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am not satisfied that Ms. Ranahan acted unreasonably in failing to take treatment advice. In addition, even if I was to find that she had failed to follow prudent medical advice, I am not satisfied that sufficient evidence has been provided to allow me to determine that she would have benefited from such advice to date. She has expressed a desire to undergo further assessment and if required, to continue treatment and I hope she will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Income Tax Gross Up and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Ms. Ranahan submits that she is entitled to an income tax gross up to be assessed. ICBC has not made submissions on this head of damages. An income tax gross up is designed to account for taxes paid on lump sum awards for the cost of future care. I find that an income tax gross up for the portion of the award for cost of future care is appropriate with the gross up amount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Ms. Ranahan submits that she will require future financial planning assistance due to her injuries. ICBC submits that awards of management fees are only appropriate when the plaintiff's level of intelligence is such that they are unable to manage their own affairs or lack the acumen to invest funds awarded for future care as to produce the requisite rate of return: </w:t>
      </w:r>
      <w:r>
        <w:rPr>
          <w:rFonts w:ascii="arial" w:eastAsia="arial" w:hAnsi="arial" w:cs="arial"/>
          <w:i/>
          <w:color w:val="000000"/>
          <w:sz w:val="20"/>
          <w:lang w:val="en-US" w:eastAsia="en-US" w:bidi="ar-SA"/>
        </w:rPr>
        <w:t>Mandzuk v. ICBC</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[1988] 2 S.C.R. 650</w:t>
        </w:r>
      </w:hyperlink>
      <w:r>
        <w:rPr>
          <w:rFonts w:ascii="arial" w:eastAsia="arial" w:hAnsi="arial" w:cs="arial"/>
          <w:color w:val="000000"/>
          <w:sz w:val="20"/>
          <w:lang w:val="en-US" w:eastAsia="en-US" w:bidi="ar-SA"/>
        </w:rPr>
        <w:t xml:space="preserve"> at para. 2. They claim that Ms. Ranahan does not meet the test for someone who would require management fees and that there is no evidentiary foundation for the award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agree with the submissions of ICBC that the evidence does not suggest that Ms. Ranahan, a professional business-person, would not be capable of making most decisions with respect to management of a financial award made to her to obtain a reasonable rate of return. I would add that she may well have the assistance of Mr. Ranahan in this respect. I expect that there will be some unavoidable costs to Ms. Ranahan in managing her award to ensure that she receives a reasonable rate of return. I consider that an award of $15,000 for management fees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 summary, damages are awarded to Ms. Ranahan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3"/>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$106,000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$879,000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Costs of future care</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$126,310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$48,473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 tax gross up</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be assessed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Management fees</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$1,334,783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Ms. Ranahan is entitled to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Subject to any submissions the parties wish to make, Ms. Ranahan is entitled to her costs of the action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A.P.A. MAYER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9" style="position:absolute;z-index:2517913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Samaroo v. Canada Revenue Agency, [2018] B.C.J. No. 363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5-9, 12-15, 2016; February 1-3,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12-1154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2018 BCSC 324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2018 D.T.C. 5026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289 A.C.W.S. (3d) 894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[2018] 6 W.W.R. 106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8 B.C.L.R. (6th) 121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[2018] G.S.T.C. 18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2018 CarswellBC 473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Tony Samaroo and Helen Samaroo, Plaintiffs, and Canada Revenue Agency, Brian David Jones, Brian D. Jones Law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(340 paras.)</w:t>
      </w:r>
    </w:p>
    <w:p>
      <w:pPr>
        <w:jc w:val="both"/>
        <w:rPr>
          <w:rFonts w:ascii="arial" w:eastAsia="arial" w:hAnsi="arial" w:cs="arial"/>
          <w:sz w:val="20"/>
          <w:lang w:val="en-US" w:eastAsia="en-US" w:bidi="ar-SA"/>
        </w:rPr>
      </w:pPr>
      <w:bookmarkStart w:id="164" w:name="Counsel_30"/>
      <w:bookmarkEnd w:id="1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0"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S.M. Kelliher, D.C. Redman.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D.J. Strachan, Q.C., S.A. Lord, K.B. Baldwin.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5" w:name="Judgment_30"/>
      <w:bookmarkEnd w:id="165"/>
      <w:r>
        <w:pict>
          <v:line id="_x0000_s1151" style="position:absolute;z-index:2517422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6" w:name="R.D. PUNNETT J."/>
            <w:bookmarkEnd w:id="166"/>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case of alleged malicious prosecution. The plaintiffs, Tony and Helen Samaroo, claim that a Crown prosecutor, Brian Jones, and a senior investigator for the Canada Revenue Agency ("CRA"), Keith Kendal, intentionally and wrongfully violated two fundamental tenets of the criminal justice system: that a person not be charged with a crime unless on a lawful basis and that a prosecution will be conducted lawfully and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are husband and wife. They operated a restaurant (called the MGM in these reasons), a nightclub and a motel in Nanaimo, B.C. The CRA investigated the plaintiffs and their corporations for tax evasion during the years 2004-2006. They were charged with tax evasion and acquitted on all counts after a 19-day trial in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and their alleged wrongful acts, fall into two overlapping groups and time periods. The claims advanced against the CRA begin with the investigation of the plaintiffs for tax evasion and continue through to charge approval and prosecution. The claim against Mr. Brian Jones and his law corporation arises from his role as an agent or "ad hoc" prosecutor from the end of the CRA investigation through charge approval and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Samaroo immigrated to Canada over 30 years ago. He was a cook and at the time of trial was 68 years of age. Ms. Samaroo is also an immigrant to Canada. They have two children, now adults.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June 12, 2008 an indictment was issued against them and their closely held corporations under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R.S.C. 1985, c. 1 (5th Supp.)</w:t>
        </w:r>
      </w:hyperlink>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Excise Tax Act</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R.S.C. 1985, c. E-14</w:t>
        </w:r>
      </w:hyperlink>
      <w:r>
        <w:rPr>
          <w:rFonts w:ascii="arial" w:eastAsia="arial" w:hAnsi="arial" w:cs="arial"/>
          <w:color w:val="000000"/>
          <w:sz w:val="20"/>
          <w:lang w:val="en-US" w:eastAsia="en-US" w:bidi="ar-SA"/>
        </w:rPr>
        <w:t>, charging them with 21 counts of tax evasion. The plaintiffs were alleged to have skimmed $1.7 million from their restaurant between 2004 and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Provincial Court prosecution, the Crown initially alleged that the Samaroos had failed to report one of three restaurant shifts by failing to provide the till tapes or ring offs for one shift to their bookkeeper. The restaurant operated three shifts, the day shift, the night shift, and the graveyard shift. At the end of each shift, an employee rang off the till to determine the amount made during the shift. This produced a till tape, also referred to in these reasons as a "z tape", and the total of the sales during the shift was recorded on a daily sales summary sheet. At the commencement of the trial the allegation was that the Samaroos gave their bookkeeper, Ms. Deborah Ferens, a single daily sales summary sheet for each day with three columns, marked "day", "night" and "days total". The allegation, as mentioned, was that the till tape from one shift was not included in the figures set out on the daily sales summary sheet, and was not provided to Ms. Ferens.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During the trial the Crown position changed from a failure to report one shift on the daily summary sheet to an allegation based on the evidence of a former restaurant employee, Ms. Diane Ye, that there was actually a second daily sales summary sheet that documented the graveyard shift income and that sheet was retained by the Samaroos and not provided to the bookkeeper.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April 6, 2011, following a 19-day trial, Judge Saunders acquitted the Samaroos and their closely held corporations of all 21 charges of tax evasion (</w:t>
      </w:r>
      <w:r>
        <w:rPr>
          <w:rFonts w:ascii="arial" w:eastAsia="arial" w:hAnsi="arial" w:cs="arial"/>
          <w:i/>
          <w:color w:val="000000"/>
          <w:sz w:val="20"/>
          <w:lang w:val="en-US" w:eastAsia="en-US" w:bidi="ar-SA"/>
        </w:rPr>
        <w:t>R. v. Samaroo</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2011 BCPC 503</w:t>
        </w:r>
      </w:hyperlink>
      <w:r>
        <w:rPr>
          <w:rFonts w:ascii="arial" w:eastAsia="arial" w:hAnsi="arial" w:cs="arial"/>
          <w:color w:val="000000"/>
          <w:sz w:val="20"/>
          <w:lang w:val="en-US" w:eastAsia="en-US" w:bidi="ar-SA"/>
        </w:rPr>
        <w:t>). Judge Saunders found Mr. Samaroo a credible witness. She found that his demeanor was impressive and his explanations were plausible and consistent with significant and material aspects of the evidence. Judge Saunders accepted his evidence about the source of the funds in issue. She also accepted his explanation that the Samaroos used to use only one daily sales summary sheet to record all the sales from the restaurant and that Mr. Samaroo told Ms. Ye to record sales from the graveyard shift in the night shift column on the daily sales summary sheet because sales were so low for the graveyard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March 29, 2012, the plaintiffs commenced this action for malicious prosecution against the CRA, Mr. Brian Jones and Brian D. Jones Law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case consisted of evidence from six witnesses: Lisa McLean, senior counsel with the Public Prosecution Service of Canada ("PPSC") who at the relevant times was an "Agent Supervisor", Professor Chris Tollefson, co-counsel for Helen Samaroo during the criminal trial, the plaintiffs, Tony and Helen Samaroo, and their two children, Tricia Miller and Kevin Samaroo. The plaintiffs also tendered in evidence several binders of documents, comprised primarily of correspondence between and among the defendants, work product of the defendants (much of which was disclosed during the criminal trial), the criminal trial transcripts and the decision of Judge Saunders of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case consisted of evidence from three witnesses: Mr. Kendal, Janna Hyman, senior counsel with the PPSC, and Mr. Brian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Others involved included Ed Heese, the Samaroos' accountant, Mr. Alan Jones the investigative team leader at the CRA who eventually assigned the investigation to Mr. Kendal, Ms. Ferens, and Ms. 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the plaintiffs' claim of malicious prosecution turns on the sequence of events leading to, and during the Provincial Court trial, an overview of those events is necessary. I will first address the background respecting the investigation by the CRA, then the referral for charge approval, followed by the prosecution for tax evasion in the Provincial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Civil Audit by the Canada Revenue Agency and Referral for Criminal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March 2006, after receiving a tip the CRA audited the plaintiffs. Glen Foster, a civil auditor with the CRA, was the first to contact the plaintiffs. On March 21, 2006 as part of the civil audit he interviewed Ms. Ferens. Ms. Ferens provided him with a copy of the daily sales summary sheet for the restaurant with the three columns described above ("day", "night" and "days total"). He recorded in his notes that Ms. Ferens told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daily summary sheet used to only show 2 ring offs a day. The bookkeeper stated that she only posted 2 ring offs a day for the period under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the civil audit the CRA determined that during the audit period substantial cash deposits had been made to the plaintiffs' business accounts. Those deposits and their source precipitated, and were the foundation for, the criminal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May 29, 2006 Mr. Foster spoke to Mr. Heese and then to Mr. Samaroo. Both Mr. Heese and Mr. Samaroo explained to him that the source of the deposits to the business accounts was cash savings that Mr. Samaroo had accumulated over many years. Both Mr. Heese and Mr. Samaroo explained that Mr. Samaroo was afraid the bank would stop accepting old $100 bills, which made up a portion of his cash savings, so he had deposited the bills into the business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notes dated June 23, 2006 Mr. Foster recorded: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Tony is very adamant that the money deposited to the business accounts came from his savings over the past 35 years. And that he had only taken the money out of the safety deposit box over fear that the old $50 and $100 bills would not be accepted by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August 18, 2006, having completed his civil audit, Mr. Foster referred the case to the Enforcement Division of the CRA for a determination on whether or not a criminal investigation would be undertaken. Mr. Alan Jones authored a "Primary Report" dated October 30, 2006, recommending that the case proceed to a full investigation "with searches to be conducted at the residence, three business locations, the accountants' office and the auditor's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Alan Jones wrote in his report that two other factors justified the case being selected for a full investigation, aside from the results of the civil audit:</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restaurant and night club industries are those that have a high rate of non-compliance;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CRA has not prosecuted a business in the restaurant or nightclub industry in the Nanaimo area recently.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Based on Mr. Alan Jones' recommendations, the CRA decided that the case against the plaintiffs should proceed to a full criminal investigation.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Criminal Investigation and Preparation of the Draft Prosecution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January 4, 2007, the Information to Obtain ("ITO") was sworn. On January 24, 2007, the search warrants regarding the plaintiffs' residence, businesses and accountant's office were executed. Mr. Kendal was assigned as the officer in charge regarding the search of the plaintiffs' residence. Mr. Terry Finlay, another investigator with the CRA, was the officer in charge of the search of Mr. Heese's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During the execution of the search warrant regarding Mr. Heese's office, Mr. Finlay, based on prepared written questions for the interview, interviewed Ms. Ferens. This was the second time she had been interviewed. Mr. Foster conducted the first interview. In the notes taken at the second interview, Mr. Finlay recorded that Ms. Ferens told him she did not post from the till tapes, or look at them, because the daily sales summary sheet provided to her was adequate. Mr. Finlay recorded these questions and responses in his notes of the interview:</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kind of summaries or sales records were provided to you for bookkeeping for MGM?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get a box of records each month. I get each days records including cash register tapes. Didn't post from the tapes because the daily sales sheet is adequate.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did you notice the change in the number of ring-offs included for the daily summaries?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was a busy time when they switched to three shifts. Mostly it was two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Following the execution of the search warrants, the case was assigned the next day, January 25, 2007, to Mr. Kendal. In direct examination Mr. Kendal testified that he knew before the case was assigned to him that the CRA had no till tapes. He testified that after the search warrants were executed the CRA searchers would have gathered for a "scrum" to discuss the searches and what information had been obtained. This probably would have included a review of the interview of Ms. Ferens and others that the CRA had hoped to interview. Mr. Kendal testified that to plan his investigation he then spent several weeks reviewing the fruits of the search to determine what information the CRA had and did not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Kendal testified in cross-examination he understood Ms. Ferens' explanation to Mr. Finlay to mean she did not look at the till tapes being provided to her and could not say how many till tapes she was receiving from the plaintiffs. She knew that she received till tapes, but could not say whether she received two or three till tapes, nor what shifts they related to:</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 can take you back to paragraph 7, it's clear from paragraph 7 that Deborah Ferens never looks at the till tapes; correct?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correct.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no idea how many till tapes she gets, does she?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I - she knows she gets till tapes.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How many till tapes?</w:t>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there's till tapes in the box of records - monthly box of records given to her, so I - you know, anywhere from one to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 working paper Mr. Kendal created approximately a month after the execution of the search warrants called "Investigations Plan - MGM",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Cannot show that only two ring ups [sic] were reported on 2004 &amp; 2005</w:t>
      </w:r>
      <w:r>
        <w:rPr>
          <w:rFonts w:ascii="arial" w:eastAsia="arial" w:hAnsi="arial" w:cs="arial"/>
          <w:color w:val="000000"/>
          <w:sz w:val="20"/>
          <w:lang w:val="en-US" w:eastAsia="en-US" w:bidi="ar-SA"/>
        </w:rPr>
        <w:t>. Have no daily cash summary sheets with attached till tapes.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3rd party witnesses: former employees on what issue? That they worked the 3rd shift? </w:t>
      </w:r>
      <w:r>
        <w:rPr>
          <w:rFonts w:ascii="arial" w:eastAsia="arial" w:hAnsi="arial" w:cs="arial"/>
          <w:color w:val="000000"/>
          <w:sz w:val="20"/>
          <w:u w:val="single"/>
          <w:lang w:val="en-US" w:eastAsia="en-US" w:bidi="ar-SA"/>
        </w:rPr>
        <w:t>Cannot prove 3rd shift wasn't reported, so this would be meaningless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have formally admitted that Mr. Kendal authored this working paper and that at the time it accurately reflected his subjectively held view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Mr. Kendal made this note he knew of both the Foster and Finlay interviews of Ms. Ferens and he had seen the blank daily sales summary sheet provided by Ms. Ferens to Mr. Foster. Mr. Kendal testified this working paper reflected his notes of what information he had and what information he wanted to obtain during his investigation. He called it "a sort of to do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Kendal also wrote in the working paper he was planning on issuing a Production Order for prior years "to </w:t>
      </w:r>
      <w:r>
        <w:rPr>
          <w:rFonts w:ascii="arial" w:eastAsia="arial" w:hAnsi="arial" w:cs="arial"/>
          <w:color w:val="000000"/>
          <w:sz w:val="20"/>
          <w:u w:val="single"/>
          <w:lang w:val="en-US" w:eastAsia="en-US" w:bidi="ar-SA"/>
        </w:rPr>
        <w:t>deflect</w:t>
      </w:r>
      <w:r>
        <w:rPr>
          <w:rFonts w:ascii="arial" w:eastAsia="arial" w:hAnsi="arial" w:cs="arial"/>
          <w:color w:val="000000"/>
          <w:sz w:val="20"/>
          <w:lang w:val="en-US" w:eastAsia="en-US" w:bidi="ar-SA"/>
        </w:rPr>
        <w:t xml:space="preserve"> the defence of a lifetime of savings" and that he intended to "</w:t>
      </w:r>
      <w:r>
        <w:rPr>
          <w:rFonts w:ascii="arial" w:eastAsia="arial" w:hAnsi="arial" w:cs="arial"/>
          <w:color w:val="000000"/>
          <w:sz w:val="20"/>
          <w:u w:val="single"/>
          <w:lang w:val="en-US" w:eastAsia="en-US" w:bidi="ar-SA"/>
        </w:rPr>
        <w:t>defuse</w:t>
      </w:r>
      <w:r>
        <w:rPr>
          <w:rFonts w:ascii="arial" w:eastAsia="arial" w:hAnsi="arial" w:cs="arial"/>
          <w:color w:val="000000"/>
          <w:sz w:val="20"/>
          <w:lang w:val="en-US" w:eastAsia="en-US" w:bidi="ar-SA"/>
        </w:rPr>
        <w:t xml:space="preserve"> Defence position: Accumulated 35 years of cash being deposited in these years?"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Kendal then prepared the draft Prosecution Report. He referred to the Report in his testimony as a "pre-draft" although no other draft report was created. In the Report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Interviews with the bookkeeper will show that she only received two till tapes per day from the Samaroos, not the three that were actually produced in the normal course of the business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then set out his theory of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Element #1: The accused knew that their restaurant business was open 24 hours a day and that there were three till tape ring offs per day. They only provided 2 till tapes to their bookkeeper at E.R. Heese Accountant: Deborah Ferens.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Debbie Ferens has stated to the auditor that she only ever received two till tapes from the Samaroos to do the books of MGM (see witness report #1 for the auditor Glen Foster). Debbie Ferens will be contacted and interviewed to confirm this statement. In addition she will be contacted to confirm if she received 3 till tapes per day during the 2007 fiscal period of MGM.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Referral of the Draft Prosecution Report to the Public Prosecution Service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Kendal did not initially forward the Report to PPSC. Instead he provided it to Mr. Brian Jones. The first involvement of PPSC occurred on January 7, 2008 when Ms. McLean spoke to Mr. Brian Jones. Her notes of that conversation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will send a copy of the referral to me. He thinks it's incomplete. Alan Jones [s]ays will remedy deficiencies.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TP said $ from old country.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Staff interviewed, said 3 ring offs per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Acct. only received 2 ring offs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to do about [indec] nightclub.</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cash register tapes were destroyed.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seize cash register.</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will scan the Pros. Report &amp; send.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January 9, 2008, at 4:52 p.m., Mr. Brian Jones wrote an email to Ms. McLean in which he wrote that: "I had occasion to speak with Al Jones this afternoon and he confirmed with Keith [Kendal] the investigator that the funds were intermingled".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McLean also wrote notes recording a telephone conversation she had with Mr. Kendal on January 10, 2008, stating in part:</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does not think it's the graveyard shift not remitted.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thinks it's one of [sic] bigger shifts, based on amt.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Cash from 3 shifts is mixed.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Previously, on December 20, 2007 Mr. Kendal had interviewed by telephone Ms. Ye, the former employee of the plaintiffs. He recorded in his notes she had told him the total revenue regarding the graveyard shift at the MGM from Thursday to Saturday was about $1,500 to $2,000 per shift and from Sunday to Wednesday it was $1,000 to $1,500 per shift. In his note to himself he calculated that based on $2,000 per day, every day for a year the alleged amount skimmed would be approximately $700,000 (actually $730,000), which would be far short of the alleged $1,700,000 skimmed.</w:t>
      </w:r>
      <w:r>
        <w:rPr>
          <w:rFonts w:ascii="arial" w:eastAsia="arial" w:hAnsi="arial" w:cs="arial"/>
          <w:b/>
          <w:i/>
          <w:color w:val="000000"/>
          <w:sz w:val="20"/>
          <w:lang w:val="en-US" w:eastAsia="en-US" w:bidi="ar-SA"/>
        </w:rPr>
        <w:t>34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McLean's notes of her January 10, 2008 telephone call with Mr. Kendal continued under the heading "Personal Evasion" where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can show he's got it; can't really show when earned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Then under the heading "Bkkpr"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not interviewed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takes z tapes and posts to spreadsheet.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the end of her notes she wrote:</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extra income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who to charge &amp; with what amt?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when to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January 10, 2008, Mr. Kendal faxed Ms. McLean a letter dated December 14, 2007 that Mr. George Jones, counsel for the plaintiffs had sent to him. In the letter, Mr. George Jones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must be remembered that Mr. and Mrs. Samaroo come from different backgrounds than most of us. They are new Canadians. Mr. Samaroo is a black West Indian, who has had Mr. Heese read his correspondence to him, and Mrs. Samaroo is Chinese Canadian.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had accumulated and saved a great deal of cash in their background before entering into these businesses and amongst some of the cash they had accumulated over the years and saved for a rainy day (as for so many immigrants is habit), were old $100.00 bills and when it was disclosed by the public that these bills were being discontinued and were being recalled because of forgery fears by the Government, they panicked and turned in a lot of those bills. No doubt corroboration for this can be obtained in time, but the problem which we criminal defence lawyers have is that when we are being threatened with a criminal prosecution, as we are here, where it seems to be the policy of the Department in the various criminal tax prosecution cases I've been involved in lately, the tactic of the Department is to have you admit to some sort of non-reporting of income while trying to figure out the exact amount and then turn the alibi which is being used into part of the basis for the criminal prosecution. This just doesn't make any sense and is no way to conduct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McLean prepared a memorandum dated January 10, 2008 to Lisa Dumbrell, another lawyer with the PPSC, in which she wrote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reviewed the draft Report to Crown and spoken to the investigator and it appears to me that the charges should be approved. However, I will not be approving the charges exactly as referred to above. I will be preparing a charge approval memo and drafting the charges and will send these directly to our Nanaimo agent, Brian Jones.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Jones has already received a copy of the draft Report to Crown and has met with the investigator. I have spoken to Brian Jones about this matter and he is willing to take conduct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McLean's January 10 memorandum shows, on behalf of the PPSC, that in her view the prosecution should likely ultimately proceed. This was based on the information she had been provided by Mr. Kendal. She testified that her memorandum was an accurate and truthful recording of her views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then prepared a draft charge approval memorandum dated January 14, 2008. Ms. McLean testified that the charge approval memorandum served as a record of her thought process and position following her review of the draft Prosecution Report and after consultation with Bruce Harper and Janna Hyman. Mr. Harper was Ms. McLean's team leader and Ms. Hyman, as previously noted, was another lawyer with the PPSC. Ms. McLean testified that Mr. Harper and Ms. Hyman agreed with her views on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page five of her draft charge approval memorandum, under the heading "Can we prove income not reported by MGM?" Ms. McLean wrote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the evidence of the employees: </w:t>
      </w:r>
      <w:r>
        <w:rPr>
          <w:rFonts w:ascii="arial" w:eastAsia="arial" w:hAnsi="arial" w:cs="arial"/>
          <w:color w:val="000000"/>
          <w:sz w:val="20"/>
          <w:u w:val="single"/>
          <w:lang w:val="en-US" w:eastAsia="en-US" w:bidi="ar-SA"/>
        </w:rPr>
        <w:t>that there were three Z tapes per day and the evidence of the bookkeeper, who has not yet been interviewed, that she only received two Z tapes per day, we can prove the scheme</w:t>
      </w:r>
      <w:r>
        <w:rPr>
          <w:rFonts w:ascii="arial" w:eastAsia="arial" w:hAnsi="arial" w:cs="arial"/>
          <w:color w:val="000000"/>
          <w:sz w:val="20"/>
          <w:lang w:val="en-US" w:eastAsia="en-US" w:bidi="ar-SA"/>
        </w:rPr>
        <w:t xml:space="preserve"> not to report some of MGM's income.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McLean also wrote in her memorandum she did not think that Ms. Samaroo should be charged in relation to the corporate evasion or that Ms. Samaroo should be charged with personal tax evasion. Ms. McLean testified that in her view there was insufficient evidence of Ms. Samaroo's involvement in the alleged tax evasion to warrant charges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Finally, in her draft charge approval memorandum Ms. McLean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anticipated that there will be a request for return of documents. However, there is no forensic value in the originals and the CRA could copy and proceed with copies. </w:t>
      </w:r>
      <w:r>
        <w:rPr>
          <w:rFonts w:ascii="arial" w:eastAsia="arial" w:hAnsi="arial" w:cs="arial"/>
          <w:color w:val="000000"/>
          <w:sz w:val="20"/>
          <w:u w:val="single"/>
          <w:lang w:val="en-US" w:eastAsia="en-US" w:bidi="ar-SA"/>
        </w:rPr>
        <w:t>Also the investigation is not complete</w:t>
      </w:r>
      <w:r>
        <w:rPr>
          <w:rFonts w:ascii="arial" w:eastAsia="arial" w:hAnsi="arial" w:cs="arial"/>
          <w:color w:val="000000"/>
          <w:sz w:val="20"/>
          <w:lang w:val="en-US" w:eastAsia="en-US" w:bidi="ar-SA"/>
        </w:rPr>
        <w:t>:</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bookkeeper has not been interviewed</w:t>
      </w:r>
      <w:r>
        <w:rPr>
          <w:rFonts w:ascii="arial" w:eastAsia="arial" w:hAnsi="arial" w:cs="arial"/>
          <w:color w:val="000000"/>
          <w:sz w:val="20"/>
          <w:lang w:val="en-US" w:eastAsia="en-US" w:bidi="ar-SA"/>
        </w:rPr>
        <w:t>.</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interviews of the employees have not been completed.</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to Crown is still in draft 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We should have the investigator complete the above before we approve charges even if that means proceeding with copies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This was the status of the file when it was referred to Mr. Brian Jones. As further investigation was required charges had not yet been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Hyman testified that in the normal course Mr. Brian Jones would be provided with a copy of Ms. McLean's draft charge approval memorandum, however in direct examination Mr. Brian Jones denied ever having received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McLean made notes as well of another telephone conversation she had with Mr. Kendal on January 14, 2008. In her notes she identified the following necessary investigative steps to be completed before charges could be approved and communicated them to Mr. Kendal during the conversation: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Interview bookkeeper</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last person to see z tapes</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did they show date &amp; times. Breakdown by</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did she do</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want to find out, did he suppress night shift, different shifts, the cash from more than 1 shift,</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both ts and hs deal with her. What were their roles.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agrees with that. He will:</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interview bookkeeper;</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employees</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finish RTCC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Timeframe:</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carry on with civil</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contact bkkpr &amp; try to set up. Next week.</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Revise Report to Crown</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BF for 3 wks. I will call him then if I have not heard from him - I will let Brian Jones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McLean was operating on the assumption, based on the information she received from Mr. Kendal, that Ms. Ferens did see the till tapes and could confirm that not all income from the restaurant was being reported. Her notes also confirm the thrust of the allegations against the plaintiffs was that they were failing to report income from one or more shifts based on unreported till tapes.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January 15, 2008 Ms. McLean emailed Mr. Brian Jones: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Brian,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considered the draft Report to Crown, spoke with Keith Kendal, and discussed it with Bruce and Janna. Although it is difficult to prove the amount of the corporate evasion by the restaurant since we don't have the z tapes. We are presently of the view that: we can approve charges in relation to the corporate evasion by the restaurant by basing the amount on what the employees will say was the minimum amount of sales on each shift; and the amount of the personal evasion should match the amount of the corporate evasion.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w:t>
      </w:r>
      <w:r>
        <w:rPr>
          <w:rFonts w:ascii="arial" w:eastAsia="arial" w:hAnsi="arial" w:cs="arial"/>
          <w:color w:val="000000"/>
          <w:sz w:val="20"/>
          <w:u w:val="single"/>
          <w:lang w:val="en-US" w:eastAsia="en-US" w:bidi="ar-SA"/>
        </w:rPr>
        <w:t>there is more work that needs to be done: the interview of the bookkeeper</w:t>
      </w:r>
      <w:r>
        <w:rPr>
          <w:rFonts w:ascii="arial" w:eastAsia="arial" w:hAnsi="arial" w:cs="arial"/>
          <w:color w:val="000000"/>
          <w:sz w:val="20"/>
          <w:lang w:val="en-US" w:eastAsia="en-US" w:bidi="ar-SA"/>
        </w:rPr>
        <w:t xml:space="preserve">, finishing the employee interview; and finalizing the report to Crown. Since we could proceed with copies of the documents if there was an application for return of the originals, </w:t>
      </w:r>
      <w:r>
        <w:rPr>
          <w:rFonts w:ascii="arial" w:eastAsia="arial" w:hAnsi="arial" w:cs="arial"/>
          <w:color w:val="000000"/>
          <w:sz w:val="20"/>
          <w:u w:val="single"/>
          <w:lang w:val="en-US" w:eastAsia="en-US" w:bidi="ar-SA"/>
        </w:rPr>
        <w:t>we decided that this work should be done before charges are approved</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Three senior lawyers in the PPSC were of the opinion that no charges should be approved until the above tasks were completed. In addition, the amounts the corporations were to be charged with were to be calculated on a specific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should be noted here that Ms. McLean went on leave on February 15, 2008, and Ms. Hyman took over conduct of the Samaroo file for the PPSC after that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Completion of the Final Prosecution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Kendal continued his investigation. On February 8, 2008, he interviewed Katrina Rekers, the graveyard shift supervisor at the MGM restaurant. She told him that the graveyard shift would make up to $1,200 to $1,400 on busy nights (Friday to Sunday) and less than $500 a night on slower nights (Monday to Thursday). She also told him the cash sales were about 33% of total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February 4, 2008 Mr. Kendal contacted Mr. Heese and Ms. Ferens by telephone to arrange interviews with them. The day before the interviews were to take place Mr. Heese sent a letter dated February 6, 2008 to Mr. Kendal stating that he had been advised by Mr. George Jones not to meet with Mr. Kendal and that all future requests for information should be directed to Mr. George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direct examination Mr. Kendal testified that Mr. Heese and Ms. Ferens had outright refused to be interviewed. When Mr. Heese's letter was brought to his attention he said he did not want to proceed in that manner and that he only wanted to interview Ms. Ferens in person. He gave no reason for taking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February 11, 2008 Mr. Kendal had a telephone discussion with Ms. McLean and she noted that he told her that the bookkeeper did not want to be interviewed. He did not tell her that the bookkeeper would answer questions through counsel. In addition, Mr. Kendal again did not disclose that Ms. Ferens had already been interviewed, nor did he tell Ms. McLean that Ms. Ferens had been clear that she could not provide evidence that a shift was unreported or, if that was the case, which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Despite no further interview of Ms. Ferens occurring, and contrary to what was known from Ms. Ferens' second interview, on March 20, 2008 the CRA sent a letter to the PPSC for charge approval. Mr. Kendal testified that he authored the letter. That letter also enclosed the Final Prosecution Report drafted by Mr. Kendal, and witness documents. The letter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alleged that Tony Samaroo and his wife, Helen Samaroo, appropriated $1,754,812 from their corporate businesses </w:t>
      </w:r>
      <w:r>
        <w:rPr>
          <w:rFonts w:ascii="arial" w:eastAsia="arial" w:hAnsi="arial" w:cs="arial"/>
          <w:color w:val="000000"/>
          <w:sz w:val="20"/>
          <w:u w:val="single"/>
          <w:lang w:val="en-US" w:eastAsia="en-US" w:bidi="ar-SA"/>
        </w:rPr>
        <w:t>during the years 2004 to 2006</w:t>
      </w:r>
      <w:r>
        <w:rPr>
          <w:rFonts w:ascii="arial" w:eastAsia="arial" w:hAnsi="arial" w:cs="arial"/>
          <w:color w:val="000000"/>
          <w:sz w:val="20"/>
          <w:lang w:val="en-US" w:eastAsia="en-US" w:bidi="ar-SA"/>
        </w:rPr>
        <w:t xml:space="preserve"> and failed to report these amounts on their personal income tax returns.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allege that sales belonging to the MGM Restaurant Ltd. was suppressed by the Samaroos </w:t>
      </w:r>
      <w:r>
        <w:rPr>
          <w:rFonts w:ascii="arial" w:eastAsia="arial" w:hAnsi="arial" w:cs="arial"/>
          <w:color w:val="000000"/>
          <w:sz w:val="20"/>
          <w:u w:val="single"/>
          <w:lang w:val="en-US" w:eastAsia="en-US" w:bidi="ar-SA"/>
        </w:rPr>
        <w:t>failing to provide all the till tapes. Only two till tapes were provided each day</w:t>
      </w:r>
      <w:r>
        <w:rPr>
          <w:rFonts w:ascii="arial" w:eastAsia="arial" w:hAnsi="arial" w:cs="arial"/>
          <w:color w:val="000000"/>
          <w:sz w:val="20"/>
          <w:lang w:val="en-US" w:eastAsia="en-US" w:bidi="ar-SA"/>
        </w:rPr>
        <w:t>. The restaurant operated three shifts each day, each shift with its own ring-off. We allege that not all the till tapes were reported for Samaroo Holdings Ltd. operating as Club Malibu.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the Final Prosecution Report, dated March 18, 2008, Mr. Kendal set out the CRA's theory against the plaintiffs under the heading "Part V-Theory of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Scheme 1: Tony &amp; Helen Samaroo operated three regular shifts at the MGM restaurant and each shift produced a rung off till tape. The Samaroos under reported sales revenue &amp; the related GST from MGM Restaurants Ltd. By not providing one of the three daily till tapes to their bookkeeper resulting in a personal enrichment of about $50,000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Mr. Kendal testified in cross-examination that the theory set out in Scheme 1 above was the "overriding theory of the prosecution". He also testified this theory did not change at any point during the prosecution. Ms. Hyman from PPSC testified this was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alleged offences. In direct, however, Mr. Brian Jones testified this was only the CRA's theory and that it was not entirely complete or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Kendal testified that the theory in Scheme 1 was and remained a valid theory. He testified that the CRA is proceeding in the Tax Court against the plaintiffs on the same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Hyman testified in cross-examination she believes the theory is meritorious and still believes the plaintiffs committed the alleged offences. She testified that if given the chance, she would do the same thing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Prosecution Report, Mr. Kendal wrote as follows under "Element 3" of the CRA's theory of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Element #3: A "Daily Sales" summary sheet template for recording of revenue receipts based on two till tapes per day up.</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bookkeeper Debbie Ferens (witness #4), will be able to explain that she received a filled out preformatted "Daily Cash Report" summary sheet for each day of the month with </w:t>
      </w:r>
      <w:r>
        <w:rPr>
          <w:rFonts w:ascii="arial" w:eastAsia="arial" w:hAnsi="arial" w:cs="arial"/>
          <w:color w:val="000000"/>
          <w:sz w:val="20"/>
          <w:u w:val="single"/>
          <w:lang w:val="en-US" w:eastAsia="en-US" w:bidi="ar-SA"/>
        </w:rPr>
        <w:t>till tape #1 sales data, till tape #2 sales data</w:t>
      </w:r>
      <w:r>
        <w:rPr>
          <w:rFonts w:ascii="arial" w:eastAsia="arial" w:hAnsi="arial" w:cs="arial"/>
          <w:color w:val="000000"/>
          <w:sz w:val="20"/>
          <w:lang w:val="en-US" w:eastAsia="en-US" w:bidi="ar-SA"/>
        </w:rPr>
        <w:t xml:space="preserve"> and a summary column of those two days till tapes, </w:t>
      </w:r>
      <w:r>
        <w:rPr>
          <w:rFonts w:ascii="arial" w:eastAsia="arial" w:hAnsi="arial" w:cs="arial"/>
          <w:color w:val="000000"/>
          <w:sz w:val="20"/>
          <w:u w:val="single"/>
          <w:lang w:val="en-US" w:eastAsia="en-US" w:bidi="ar-SA"/>
        </w:rPr>
        <w:t>and this is attached with the till tapes for that month as provided to her by Tony Samaroo</w:t>
      </w:r>
      <w:r>
        <w:rPr>
          <w:rFonts w:ascii="arial" w:eastAsia="arial" w:hAnsi="arial" w:cs="arial"/>
          <w:color w:val="000000"/>
          <w:sz w:val="20"/>
          <w:lang w:val="en-US" w:eastAsia="en-US" w:bidi="ar-SA"/>
        </w:rPr>
        <w:t>. [Emphasis added.]</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Debbie Ferens will be able to explain that from each completed "Daily Cash Report" summary sheets, she would post the sales data to her monthly spreadsheet: "Daily Sales Summary Sheet". From this monthly spreadsheet she would post the GST and revenue summaries for the month to the general ledger of MGM for the 2004, 2005 &amp; 2006 fiscal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Kendal also wrote as follows under "Element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Element #4: The accused provided only two of the three daily till tapes to their bookkeeper Debbie Ferens to February 28, 2006.</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Debbie Ferens (witness #4) will be able to attest to having met the CRA auditor, Glen Foster on March 21st of 2006, and informed him that </w:t>
      </w:r>
      <w:r>
        <w:rPr>
          <w:rFonts w:ascii="arial" w:eastAsia="arial" w:hAnsi="arial" w:cs="arial"/>
          <w:color w:val="000000"/>
          <w:sz w:val="20"/>
          <w:u w:val="single"/>
          <w:lang w:val="en-US" w:eastAsia="en-US" w:bidi="ar-SA"/>
        </w:rPr>
        <w:t>she has only ever received two MGM till tapes per day from Tony Samaroo for the period under audit</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Knowing that he had not carried out the investigatory steps requested by Ms. McLean, and knowing that Ms. Ferens could not provide evidence proving that only two till tapes from two shifts were reported, Mr. Kendal nonetheless proceeded and in doing so provided incomplete and erroneous information to those who would rely upon and act upon this Prosecution Report. They did so and the matter proceeded to charge approval.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Charge Approval and Drafting of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On March 25 and 26, 2008, Mr. Brian Jones, Ms. Hyman and Mr. Alan Jones discussed by email the status of the Samaroo file and charge approval. Ms. Hyman testified that the PPSC always approves charges and that such is never the responsibility of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agent. She stated that the PPSC will approve charges based on the likely or anticipated evidence. She testified that charge approval occurred when Mr. Brian Jones was formally appointed as the agent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prosecutor on the file on January 22, 2008. She stated on direct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had been approved. Our office had made the decision that charges were appropriate. Mr. Jones had a responsibility to essentially draft them, to put them together, to do a final review of the evidence to ensure that anything Ms. McLean had red flagged or anything he saw himself didn't change that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However, communications between Ms. Hyman and Mr. Brian Jones on March 25 and 26, 2008 put the apparent clarity of that assertion in question. On plainly reading the emails between them, it is evident they decided Mr. Brian Jones would "do charge approval". But, that apparently plain reading is contested, with the defendants arguing that the language used must be read in the context of the roles of the participants and what they say they actually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emails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March 25, 2008, 5:47 p.m.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Jones to Alan Jones.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have Binder 'F' in my desk. Does this mean that the matter has been submitted to Janna for charge approval? If so, I shall call her for an update.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March 26, 2008, at 7:34 a.m.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Alan Jones to Brian Jones.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instructions were to send you and Janna both a copy. I asked for this because I remember seeing a letter from PPSC assigning the case to you back in February. I have not asked Keith if he did this yet. Presumably he has so a call to Janna may be in order.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March 26, 2008 at 5:30 p.m.: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Jones to Janna Hyman.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understand you have a revised prosecution report on this matter. I take it you will review for charge approval and then, if charges are approved, you will let me know what they are. Is there anything you want me to do on the file right now?</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March 26, 2008 at 5:34 p.m.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Janna Hyman to Brian Jones.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Actually, I was assuming that you would do so! So, it's a good thing you emailed, otherwise we would both be sitting here waiting for the other!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you also get the report? If not, I will send it to you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March 26, 2008 at 5:42 p.m.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Jones to Janna Hyman.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Thanks Janna. I have a copy. And I will work up the charges. I have Lisa's comments from the first go round so it should be okay. We had agreed the restaurant was a go but we needed the CRA to interview more people for the bar and motel business. So I will open my copy and see where we are.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March 26, 2008 at 5:45 p.m.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Jones to Alan Jones.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spoke with Janna as you suggested. She thought I was doing charge approval and I thought she was. So your suggestion proved helpful. </w:t>
      </w:r>
      <w:r>
        <w:rPr>
          <w:rFonts w:ascii="arial" w:eastAsia="arial" w:hAnsi="arial" w:cs="arial"/>
          <w:color w:val="000000"/>
          <w:sz w:val="20"/>
          <w:u w:val="single"/>
          <w:lang w:val="en-US" w:eastAsia="en-US" w:bidi="ar-SA"/>
        </w:rPr>
        <w:t>I will be doing charge approval</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Despite the apparent clarity of these emails respecting who would do charge approval Mr. Brian Jones and Ms. Hyman both testified in direct that the charges had been approved by the time they had the above discussion. Ms. Hyman testified that although they used the term "charge approval", they both actually meant "drafting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Hyman prepared no written analysis of the case or a memorandum of any sort and had no record of having communicated her views to Mr. Brian Jones. Mr. Brian Jones stated at his examination for discovery he had no discussions with Ms. Hyman about the legal reasoning behind the charges laid. On cross-examination Ms. Hyman conceded she did not receive the file from Ms. McLean until February 15th, which was 24 days after the file was referred to Mr. Brian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a result the status of the file when referred to Mr. Brian Jones was as set out in Ms. McLean's charge approval memorandum agreed to by Ms. Hyman and her superior Mr. Harper. Ms. Hyman's ultimate evidence was that when the file was referred to Mr. Brian Jones, the PPSC had made the determination that "charges were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On his examination for discovery Mr. Brian Jones also testified that he had "assumed" Ms. Hyman had approved the charges against the plaintiffs when he received the letter of referral appointing him as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prosecutor on January 22, 2008. He testified that Ms. Hyman had made "the decision to prosecute" and that although he and Ms. Hyman used the term "charge approval" he actually meant that he would just draft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Brian Jones' original testimony in cross-examination was that he concluded that the charges had been approved when he received the Final Prosecution Report. That Report was finished on March 18, 2008 and on March 25, 2008 Mr. Brian Jones told Mr. Alan Jones by email he had Binder "F" which contained the Final Report. However when confronted with his examination for discovery evidence, he adopted his previous testimony that charges had been approved when he received the letter of referral.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Brian Jones requested a precedent Information from Mr. Alan Jones to be used by Ms. Marsha Down, an associate in his office, to draft the Information. That precedent was not received until after the Information was prepared. He also communicated with Ms. Hyman about whether to proceed summarily or by indictment and about consolidating the counts in the Information provided by the CRA. He left the drafting of the Information to Ms. Down. He acknowledged that he prepared no written analysis and provided no written information to Ms. Down to assist her in drafting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discussions between Mr. Brian Jones and Ms. Hyman respecting whether to proceed summarily or by indictment are relevant and are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April 24, 2008, 3:05 p.m.: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Jones to Janna Hyman.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Hi Janna,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have met with the investigator and although there is still work to be done before charge approval can be completed, we are getting close. My question to you is should we be going by indictment or by summary conviction? For the two Samaroos, each has unreported income totaling $911,000 over two years. The tax evaded is $260,000 for each person. As well their corporations had approximately $1,750,000 in unreported income, evading approximately $365,000 in tax, as well as $113,000 in GST.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April 24, 2008, 3:30 p.m.: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Janna Hyman to Brian Jones.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the bubble for indictment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Let me discuss with the group. If we proceed by indictment, we will require written consent from Bob Prior.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take it that further interviews have tightened up the evidence on the quantum?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April 24, 2008, 3:31 p.m.: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Janna Hyman to the email address: "VAN PPSC-SPP Regulatory and Economic Prosecutions".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[She is forwarding the e-mail from Mr. Brian Jones asking whether to proceed summarily or by indictment]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Indictment or not?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April 24, 2008, 4:25 p.m.: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Joyce Henderson to Janna Hyman.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Any of the other factors set out in the desk book present?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April 24, 2008, 6:26 p.m.: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Janna Hyman to Joyce Henderson.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sure I remember them all, but probably not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April 28, 2008, 9:21 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Janna Hyman to Brian Jones.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don't have a magic number here but we usually go indictably for tax of over $1 million ... if you charge each with being a party to the other's personal evasion and charge them with the two corporate offences, the tax is almost $1 million each.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this is right on the bubble. You could still get a decent sentence (over two years) by going summarily because there is authority supporting consecutive sentences in these cases. Do you want to risk a local jury - who probably all hate paying tax? And a prelim?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April 28, 2008, 3:47 p.m.: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Jones to Janna Hyman.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Hi Janna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have no fear of juries being impatient with the tax man - I think most of them grasp the idea that if Samaroo doesn't pay his fair share, they will pay it, especially if Mr. Samaroo earns many times more than the average juror, even if he paid all his taxes. But the logistics of a jury on an evasion trial must be daunting, especially explaining some of the concepts involved in this particular case, like shareholder loans. I barely grasp it myself.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the other hand, getting serious time on one of these prosecutions is a goal I have yet to achieve.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Brian Jones testified during his examination for discovery that his reference to getting serious time being a goal was a reference to previous prosecutions where he could not get the sentence being sought by the PPSC imposed. He confirmed this testifying that this reference was regarding his previous inability to "have a court" impose the sentence the PPSC had suggested. He stated that in his view if you "want serious time" then you would be more likely to get it by proceeding by indictment.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in the evasion cases I've handled for PPSC in the past, I've never been able to have a court impose the sentence that Ms. Hyman suggested would be appropriate. And that's what I meant by getting serious time is an object that I've yet to achieve, but the -- if you went by indictment, penalties would be higher. So if you want serious time on these charges, you're more likely to get it by going by indictment.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April 28, 2008 Mr. Brian Jones wrote an email to several members of his firm stating: "Samaroo is not yet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By email dated May 28, 2008, 9:25 a.m., Mr. Kendal and Mr. Alan Jones provided Mr. Brian Jones with a copy of an 88 count Information they had prepared. Mr. Brian Jones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May 28, 2008, 5:09 p.m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Jones to Alan Jones.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Hi 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Thanks very much for preparing that information. Is the number of counts due to the GST reporting periods? I guess I will see it when it arrives. What do you think about consolidating the GST counts into a "between this date and that date" kind of charge? 88 may be a few too many.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May 28, 2008, 8:25 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Alan Jones to Brian Jones and Keith Kendal.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Yes the number is due to monthly GST filing by 2 corps - 36(a) charges and 1(c) charge each. I was trying to think how to do 327(1)(a) charges globally like the 327(1)(c) charges but we will have to leave that to your ingenuity. </w:t>
      </w:r>
      <w:r>
        <w:rPr>
          <w:rFonts w:ascii="arial" w:eastAsia="arial" w:hAnsi="arial" w:cs="arial"/>
          <w:color w:val="000000"/>
          <w:sz w:val="20"/>
          <w:u w:val="single"/>
          <w:lang w:val="en-US" w:eastAsia="en-US" w:bidi="ar-SA"/>
        </w:rPr>
        <w:t>Besides, after 85 charges, doesn't a guilty verdict call for a guillotine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Hyman testified that she had never seen and was unaware of the 88-count Information prepared by the CRA and provided to Mr. Brian Jones. It became the basis of the final Information. She also testified that it was unlikely she ever reviewed the final Information before it was sworn.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Following receipt of the draft 88 count Information, Mr. Brian Jones wrote to Ms. Hyman on May 28, 2008 at 5:43 p.m. to ask for her advice regarding the number of counts in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Ms. Hyman replied to Mr. Brian Jones on May 28, 2008 at 5:52 p.m. and said: "We are big fans of multiplicitous informations here!" Ms. Hyman also wrote: "And I </w:t>
      </w:r>
      <w:r>
        <w:rPr>
          <w:rFonts w:ascii="arial" w:eastAsia="arial" w:hAnsi="arial" w:cs="arial"/>
          <w:color w:val="000000"/>
          <w:sz w:val="20"/>
          <w:u w:val="single"/>
          <w:lang w:val="en-US" w:eastAsia="en-US" w:bidi="ar-SA"/>
        </w:rPr>
        <w:t>assume</w:t>
      </w:r>
      <w:r>
        <w:rPr>
          <w:rFonts w:ascii="arial" w:eastAsia="arial" w:hAnsi="arial" w:cs="arial"/>
          <w:color w:val="000000"/>
          <w:sz w:val="20"/>
          <w:lang w:val="en-US" w:eastAsia="en-US" w:bidi="ar-SA"/>
        </w:rPr>
        <w:t xml:space="preserve"> both Samaroos would be charged on all of the above, including as parties to each other's personal evasion"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Brian Jones then provided this advice to Ms. Down, who later asked him to send her some precedents because she found "the wording used by the CRA folks a little strange". Ms. Down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guess you know that it's going to be harder to prove the charges relating to the night club - we don't know how many till receipts there were per day. I guess we'll just have to rely on the net worth assessment and proceed with charges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June 5, 2008, Mr. Brian Jones emailed Ms. Down to say he had received a call from the CRA and wanted to inquire when the Information would be ready so he could pass it on to them. On June 6, 2008 Ms. Down wrote to him and asked him several questions relating to her drafting of the Information. Mr. Brian Jones forwarded the email to Mr. Alan Jones asking him to answer the questions relating to the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Brian Jones then wrote to Sybil Banks, a paralegal in his office, on June 10,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Sybil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Marsha is coming in to draft up the information with you. Al Jones will speak with you directly as to the right amounts (Marsha doesn't feel she can speak with Al directly). I think I covered off with Marsha some of the questions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June 10, 2008 Mr. Kendal emailed Ms. Down and Mr. Alan Jones to respond to Ms. Down's emailed questions from June 6, 2008, which Mr. Brian Jones had forwarded to Mr. Alan Jones. Mr. Kendal also provided an attachment called "Charges MGM Draft no 2.doc".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 "Charge Approval" form created regarding the plaintiffs was written, and there was a note attached saying: "Brian: For charge approval. THX. SB". This note was incorrectly dated January 10, 2008, when the correct date was June 10,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Another draft of the Information was printed off, and another note was attached to it dated June 11, 2008 at 3:24 p.m. (the day before the Information was sworn). The note reads: "Keith called and made a few changes. SB". In addition, another note was written, this one also dated June 11, 2008, 3:25 p.m., which reads: "Brian: Keith would like you to email him tonight if the information is OK to swear tomorrow. Thx. Sybil".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Another form, also called "Charge Approval" was created, dated June 11, 2008, which refers to an enclosed 21-count information. Ken Paziuk of Mr. Brian Jones' office signed it. Mr. Kendal swore the final 21-count information on June 12, 2008 at Nanaimo,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Brian Jones testified in cross-examination that he "may have been" on vacation when the final Information was prepared and sworn. He said he "would have" reviewed it before it was sworn, but could not recall when he did so. He said he "thought" he had. The plaintiffs submit that he probably did not see it nor approve the final Information before it was sworn.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August 27, 2008, Christopher Gibson of Brian Jones' office emailed Mr. Kendal a copy of the newspaper coverage of the charges published in the Nanaimo Daily News. The next day, on August 28, 2008, Mr. Alan Jones wrote to Mr. Brian Jones and said: "Front page of Wednesday's Nanaimo Daily News. I can't wait to read the edition after the guilty verdict".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Further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early 2010, Mr. Brian Jones and Mr. Kendal had Ms. Ferens and Ms. Ye interviewed again, each for a third time. Will-say statements for both interviews were prepared. Ms. Ferens had been interviewed on March 21, 2006 and January 24, 2007. Ms. Ye had been interviewed on December 20, 2007, and on June 24,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prosecution in Provincial Court in Nanaimo commenced on September 20, 2010 and continued over various dates until February 24, 2011 with judgment on April 6, 2011, a total of 19 days. The will-say statements created regarding the 2010 interviews of Ms. Ferens and Ms. Ye were not disclosed until the second day of the trial. In addition, the 2007 interview of Ms. Ferens by Mr. Finlay, in which she said that she did not look at the till tapes, and had no idea how many she received, did not result in a will-say statement being created, nor were Mr. Finlay's notes in the witness statement binder provided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plaintiffs' allegation that the defendants did not provide them with proper disclosure relates to the evidence of Ms. Ferens and Ms. Ye, and to the actions of Mr. Kendal and Mr. Brian Jones both before and during the Provincial Court trial. The plaintiffs' allegations, and the circumstances surrounding them, will be discussed in greater detail below under the heading "Discussion of the Disclosure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briefly mentioned, the plaintiffs submit that Mr. Brian Jones and Mr. Kendal intentionally and wrongfully violated two fundamental tenets of the criminal justice system: that a person is not to be charged with a crime unless there is a lawful basis to do so and that a prosecution will be conducted lawfully and fairly. They assert that the power of the State to prosecute an individual for a criminal offence is not to be engaged unless an independent, impartial, quasi-judicial minister of justice, a Crown prosecutor, objectively determines there is sufficient evidence to support a conviction. They note that while this is a minimum standard, the PPSC has a slightly higher standard of a "reasonable prospect of conviction" and that British Columbia has an even higher standard of "a substantial likelihood of conviction". In addition, both the PPSC and British Columbia require that the prosecution be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plaintiffs submit that Mr. Brian Jones failed in his duty as a prosecutor by not bringing an independent mind to the charge approval and sentence sought, and simply did the bidding of the CRA. They also say he did so while in a conflict of interest, given his financial motivation to obtain a conviction based on his contracted employment as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PPSC prosecutor.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Finally, the plaintiffs allege that the CRA has an interest in the outcome of tax prosecutions such as these in part to encourage voluntary compliance by the restaurant sector of the economy. Mr. Kendal, they say, on behalf of the CRA, suppressed exculpatory evidence and was fuelled by a desire to secure a conviction despite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Therefore, the plaintiffs say that both Mr. Brian Jones and Mr. Kendal are guilty of malicious prosecution as set out in </w:t>
      </w:r>
      <w:r>
        <w:rPr>
          <w:rFonts w:ascii="arial" w:eastAsia="arial" w:hAnsi="arial" w:cs="arial"/>
          <w:i/>
          <w:color w:val="000000"/>
          <w:sz w:val="20"/>
          <w:lang w:val="en-US" w:eastAsia="en-US" w:bidi="ar-SA"/>
        </w:rPr>
        <w:t>Miazga v. Kvello Estate</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xml:space="preserve"> at para. 3, because they initiated a prosecution against the plaintiffs that ultimately terminated in the plaintiffs' favour, and they did so without reasonable and probable grounds and with malice.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defendants submit there is no evidence that can support a finding of malicious prosecution. Regarding the second stage of the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analysis, the defendants accept that the proceeding was terminated in favour of the plaintiffs. The defendants also concede that the first stage of the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test is met regarding Mr. Brian Jones and his law corporation. However, the defendants argue that Mr. Kendal and the CRA did not initiate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Regarding the third and fourth steps set out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the defendants say there is no evidence that displaces the presumption that reasonable and probable cause existed, nor is there evidence that the defendants acted for a purpose other than to place the case before the court for adjudication. That is, there was no evidence capable of supporting a finding that Mr. Brian Jones of the PPSC initiated or continued the prosecution due to malice or for an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note as well that malicious prosecution does not address tactics or conduct before the court as such issues fall not within prosecutorial discretion but rather within the inherent jurisdiction of the court to control its own processes once the prosecutor enters that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Relevant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Law on Tax Evasion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As a prosecution for tax evasion is a criminal matter the Crown must prove beyond a reasonable doubt both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elements of the offence. In </w:t>
      </w:r>
      <w:r>
        <w:rPr>
          <w:rFonts w:ascii="arial" w:eastAsia="arial" w:hAnsi="arial" w:cs="arial"/>
          <w:i/>
          <w:color w:val="000000"/>
          <w:sz w:val="20"/>
          <w:lang w:val="en-US" w:eastAsia="en-US" w:bidi="ar-SA"/>
        </w:rPr>
        <w:t>R. v. Porisky</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2012 BCSC 67</w:t>
        </w:r>
      </w:hyperlink>
      <w:r>
        <w:rPr>
          <w:rFonts w:ascii="arial" w:eastAsia="arial" w:hAnsi="arial" w:cs="arial"/>
          <w:color w:val="000000"/>
          <w:sz w:val="20"/>
          <w:lang w:val="en-US" w:eastAsia="en-US" w:bidi="ar-SA"/>
        </w:rPr>
        <w:t xml:space="preserve"> (this decision was appealed because there had not been a proper election of a judge-alone trial and the Court of Appeal ordered a new trial), the court found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elements of the offence of tax evasion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conduct which the Crown is required to prove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the accused voluntarily performed an act or engaged in a course of conduct that avoided or attempted to avoid payment of tax owing under the [</w:t>
      </w:r>
      <w:r>
        <w:rPr>
          <w:rFonts w:ascii="arial" w:eastAsia="arial" w:hAnsi="arial" w:cs="arial"/>
          <w:i/>
          <w:color w:val="000000"/>
          <w:sz w:val="20"/>
          <w:lang w:val="en-US" w:eastAsia="en-US" w:bidi="ar-SA"/>
        </w:rPr>
        <w:t>Income Tax</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R. v. Klundert</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(2004), 187 C.C.C. (3d) 417</w:t>
        </w:r>
      </w:hyperlink>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242 D.L.R. (4th) 644</w:t>
        </w:r>
      </w:hyperlink>
      <w:r>
        <w:rPr>
          <w:rFonts w:ascii="arial" w:eastAsia="arial" w:hAnsi="arial" w:cs="arial"/>
          <w:color w:val="000000"/>
          <w:sz w:val="20"/>
          <w:lang w:val="en-US" w:eastAsia="en-US" w:bidi="ar-SA"/>
        </w:rPr>
        <w:t xml:space="preserve"> (Ont. C.A.) at p. 654 ("</w:t>
      </w:r>
      <w:r>
        <w:rPr>
          <w:rFonts w:ascii="arial" w:eastAsia="arial" w:hAnsi="arial" w:cs="arial"/>
          <w:i/>
          <w:color w:val="000000"/>
          <w:sz w:val="20"/>
          <w:lang w:val="en-US" w:eastAsia="en-US" w:bidi="ar-SA"/>
        </w:rPr>
        <w:t>Klundert #1</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Turning to intent, the Ontario Court of Appeal in </w:t>
      </w:r>
      <w:r>
        <w:rPr>
          <w:rFonts w:ascii="arial" w:eastAsia="arial" w:hAnsi="arial" w:cs="arial"/>
          <w:i/>
          <w:color w:val="000000"/>
          <w:sz w:val="20"/>
          <w:lang w:val="en-US" w:eastAsia="en-US" w:bidi="ar-SA"/>
        </w:rPr>
        <w:t>Klundert #1</w:t>
      </w:r>
      <w:r>
        <w:rPr>
          <w:rFonts w:ascii="arial" w:eastAsia="arial" w:hAnsi="arial" w:cs="arial"/>
          <w:color w:val="000000"/>
          <w:sz w:val="20"/>
          <w:lang w:val="en-US" w:eastAsia="en-US" w:bidi="ar-SA"/>
        </w:rPr>
        <w:t xml:space="preserve"> stated, at para. 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I would avoid the use of the phrase "ulterior motive", I agree with Bayda J.A. that the word "wilfully" in s. 239(1)(d) signals that culpability will follow only where the accused engages in conduct intended to avoid the payment of tax owing under the Act. More precisely, I think the fault component in s. 239(1)(d) is twofold. First, the accused must know that tax is owing under the Act and second, the accused must intend to avoid or intend to attempt to avoid payment of that tax. An accused intends to avoid, or intends to attempt to avoid, payment of taxes owing under the Act where that is his purpose, or where he knows that his course of conduct is virtually certain to result in the avoiding of tax owing under the Act: see </w:t>
      </w:r>
      <w:r>
        <w:rPr>
          <w:rFonts w:ascii="arial" w:eastAsia="arial" w:hAnsi="arial" w:cs="arial"/>
          <w:i/>
          <w:color w:val="000000"/>
          <w:sz w:val="20"/>
          <w:lang w:val="en-US" w:eastAsia="en-US" w:bidi="ar-SA"/>
        </w:rPr>
        <w:t>Buzzanga</w:t>
      </w:r>
      <w:r>
        <w:rPr>
          <w:rFonts w:ascii="arial" w:eastAsia="arial" w:hAnsi="arial" w:cs="arial"/>
          <w:color w:val="000000"/>
          <w:sz w:val="20"/>
          <w:lang w:val="en-US" w:eastAsia="en-US" w:bidi="ar-SA"/>
        </w:rPr>
        <w:t>, supra, at 383-385.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following paragraph the Court of Appeal set out a jury charge for both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most cases of tax evasion, the trial judge will adequately describe the elements of the offence by instructing the jury that they must be satisfied beyond a reasonable doubt that the accused:</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something or engaged in a course of conduct that avoided or attempted to avoid the payment of tax imposed by the Act</w:t>
      </w:r>
      <w:r>
        <w:rPr>
          <w:rFonts w:ascii="arial" w:eastAsia="arial" w:hAnsi="arial" w:cs="arial"/>
          <w:b/>
          <w:color w:val="000000"/>
          <w:sz w:val="20"/>
          <w:lang w:val="en-US" w:eastAsia="en-US" w:bidi="ar-SA"/>
        </w:rPr>
        <w:t>;</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knew there was tax imposed by the Act; and;</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engaged in the conduct for the purpose of avoiding or attempting to avoid payment of tax imposed by the Act or knowing that avoiding payment of tax imposed by the Act was a virtual certain consequence of his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defendants submit that the Crown must show that the amounts in issue are taxable income and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for the offence of tax evasion will be satisfied where the accused is found to have unreported taxable income, relying on </w:t>
      </w:r>
      <w:r>
        <w:rPr>
          <w:rFonts w:ascii="arial" w:eastAsia="arial" w:hAnsi="arial" w:cs="arial"/>
          <w:i/>
          <w:color w:val="000000"/>
          <w:sz w:val="20"/>
          <w:lang w:val="en-US" w:eastAsia="en-US" w:bidi="ar-SA"/>
        </w:rPr>
        <w:t>R. v. Klundert</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[2004] 5 C.T.C. 20</w:t>
        </w:r>
      </w:hyperlink>
      <w:r>
        <w:rPr>
          <w:rFonts w:ascii="arial" w:eastAsia="arial" w:hAnsi="arial" w:cs="arial"/>
          <w:color w:val="000000"/>
          <w:sz w:val="20"/>
          <w:lang w:val="en-US" w:eastAsia="en-US" w:bidi="ar-SA"/>
        </w:rPr>
        <w:t xml:space="preserve"> (Ont. C.A.) at para. 42. They note that where the intent to evade tax is present, then the "manner" in which the intent is carried out is not important, as the plain words of s. 239(1)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specify it may be done "in any manner", citing </w:t>
      </w:r>
      <w:r>
        <w:rPr>
          <w:rFonts w:ascii="arial" w:eastAsia="arial" w:hAnsi="arial" w:cs="arial"/>
          <w:i/>
          <w:color w:val="000000"/>
          <w:sz w:val="20"/>
          <w:lang w:val="en-US" w:eastAsia="en-US" w:bidi="ar-SA"/>
        </w:rPr>
        <w:t>R. v. Paveley</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[1976] 3 W.W.R. 577</w:t>
        </w:r>
      </w:hyperlink>
      <w:r>
        <w:rPr>
          <w:rFonts w:ascii="arial" w:eastAsia="arial" w:hAnsi="arial" w:cs="arial"/>
          <w:color w:val="000000"/>
          <w:sz w:val="20"/>
          <w:lang w:val="en-US" w:eastAsia="en-US" w:bidi="ar-SA"/>
        </w:rPr>
        <w:t>, 1976 (Sask. C.A.) (W.L.)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To reiterate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tax evasion was described by the Ontario Court of Appeal in </w:t>
      </w:r>
      <w:r>
        <w:rPr>
          <w:rFonts w:ascii="arial" w:eastAsia="arial" w:hAnsi="arial" w:cs="arial"/>
          <w:i/>
          <w:color w:val="000000"/>
          <w:sz w:val="20"/>
          <w:lang w:val="en-US" w:eastAsia="en-US" w:bidi="ar-SA"/>
        </w:rPr>
        <w:t>Klundert</w:t>
      </w:r>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 I think the fault component in s. 239(1)(d) is twofold. First, the accused must know that tax is owing under the Act and second, the accused must intend to avoid or intend to attempt to avoid payment of that tax. An accused intends to avoid, or intends to attempt to avoid, payment of taxes owing under the Act where that is his purpose, or where he knows that his course of conduct is virtually certain to result in the avoiding of tax owing under the Act.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Crown must lead evidence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coexisted during the offence period: </w:t>
      </w:r>
      <w:r>
        <w:rPr>
          <w:rFonts w:ascii="arial" w:eastAsia="arial" w:hAnsi="arial" w:cs="arial"/>
          <w:i/>
          <w:color w:val="000000"/>
          <w:sz w:val="20"/>
          <w:lang w:val="en-US" w:eastAsia="en-US" w:bidi="ar-SA"/>
        </w:rPr>
        <w:t>R. v. Balla</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2009 BCPC 136</w:t>
        </w:r>
      </w:hyperlink>
      <w:r>
        <w:rPr>
          <w:rFonts w:ascii="arial" w:eastAsia="arial" w:hAnsi="arial" w:cs="arial"/>
          <w:color w:val="000000"/>
          <w:sz w:val="20"/>
          <w:lang w:val="en-US" w:eastAsia="en-US" w:bidi="ar-SA"/>
        </w:rPr>
        <w:t xml:space="preserve"> at para. 139.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fault requirement of an offence under s. 239(1)(d)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may be negated by a mistaken belief: </w:t>
      </w:r>
      <w:r>
        <w:rPr>
          <w:rFonts w:ascii="arial" w:eastAsia="arial" w:hAnsi="arial" w:cs="arial"/>
          <w:i/>
          <w:color w:val="000000"/>
          <w:sz w:val="20"/>
          <w:lang w:val="en-US" w:eastAsia="en-US" w:bidi="ar-SA"/>
        </w:rPr>
        <w:t>Klundert</w:t>
      </w:r>
      <w:r>
        <w:rPr>
          <w:rFonts w:ascii="arial" w:eastAsia="arial" w:hAnsi="arial" w:cs="arial"/>
          <w:color w:val="000000"/>
          <w:sz w:val="20"/>
          <w:lang w:val="en-US" w:eastAsia="en-US" w:bidi="ar-SA"/>
        </w:rPr>
        <w:t xml:space="preserve"> at para. 49. Mistake or ignorance regarding a liability to pay tax under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may negate the fault requirement regardless of whether it is a factual mistake, a legal mistake, or a combination of both: </w:t>
      </w:r>
      <w:r>
        <w:rPr>
          <w:rFonts w:ascii="arial" w:eastAsia="arial" w:hAnsi="arial" w:cs="arial"/>
          <w:i/>
          <w:color w:val="000000"/>
          <w:sz w:val="20"/>
          <w:lang w:val="en-US" w:eastAsia="en-US" w:bidi="ar-SA"/>
        </w:rPr>
        <w:t>Klundert</w:t>
      </w:r>
      <w:r>
        <w:rPr>
          <w:rFonts w:ascii="arial" w:eastAsia="arial" w:hAnsi="arial" w:cs="arial"/>
          <w:color w:val="000000"/>
          <w:sz w:val="20"/>
          <w:lang w:val="en-US" w:eastAsia="en-US" w:bidi="ar-SA"/>
        </w:rPr>
        <w:t xml:space="preserve">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Wilful blindness will satisfy the knowledge component for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tax evasion: </w:t>
      </w:r>
      <w:r>
        <w:rPr>
          <w:rFonts w:ascii="arial" w:eastAsia="arial" w:hAnsi="arial" w:cs="arial"/>
          <w:i/>
          <w:color w:val="000000"/>
          <w:sz w:val="20"/>
          <w:lang w:val="en-US" w:eastAsia="en-US" w:bidi="ar-SA"/>
        </w:rPr>
        <w:t>R. v. Breakell</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2009 ABCA 173</w:t>
        </w:r>
      </w:hyperlink>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R. v. Tyskerud</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2013 BCPC 27</w:t>
        </w:r>
      </w:hyperlink>
      <w:r>
        <w:rPr>
          <w:rFonts w:ascii="arial" w:eastAsia="arial" w:hAnsi="arial" w:cs="arial"/>
          <w:color w:val="000000"/>
          <w:sz w:val="20"/>
          <w:lang w:val="en-US" w:eastAsia="en-US" w:bidi="ar-SA"/>
        </w:rPr>
        <w:t xml:space="preserve"> at para. 245; and </w:t>
      </w:r>
      <w:r>
        <w:rPr>
          <w:rFonts w:ascii="arial" w:eastAsia="arial" w:hAnsi="arial" w:cs="arial"/>
          <w:i/>
          <w:color w:val="000000"/>
          <w:sz w:val="20"/>
          <w:lang w:val="en-US" w:eastAsia="en-US" w:bidi="ar-SA"/>
        </w:rPr>
        <w:t>R. v. Kennedy</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2004 BCCA 638</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Party liability for corporate tax evasion may apply to a corporate officer: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s. 242. Although the Crown need not prove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it must establish the corporation's guilt and the defendant's participation: </w:t>
      </w:r>
      <w:r>
        <w:rPr>
          <w:rFonts w:ascii="arial" w:eastAsia="arial" w:hAnsi="arial" w:cs="arial"/>
          <w:i/>
          <w:color w:val="000000"/>
          <w:sz w:val="20"/>
          <w:lang w:val="en-US" w:eastAsia="en-US" w:bidi="ar-SA"/>
        </w:rPr>
        <w:t>R v. Swendson</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[1987] 2 C.T.C. 199</w:t>
        </w:r>
      </w:hyperlink>
      <w:r>
        <w:rPr>
          <w:rFonts w:ascii="arial" w:eastAsia="arial" w:hAnsi="arial" w:cs="arial"/>
          <w:color w:val="000000"/>
          <w:sz w:val="20"/>
          <w:lang w:val="en-US" w:eastAsia="en-US" w:bidi="ar-SA"/>
        </w:rPr>
        <w:t xml:space="preserve"> (Alta. Q.B.). Due diligence is the only defence: </w:t>
      </w:r>
      <w:r>
        <w:rPr>
          <w:rFonts w:ascii="arial" w:eastAsia="arial" w:hAnsi="arial" w:cs="arial"/>
          <w:i/>
          <w:color w:val="000000"/>
          <w:sz w:val="20"/>
          <w:lang w:val="en-US" w:eastAsia="en-US" w:bidi="ar-SA"/>
        </w:rPr>
        <w:t>R.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Gibbs</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2003 BCPC 526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obligation of the Crown is to prove the elements of the offence, not to negative a defence: </w:t>
      </w:r>
      <w:r>
        <w:rPr>
          <w:rFonts w:ascii="arial" w:eastAsia="arial" w:hAnsi="arial" w:cs="arial"/>
          <w:i/>
          <w:color w:val="000000"/>
          <w:sz w:val="20"/>
          <w:lang w:val="en-US" w:eastAsia="en-US" w:bidi="ar-SA"/>
        </w:rPr>
        <w:t>Balla</w:t>
      </w:r>
      <w:r>
        <w:rPr>
          <w:rFonts w:ascii="arial" w:eastAsia="arial" w:hAnsi="arial" w:cs="arial"/>
          <w:color w:val="000000"/>
          <w:sz w:val="20"/>
          <w:lang w:val="en-US" w:eastAsia="en-US" w:bidi="ar-SA"/>
        </w:rPr>
        <w:t xml:space="preserve"> at para. 108.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Law on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To succeed for malicious prosecution the plaintiffs must prove each of these four elements against each defendant, as set out by the Supreme Court of Canada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at para. 3:</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initiated or continued the prosecution against them;</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prosecution terminated in the plaintiffs' favour;</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prosecution was undertaken without reasonable and probable cause; and</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prosecution was motivated by malice or a primary purpose other than that of carrying the law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Elements (a) and (b) are not in issue with respect to Mr. Brian Jones and his law corporation. Element (a) is in issue regarding the CRA and elements (c) and (d) are in issue regarding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thrust of the plaintiffs' claim is, as described at para. 45 of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"an after-the-fact attack on the propriety of the prosecutor's decision to initiate or continue criminal proceedings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will now turn to a discussion of the relevant legal principles under the four elements of the test for malicious prosecution.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Initiation of the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Supreme Court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stated that generally the initiation element of the test for malicious prosecution identifies those who were "actively instrumental" in setting the law in motion: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Under the first element of the test for malicious prosecution, the plaintiff must prove that the prosecution at issue was initiated by the defendant. This element identifies the proper target of the suit, as it is only those who were "actively instrumental" in setting the law in motion that may be held accountable for any damage that results: </w:t>
      </w:r>
      <w:r>
        <w:rPr>
          <w:rFonts w:ascii="arial" w:eastAsia="arial" w:hAnsi="arial" w:cs="arial"/>
          <w:i/>
          <w:color w:val="000000"/>
          <w:sz w:val="20"/>
          <w:lang w:val="en-US" w:eastAsia="en-US" w:bidi="ar-SA"/>
        </w:rPr>
        <w:t>Danby v. Beardsley</w:t>
      </w:r>
      <w:r>
        <w:rPr>
          <w:rFonts w:ascii="arial" w:eastAsia="arial" w:hAnsi="arial" w:cs="arial"/>
          <w:color w:val="000000"/>
          <w:sz w:val="20"/>
          <w:lang w:val="en-US" w:eastAsia="en-US" w:bidi="ar-SA"/>
        </w:rPr>
        <w:t xml:space="preserve"> (1880), 43 L.T. 603 (C.P.), at p. 604. As against a Crown prosecutor, the initiation requirement will be satisfied where the defendant Crown makes the decision to commence or continue the prosecution of charges laid by police, or adopts proceedings started by another prosecutor: </w:t>
      </w:r>
      <w:r>
        <w:rPr>
          <w:rFonts w:ascii="arial" w:eastAsia="arial" w:hAnsi="arial" w:cs="arial"/>
          <w:i/>
          <w:color w:val="000000"/>
          <w:sz w:val="20"/>
          <w:lang w:val="en-US" w:eastAsia="en-US" w:bidi="ar-SA"/>
        </w:rPr>
        <w:t>Clerk &amp; Lindsell on Torts</w:t>
      </w:r>
      <w:r>
        <w:rPr>
          <w:rFonts w:ascii="arial" w:eastAsia="arial" w:hAnsi="arial" w:cs="arial"/>
          <w:color w:val="000000"/>
          <w:sz w:val="20"/>
          <w:lang w:val="en-US" w:eastAsia="en-US" w:bidi="ar-SA"/>
        </w:rPr>
        <w:t xml:space="preserve"> (19th ed. 2006), at p. 979; </w:t>
      </w:r>
      <w:r>
        <w:rPr>
          <w:rFonts w:ascii="arial" w:eastAsia="arial" w:hAnsi="arial" w:cs="arial"/>
          <w:i/>
          <w:color w:val="000000"/>
          <w:sz w:val="20"/>
          <w:lang w:val="en-US" w:eastAsia="en-US" w:bidi="ar-SA"/>
        </w:rPr>
        <w:t>J. G. Fleming, The Law of Torts</w:t>
      </w:r>
      <w:r>
        <w:rPr>
          <w:rFonts w:ascii="arial" w:eastAsia="arial" w:hAnsi="arial" w:cs="arial"/>
          <w:color w:val="000000"/>
          <w:sz w:val="20"/>
          <w:lang w:val="en-US" w:eastAsia="en-US" w:bidi="ar-SA"/>
        </w:rPr>
        <w:t>, (9th ed. 1998), at p. 677.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Besides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Hewer v. Paquette</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1990 CanLII 1488</w:t>
        </w:r>
      </w:hyperlink>
      <w:r>
        <w:rPr>
          <w:rFonts w:ascii="arial" w:eastAsia="arial" w:hAnsi="arial" w:cs="arial"/>
          <w:color w:val="000000"/>
          <w:sz w:val="20"/>
          <w:lang w:val="en-US" w:eastAsia="en-US" w:bidi="ar-SA"/>
        </w:rPr>
        <w:t xml:space="preserve"> (B.C.S.C.), where two RCMP Constables were charged with, and found liable for, malicious prosecution. This was in part because they prepared Reports to Crown counsel that omitted critical information related to the arrest of the plaintiff. The court in </w:t>
      </w:r>
      <w:r>
        <w:rPr>
          <w:rFonts w:ascii="arial" w:eastAsia="arial" w:hAnsi="arial" w:cs="arial"/>
          <w:i/>
          <w:color w:val="000000"/>
          <w:sz w:val="20"/>
          <w:lang w:val="en-US" w:eastAsia="en-US" w:bidi="ar-SA"/>
        </w:rPr>
        <w:t>Hewer</w:t>
      </w:r>
      <w:r>
        <w:rPr>
          <w:rFonts w:ascii="arial" w:eastAsia="arial" w:hAnsi="arial" w:cs="arial"/>
          <w:color w:val="000000"/>
          <w:sz w:val="20"/>
          <w:lang w:val="en-US" w:eastAsia="en-US" w:bidi="ar-SA"/>
        </w:rPr>
        <w:t xml:space="preserve"> did not explicitly address whether the Constables initiated the prosecution. However, the authority that the court cited for the test for malicious prosecution set out initiation as a required element of the tort (</w:t>
      </w:r>
      <w:r>
        <w:rPr>
          <w:rFonts w:ascii="arial" w:eastAsia="arial" w:hAnsi="arial" w:cs="arial"/>
          <w:i/>
          <w:color w:val="000000"/>
          <w:sz w:val="20"/>
          <w:lang w:val="en-US" w:eastAsia="en-US" w:bidi="ar-SA"/>
        </w:rPr>
        <w:t>Carpenter et al. v. MacDonald et al.</w:t>
      </w:r>
      <w:r>
        <w:rPr>
          <w:rFonts w:ascii="arial" w:eastAsia="arial" w:hAnsi="arial" w:cs="arial"/>
          <w:color w:val="000000"/>
          <w:sz w:val="20"/>
          <w:lang w:val="en-US" w:eastAsia="en-US" w:bidi="ar-SA"/>
        </w:rPr>
        <w:t xml:space="preserve">, 1978 91 D.L.R. (3d) 724, </w:t>
      </w:r>
      <w:hyperlink r:id="rId755" w:history="1">
        <w:r>
          <w:rPr>
            <w:rFonts w:ascii="arial" w:eastAsia="arial" w:hAnsi="arial" w:cs="arial"/>
            <w:i/>
            <w:color w:val="0077CC"/>
            <w:sz w:val="20"/>
            <w:u w:val="single"/>
            <w:shd w:val="clear" w:color="auto" w:fill="FFFFFF"/>
            <w:lang w:val="en-US" w:eastAsia="en-US" w:bidi="ar-SA"/>
          </w:rPr>
          <w:t>1978 CanLII 2104</w:t>
        </w:r>
      </w:hyperlink>
      <w:r>
        <w:rPr>
          <w:rFonts w:ascii="arial" w:eastAsia="arial" w:hAnsi="arial" w:cs="arial"/>
          <w:color w:val="000000"/>
          <w:sz w:val="20"/>
          <w:lang w:val="en-US" w:eastAsia="en-US" w:bidi="ar-SA"/>
        </w:rPr>
        <w:t xml:space="preserve"> (Ont. Dist. Ct.) at 742). It can be implied that the court determined that that element of the test was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plaintiffs also rely on </w:t>
      </w:r>
      <w:r>
        <w:rPr>
          <w:rFonts w:ascii="arial" w:eastAsia="arial" w:hAnsi="arial" w:cs="arial"/>
          <w:i/>
          <w:color w:val="000000"/>
          <w:sz w:val="20"/>
          <w:lang w:val="en-US" w:eastAsia="en-US" w:bidi="ar-SA"/>
        </w:rPr>
        <w:t>Casey v. Auto Renault Canada Ltd.</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[1965] S.C.R. 607</w:t>
        </w:r>
      </w:hyperlink>
      <w:r>
        <w:rPr>
          <w:rFonts w:ascii="arial" w:eastAsia="arial" w:hAnsi="arial" w:cs="arial"/>
          <w:color w:val="000000"/>
          <w:sz w:val="20"/>
          <w:lang w:val="en-US" w:eastAsia="en-US" w:bidi="ar-SA"/>
        </w:rPr>
        <w:t xml:space="preserve">, for the assertion that the initiation requirement of the tort is met where an individual swears an information. The primary issue in </w:t>
      </w:r>
      <w:r>
        <w:rPr>
          <w:rFonts w:ascii="arial" w:eastAsia="arial" w:hAnsi="arial" w:cs="arial"/>
          <w:i/>
          <w:color w:val="000000"/>
          <w:sz w:val="20"/>
          <w:lang w:val="en-US" w:eastAsia="en-US" w:bidi="ar-SA"/>
        </w:rPr>
        <w:t>Casey</w:t>
      </w:r>
      <w:r>
        <w:rPr>
          <w:rFonts w:ascii="arial" w:eastAsia="arial" w:hAnsi="arial" w:cs="arial"/>
          <w:color w:val="000000"/>
          <w:sz w:val="20"/>
          <w:lang w:val="en-US" w:eastAsia="en-US" w:bidi="ar-SA"/>
        </w:rPr>
        <w:t xml:space="preserve"> was whether the prosecution was ever commenced against the appellant. The respondent company swore an information charging the appellant with theft. No further steps were taken, and the respondent withdrew the charges. In discussing what constitutes a prosecution, Justice Martland found that "the essence of the matter ... was the filing of an information ..." (p. 621). He went on to state at p. 623: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the respondent had caused everything to be done which could be done wrongfully to set the law in motion against the appellant on a criminal charge, an action for malicious prosecution lay against the respondent, the other required elements of that tort being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Ontario Court of Appeal came to a similar conclusion in </w:t>
      </w:r>
      <w:r>
        <w:rPr>
          <w:rFonts w:ascii="arial" w:eastAsia="arial" w:hAnsi="arial" w:cs="arial"/>
          <w:i/>
          <w:color w:val="000000"/>
          <w:sz w:val="20"/>
          <w:lang w:val="en-US" w:eastAsia="en-US" w:bidi="ar-SA"/>
        </w:rPr>
        <w:t>Romegialli v. Marceau</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[1964] 2 C.C.C. 87</w:t>
        </w:r>
      </w:hyperlink>
      <w:r>
        <w:rPr>
          <w:rFonts w:ascii="arial" w:eastAsia="arial" w:hAnsi="arial" w:cs="arial"/>
          <w:color w:val="000000"/>
          <w:sz w:val="20"/>
          <w:lang w:val="en-US" w:eastAsia="en-US" w:bidi="ar-SA"/>
        </w:rPr>
        <w:t xml:space="preserve"> (Ont. C.A.) (W.L.):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 Here, not only was the information laid, but not content with merely having a summons issued to the plaintiff, the defendant caused a warrant to be issued for his arrest. He was apprehended under the warrant and detained in custody for a period of one to one-and-a-half hours before his release on bail. We are all of the opinion that the learned Judge erred in finding that there had been no criminal proceedings launched against the plaintiff by the defendant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Both </w:t>
      </w:r>
      <w:r>
        <w:rPr>
          <w:rFonts w:ascii="arial" w:eastAsia="arial" w:hAnsi="arial" w:cs="arial"/>
          <w:i/>
          <w:color w:val="000000"/>
          <w:sz w:val="20"/>
          <w:lang w:val="en-US" w:eastAsia="en-US" w:bidi="ar-SA"/>
        </w:rPr>
        <w:t>McNeil v. Brewers Retail Inc.</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2008 ONCA 405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Pate v. Galway-Cavendish (Township)</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2011 ONCA 329</w:t>
        </w:r>
      </w:hyperlink>
      <w:r>
        <w:rPr>
          <w:rFonts w:ascii="arial" w:eastAsia="arial" w:hAnsi="arial" w:cs="arial"/>
          <w:color w:val="000000"/>
          <w:sz w:val="20"/>
          <w:lang w:val="en-US" w:eastAsia="en-US" w:bidi="ar-SA"/>
        </w:rPr>
        <w:t xml:space="preserve">, address initiation of a claim by a private individual making a complaint to the police. In </w:t>
      </w:r>
      <w:r>
        <w:rPr>
          <w:rFonts w:ascii="arial" w:eastAsia="arial" w:hAnsi="arial" w:cs="arial"/>
          <w:i/>
          <w:color w:val="000000"/>
          <w:sz w:val="20"/>
          <w:lang w:val="en-US" w:eastAsia="en-US" w:bidi="ar-SA"/>
        </w:rPr>
        <w:t>Pate</w:t>
      </w:r>
      <w:r>
        <w:rPr>
          <w:rFonts w:ascii="arial" w:eastAsia="arial" w:hAnsi="arial" w:cs="arial"/>
          <w:color w:val="000000"/>
          <w:sz w:val="20"/>
          <w:lang w:val="en-US" w:eastAsia="en-US" w:bidi="ar-SA"/>
        </w:rPr>
        <w:t>, the Ontario Court of Appeal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It is well-established that a defendant may be found to have initiated a prosecution even though the defendant did not actually lay the information that commenced the prosecution. Although this court has not determined "all the factors that could, in any particular case, satisfy the element of initiation", it has held that a defendant can be found to have initiated a prosecution where the defendant knowingly withheld exculpatory information from the police that the police could not have been expected to find and did not find and where the plaintiff would not have been charged but for the withholding: </w:t>
      </w:r>
      <w:r>
        <w:rPr>
          <w:rFonts w:ascii="arial" w:eastAsia="arial" w:hAnsi="arial" w:cs="arial"/>
          <w:i/>
          <w:color w:val="000000"/>
          <w:sz w:val="20"/>
          <w:lang w:val="en-US" w:eastAsia="en-US" w:bidi="ar-SA"/>
        </w:rPr>
        <w:t>McNeil v. Brewers Retail Inc.</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2008 ONCA 405</w:t>
        </w:r>
      </w:hyperlink>
      <w:r>
        <w:rPr>
          <w:rFonts w:ascii="arial" w:eastAsia="arial" w:hAnsi="arial" w:cs="arial"/>
          <w:color w:val="000000"/>
          <w:sz w:val="20"/>
          <w:lang w:val="en-US" w:eastAsia="en-US" w:bidi="ar-SA"/>
        </w:rPr>
        <w:t xml:space="preserve"> (Ont. C.A.)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This test is not inconsistent with the "actively instrumental" test for initiation set out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Termination in Favour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defendants concede that the tax evasion prosecution terminated in favour of the plaintiffs therefore no further discussion on this point is necessary.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Reasonable and Probable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standard of belief for this aspect of the malicious prosecution test is "probable guilt", which means, "the prosecutor believes, based on the existing state of circumstances, that proof beyond a reasonable doubt could be made out in a court of law"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Reasonable and probable cause relates not to the prosecutor's personal views respecting the guilt of the accused, but rather to the prosecutor's professional assessment of the legal strength of the case. This is because, as the Supreme Court said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in a public prosecution, the ability of a plaintiff to succeed on this stage of the malicious prosecution test simply by proving that the prosecutor did not personally believe there was reasonable and probable cause is problematic. The Court stated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The prosecutor's mere lack of subjective belief in sufficient cause, where objective reasonable grounds do in fact exist, cannot provide the same determinative answer on the third element in the context of a public prosecution. Unlike the situation in a purely private dispute, the public interest is engaged in a public prosecution and the Crown attorney is duty-bound to act solely in the public interest in making the decision whether to initiate or continue a prosecution. Consequently, where objective reasonable grounds did in fact exist at the relevant time, it cannot be said that the criminal process was wrongfully invoked. Further, as discussed above, the decision to initiate or continue the prosecution may not entirely accord with the individual prosecutor's personal views about a case as Crown counsel must take care not to substitute his or her own views for that of the judge or the jury. </w:t>
      </w:r>
      <w:r>
        <w:rPr>
          <w:rFonts w:ascii="arial" w:eastAsia="arial" w:hAnsi="arial" w:cs="arial"/>
          <w:color w:val="000000"/>
          <w:sz w:val="20"/>
          <w:u w:val="single"/>
          <w:lang w:val="en-US" w:eastAsia="en-US" w:bidi="ar-SA"/>
        </w:rPr>
        <w:t>Therefore, in the context of a public prosecution, the third element of the test necessarily turns on an objective assessment of the existence of sufficient cause</w:t>
      </w:r>
      <w:r>
        <w:rPr>
          <w:rFonts w:ascii="arial" w:eastAsia="arial" w:hAnsi="arial" w:cs="arial"/>
          <w:color w:val="000000"/>
          <w:sz w:val="20"/>
          <w:lang w:val="en-US" w:eastAsia="en-US" w:bidi="ar-SA"/>
        </w:rPr>
        <w:t>. As we shall see, the presence or absence of the prosecutor's subjective belief in sufficient cause is nonetheless a relevant factor on the fourth element of the test, the inquiry into malice.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role of the court in a malicious prosecution case when assessing reasonable and probable cause in a public prosecution was described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If the court concludes, on the basis of the circumstances known to the prosecutor at the relevant time, that reasonable and probable cause existed to commence or continue a criminal prosecution from an objective standpoint, the criminal process was properly employed, and the inquiry need go no further. See, e.g., </w:t>
      </w:r>
      <w:r>
        <w:rPr>
          <w:rFonts w:ascii="arial" w:eastAsia="arial" w:hAnsi="arial" w:cs="arial"/>
          <w:i/>
          <w:color w:val="000000"/>
          <w:sz w:val="20"/>
          <w:lang w:val="en-US" w:eastAsia="en-US" w:bidi="ar-SA"/>
        </w:rPr>
        <w:t>Al's Steak House &amp; Tavern Inc. v. Deloitte &amp; Touche</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(1999), 45 C.C.L.T. (2d) 98</w:t>
        </w:r>
      </w:hyperlink>
      <w:r>
        <w:rPr>
          <w:rFonts w:ascii="arial" w:eastAsia="arial" w:hAnsi="arial" w:cs="arial"/>
          <w:color w:val="000000"/>
          <w:sz w:val="20"/>
          <w:lang w:val="en-US" w:eastAsia="en-US" w:bidi="ar-SA"/>
        </w:rPr>
        <w:t xml:space="preserve"> (Ont. Ct. (Gen. Div.)), at paras. 11-13.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In carrying out the objective assessment, care must be taken in retroactively reviewing the facts actually known to the prosecutor at the relevant time -- that is, when the decision to initiate or continue the proceeding was made. The reviewing court must be mindful that many aspects of a case only come to light during the course of a trial: witnesses may not testify in accordance with their earlier statements; weaknesses in the evidence may be revealed during cross-examination; scientific evidence may be proved faulty; or defence evidence may shed an entirely different light on the circumstances as they were known at the time process was initiated.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To summarize, the test to be applied is whether as a matter of law, based on circumstances actually known to the defendants when the prosecution was initiated and/or continued, there existed objective reasonable and probable cause to believe that guilt could properly be proved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Supreme Court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also discussed the application of Crown policy manuals. At para. 64, the Court observed that Crown policy manuals often require a higher standard than reasonable and probable cause. The Court stated that generally these manuals advise not to initiate or continue a prosecution "unless there exists a reasonable prospect of conviction and it is in the public interest to pursue the criminal proceeding" (para. 64). However, the Supreme Court said "there is nothing discordant about a lower standard grounding civil liability" (para. 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Reasonable and Probable Cause for an Investigator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defendants take issue with the test for reasonable and probable grounds insofar as the conduct of the investigator Mr. Kendal is concerned. They submit that the reasonable and probable grounds test set out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does not apply to an investigator. In doing so they submit that investigators do not have to evaluate evidence, as would a prosecutor.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at para. 50, where the Supreme Court noted that while police are required to some extent to weigh evidence, the task of evaluating the evidence according to legal standards rests with the prosecutors, defence attorneys and judges. They submit that the fact that the CRA made a referral to the PPSC and to Mr. Brian Jones does not equate to the CRA initiating the prosecution due to the division of responsibilities noted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As a result they submit that investigators, like Mr. Kendal, do not have to assess whether the evidence establishes reasonable and probable cause before referring a case to a prosecutor who will decide whether to proceed with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Regarding the apparent inconsistency between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Miazga, Hill</w:t>
      </w:r>
      <w:r>
        <w:rPr>
          <w:rFonts w:ascii="arial" w:eastAsia="arial" w:hAnsi="arial" w:cs="arial"/>
          <w:color w:val="000000"/>
          <w:sz w:val="20"/>
          <w:lang w:val="en-US" w:eastAsia="en-US" w:bidi="ar-SA"/>
        </w:rPr>
        <w:t xml:space="preserve"> was decided prior to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and addressed the emerging tort of negligent investigation by police officers.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the Court discussed the appropriate standard of care for an investigation, and noted that the possibility of holding police civilly liable for negligent investigation "does not require them to make judgments as to legal guilt or innocence before proceeding against a suspect"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However, the Court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68 also noted that the "particular conduct" required of police, that is, the standard of care, is informed by the stage of the investigation and the applicable legal considerations: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A number of considerations support the conclusion that the standard of care is that of a reasonable police officer in all the circumstances. First, the standard of a reasonable police officer in all the circumstances provides a flexible overarching standard that covers all aspects of investigatory police work and appropriately reflects its realities. The particular conduct required is informed by the stage of the investigation and applicable legal considerations. </w:t>
      </w:r>
      <w:r>
        <w:rPr>
          <w:rFonts w:ascii="arial" w:eastAsia="arial" w:hAnsi="arial" w:cs="arial"/>
          <w:color w:val="000000"/>
          <w:sz w:val="20"/>
          <w:u w:val="single"/>
          <w:lang w:val="en-US" w:eastAsia="en-US" w:bidi="ar-SA"/>
        </w:rPr>
        <w:t>At the outset of an investigation, the police may have little more than hearsay, suspicion and a hunch. What is required is that they act as a reasonable investigating officer would in those circumstances. Later, in laying charges, the standard is informed by the legal requirement of reasonable and probable grounds to believe the suspect is guilty: since the law requires such grounds, a police officer acting reasonably in the circumstances would insist on them</w:t>
      </w:r>
      <w:r>
        <w:rPr>
          <w:rFonts w:ascii="arial" w:eastAsia="arial" w:hAnsi="arial" w:cs="arial"/>
          <w:color w:val="000000"/>
          <w:sz w:val="20"/>
          <w:lang w:val="en-US" w:eastAsia="en-US" w:bidi="ar-SA"/>
        </w:rPr>
        <w:t>. The reasonable officer standard entails no conflict between criminal standards (Charron J., at para. 175). Rather, it incorporates them, in the same way it incorporates an appropriate degree of judicial discretion, denies liability for minor errors or mistakes and rejects liability by hindsight. In all these ways, it reflects the realities of police work.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defendants also rely on </w:t>
      </w:r>
      <w:r>
        <w:rPr>
          <w:rFonts w:ascii="arial" w:eastAsia="arial" w:hAnsi="arial" w:cs="arial"/>
          <w:i/>
          <w:color w:val="000000"/>
          <w:sz w:val="20"/>
          <w:lang w:val="en-US" w:eastAsia="en-US" w:bidi="ar-SA"/>
        </w:rPr>
        <w:t>McNeil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Pate</w:t>
      </w:r>
      <w:r>
        <w:rPr>
          <w:rFonts w:ascii="arial" w:eastAsia="arial" w:hAnsi="arial" w:cs="arial"/>
          <w:color w:val="000000"/>
          <w:sz w:val="20"/>
          <w:lang w:val="en-US" w:eastAsia="en-US" w:bidi="ar-SA"/>
        </w:rPr>
        <w:t>, both noted above, to support what they say is the test for "reasonable and probable grounds". However, they rely on portions of those cases that address initiation of a claim by a private individual who makes a complaint to the police, not reasonable and probable grounds. As a result they do not assist on the issue of reasonable and probable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the court elaborated on the meaning of the definition of "reasonable and probable grounds to believe the suspect is guilty" in a malicious prosecution where the focus is not on the police investigation but on initiating a prosecution. In contrast to a negligent investigation, the tort of malicious prosecution "targets the decision to initiate or continue with a criminal prosecution"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As a result in my view the defendants' reliance on </w:t>
      </w:r>
      <w:r>
        <w:rPr>
          <w:rFonts w:ascii="arial" w:eastAsia="arial" w:hAnsi="arial" w:cs="arial"/>
          <w:i/>
          <w:color w:val="000000"/>
          <w:sz w:val="20"/>
          <w:lang w:val="en-US" w:eastAsia="en-US" w:bidi="ar-SA"/>
        </w:rPr>
        <w:t>Hill, McNeil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Pate</w:t>
      </w:r>
      <w:r>
        <w:rPr>
          <w:rFonts w:ascii="arial" w:eastAsia="arial" w:hAnsi="arial" w:cs="arial"/>
          <w:color w:val="000000"/>
          <w:sz w:val="20"/>
          <w:lang w:val="en-US" w:eastAsia="en-US" w:bidi="ar-SA"/>
        </w:rPr>
        <w:t>, is misplaced as applied by them to a malicious prosecution and reasonable and probable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defendants also submit that where a Crown prosecutor determines there is a reasonable prospect of conviction, it is implicit those involved in the investigation and laying of charges had grounds to do so, citing </w:t>
      </w:r>
      <w:r>
        <w:rPr>
          <w:rFonts w:ascii="arial" w:eastAsia="arial" w:hAnsi="arial" w:cs="arial"/>
          <w:i/>
          <w:color w:val="000000"/>
          <w:sz w:val="20"/>
          <w:lang w:val="en-US" w:eastAsia="en-US" w:bidi="ar-SA"/>
        </w:rPr>
        <w:t>Pitney v. Toronto (City) Police Services Board</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2016 ONSC 1013</w:t>
        </w:r>
      </w:hyperlink>
      <w:r>
        <w:rPr>
          <w:rFonts w:ascii="arial" w:eastAsia="arial" w:hAnsi="arial" w:cs="arial"/>
          <w:color w:val="000000"/>
          <w:sz w:val="20"/>
          <w:lang w:val="en-US" w:eastAsia="en-US" w:bidi="ar-SA"/>
        </w:rPr>
        <w:t xml:space="preserve"> at para. 35 and </w:t>
      </w:r>
      <w:r>
        <w:rPr>
          <w:rFonts w:ascii="arial" w:eastAsia="arial" w:hAnsi="arial" w:cs="arial"/>
          <w:i/>
          <w:color w:val="000000"/>
          <w:sz w:val="20"/>
          <w:lang w:val="en-US" w:eastAsia="en-US" w:bidi="ar-SA"/>
        </w:rPr>
        <w:t>Franklin v. Toronto Police Services Board</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[2008] O.J. No. 5237</w:t>
        </w:r>
      </w:hyperlink>
      <w:r>
        <w:rPr>
          <w:rFonts w:ascii="arial" w:eastAsia="arial" w:hAnsi="arial" w:cs="arial"/>
          <w:color w:val="000000"/>
          <w:sz w:val="20"/>
          <w:lang w:val="en-US" w:eastAsia="en-US" w:bidi="ar-SA"/>
        </w:rPr>
        <w:t xml:space="preserve"> (Ont. S.C.J.) at paras. 39, 60, and 65. They say that where an investigator recommends charges and the prosecutor agrees, the investigator is considered to have had evidence sufficient to found a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However the proper test for reasonable and probable grounds to be applied to the tort of malicious prosecution is as summarized by the Supreme Court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of malicious prosecution "targets the decision to initiate or continue with a criminal prosecution" (para. 6);</w:t>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of malicious prosecution is "designed to provide redress for losses flowing from an unjustified prosecution" (para. 42);</w:t>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elements of the tort are the same no matter the parties: para. 44;</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"initiation" requirement identifies the appropriate target of the suit: para. 53.</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burden of proof in a criminal trial, "probable guilt" means that, on an objective assessment, based on the existing state of circumstances, proof beyond a reasonable doubt could be made out in a court of law: para. 63.</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and probable cause is a question of law to be decided by the judge: para. 74. This means that the subjective state of mind of the defendants is not a relevant consideration hence there is no unfairness in applying the same test to both an investigator and prosecutor. The question is whether the prosecution was properly initiated.</w:t>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"sliding scale" for reasonable and probable cause depending on who the defendants are. The test is the same in any public prosecution.</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determines that no objective grounds existed for the prosecution at the relevant time then the court must consider the fourth element, that of malice: para. 77.</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concept of malice relates to the defendant's mental state as it applies to the prosecution: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at para. 78. The Court discussed malice further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 Malice is a question of fact, requiring evidence that the prosecutor was impelled by an "improper purpose".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Lamer J. explained the meaning of "improper purpose" in this context (at pp. 193-94):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succeed in an action for malicious prosecution against the Attorney General or Crown Attorney, the plaintiff would have to prove both the absence of reasonable and probable cause in commencing the prosecution,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malice in the form of a deliberate and improper use of the office of the Attorney General or Crown Attorney, a use inconsistent with the status of "minister of justice". In my view this burden on the plaintiff amounts to a requirement that the Attorney General or Crown Attorney perpetrated a fraud on the process of criminal justice and in doing so has perverted or abused his office and the process of criminal justice. In fact, in some cases this would seem to amount to criminal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If the prosecutor has an honest professional belief that proof beyond a reasonable doubt can be made out but that belief is mistaken then the claim for malicious prosecution will fail: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at para. 79. However, the opposite of this assertion is not true in that "absence of a subjective belief in sufficient grounds, while a relevant factor, does not equate with malice"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at para. 80). The plaintiffs must prove that the prosecutor acted "wilfully" to pervert or abuse the office of the Attorney General: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at para.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Supreme Court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elaborated at para. 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As discussed earlier, a demonstrable "improper purpose" is the key to maintaining the balance struck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between the need to ensure that the Attorney General and Crown prosecutors will not be hindered in the proper execution of their important public duties and the need to provide a remedy to individuals who have been wrongly and maliciously prosecuted. By requiring proof of an improper purpose, the malice element of the tort of malicious prosecution ensures that liability will not be imposed in cases where a prosecutor proceeds, absent reasonable and probable grounds by reason of incompetence, inexperience, poor judgment, lack of professionalism, laziness, recklessness, honest mistake,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even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This means that, as the Supreme Court held in </w:t>
      </w:r>
      <w:r>
        <w:rPr>
          <w:rFonts w:ascii="arial" w:eastAsia="arial" w:hAnsi="arial" w:cs="arial"/>
          <w:i/>
          <w:color w:val="000000"/>
          <w:sz w:val="20"/>
          <w:lang w:val="en-US" w:eastAsia="en-US" w:bidi="ar-SA"/>
        </w:rPr>
        <w:t>Proulx v. Québec (Attorney General)</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2001 SCC 66</w:t>
        </w:r>
      </w:hyperlink>
      <w:r>
        <w:rPr>
          <w:rFonts w:ascii="arial" w:eastAsia="arial" w:hAnsi="arial" w:cs="arial"/>
          <w:color w:val="000000"/>
          <w:sz w:val="20"/>
          <w:lang w:val="en-US" w:eastAsia="en-US" w:bidi="ar-SA"/>
        </w:rPr>
        <w:t xml:space="preserve">, "[t]he malicious use of the office may not have been accidental: it must be deliberate" (para. 216). The Court in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xml:space="preserve"> described the burden of proof as "very high" (para. 215) and "clear" (para. 217). The burden "must be applied strictly" in order to "avoid any interpretation that leaves any room for uncertainty in its application" (para. 217). The Court in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xml:space="preserve"> noted the benefits of this high burden of proof at para. 218: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[218] Thus a Crown attorney will not be personally uncertain as to whether a violation has occurred and his independence to decide and act according to his good judgment and the means available will be protected. Moreover, individuals will be spared involvement in pointless legal proceedings that could interfere with the proper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summarized the malice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[89] In summary, the malice element of the test for malicious prosecution will be made out when a court is satisfied on a balance of probabilities, that the defendant Crown prosecutor commenced or continued the impugned prosecution with a purpose inconsistent with his or her role as a "minister of justice". The plaintiff must demonstrate on the totality of the evidence that the prosecutor deliberately intended to subvert or abuse the office of the Attorney General or the process of criminal justice such that he or she exceeded the boundaries of the office of the Attorney General. While the absence of a subjective belief in reasonable and probable cause is relevant to the malice inquiry, it does not dispense with the requirement of proof of an improper purpose.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Role of Crown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As lawyers Crown counsel have the responsibilities shared by all members of the Bar. However, they also hold unique responsibilities because of their position. They are quasi-judicial ministers of justice hence are more than simply advocates. In that role they are not to seek to obtain a conviction: </w:t>
      </w:r>
      <w:r>
        <w:rPr>
          <w:rFonts w:ascii="arial" w:eastAsia="arial" w:hAnsi="arial" w:cs="arial"/>
          <w:i/>
          <w:color w:val="000000"/>
          <w:sz w:val="20"/>
          <w:lang w:val="en-US" w:eastAsia="en-US" w:bidi="ar-SA"/>
        </w:rPr>
        <w:t>Boucher v. The Queen</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[1955] S.C.R. 16</w:t>
        </w:r>
      </w:hyperlink>
      <w:r>
        <w:rPr>
          <w:rFonts w:ascii="arial" w:eastAsia="arial" w:hAnsi="arial" w:cs="arial"/>
          <w:color w:val="000000"/>
          <w:sz w:val="20"/>
          <w:lang w:val="en-US" w:eastAsia="en-US" w:bidi="ar-SA"/>
        </w:rPr>
        <w:t xml:space="preserve"> at pp. 23-24. They act on behalf of the Attorney General of Canada to "administer justice": </w:t>
      </w:r>
      <w:r>
        <w:rPr>
          <w:rFonts w:ascii="arial" w:eastAsia="arial" w:hAnsi="arial" w:cs="arial"/>
          <w:i/>
          <w:color w:val="000000"/>
          <w:sz w:val="20"/>
          <w:lang w:val="en-US" w:eastAsia="en-US" w:bidi="ar-SA"/>
        </w:rPr>
        <w:t>Nelles v. Ontario</w:t>
      </w:r>
      <w:r>
        <w:rPr>
          <w:rFonts w:ascii="arial" w:eastAsia="arial" w:hAnsi="arial" w:cs="arial"/>
          <w:color w:val="000000"/>
          <w:sz w:val="20"/>
          <w:lang w:val="en-US" w:eastAsia="en-US" w:bidi="ar-SA"/>
        </w:rPr>
        <w:t>, [1989] 2. S.C.R. 170 at p. 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power exercised by individual Crown counsel to decide whether to initiate a prosecution flows from the powers vested in the Attorney General's office. As the Supreme Court found in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2015 SCC 24</w:t>
        </w:r>
      </w:hyperlink>
      <w:r>
        <w:rPr>
          <w:rFonts w:ascii="arial" w:eastAsia="arial" w:hAnsi="arial" w:cs="arial"/>
          <w:color w:val="000000"/>
          <w:sz w:val="20"/>
          <w:lang w:val="en-US" w:eastAsia="en-US" w:bidi="ar-SA"/>
        </w:rPr>
        <w:t xml:space="preserve"> at para. 62, citing </w:t>
      </w:r>
      <w:r>
        <w:rPr>
          <w:rFonts w:ascii="arial" w:eastAsia="arial" w:hAnsi="arial" w:cs="arial"/>
          <w:i/>
          <w:color w:val="000000"/>
          <w:sz w:val="20"/>
          <w:lang w:val="en-US" w:eastAsia="en-US" w:bidi="ar-SA"/>
        </w:rPr>
        <w:t>Krieger v. Law Society of Alberta</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2002 SCC 65</w:t>
        </w:r>
      </w:hyperlink>
      <w:r>
        <w:rPr>
          <w:rFonts w:ascii="arial" w:eastAsia="arial" w:hAnsi="arial" w:cs="arial"/>
          <w:color w:val="000000"/>
          <w:sz w:val="20"/>
          <w:lang w:val="en-US" w:eastAsia="en-US" w:bidi="ar-SA"/>
        </w:rPr>
        <w:t xml:space="preserve">, "[a] decision of the Attorney General, or of his or her agents, within the authority delegated to him or her by the sovereign is not subject to interference by other arms of government". They perform a public service and are to be held to the highest standards of conduct as persons vested with exercising a public trust: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p. 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 wrong, let alone a deliberately wrongful decision to approve charges risks the wrongful conviction of innocent persons, and undermines the public's confidence in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PPSC acts as "prosecutor" in all matters prosecuted by the Attorney General of Canada on behalf of the Crown. They employ both in-house prosecutors who are employees of the Department of Justice as well as engaging the services of private sector lawyers as standing agent prosecutors. Although private sector lawyers are contractually engaged by the PPSC they are at law agents of the Attorney General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Section 5 of the </w:t>
      </w:r>
      <w:r>
        <w:rPr>
          <w:rFonts w:ascii="arial" w:eastAsia="arial" w:hAnsi="arial" w:cs="arial"/>
          <w:i/>
          <w:color w:val="000000"/>
          <w:sz w:val="20"/>
          <w:lang w:val="en-US" w:eastAsia="en-US" w:bidi="ar-SA"/>
        </w:rPr>
        <w:t>Department of Justice Act</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R.S.C. 1985, c. J-2</w:t>
        </w:r>
      </w:hyperlink>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Powers, duties and functions of Attorney General</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 of Canada</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entrusted with the powers and charged with the duties that belong to the office of the Attorney General of England by law or usage, in so far as those powers and duties are applicable to Canada, and also with the powers and duties that, by the laws of the several provinces, belonged to the office of attorney general of each province up to the time when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came into effect, in so far as those laws under the provisions of the said Act are to be administered and carried into effect by the Government of Canada;</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shall advise the heads of the several departments of the Government on all matters of law connected with such departments;</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charged with the settlement and approval of all instruments issued under the Great Seal;</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shall have the regulation and conduct of all litigation for or against the Crown or any department, in respect of any subject within the authority or jurisdiction of Canada</w:t>
      </w:r>
      <w:r>
        <w:rPr>
          <w:rFonts w:ascii="arial" w:eastAsia="arial" w:hAnsi="arial" w:cs="arial"/>
          <w:color w:val="000000"/>
          <w:sz w:val="20"/>
          <w:lang w:val="en-US" w:eastAsia="en-US" w:bidi="ar-SA"/>
        </w:rPr>
        <w:t>; and</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shall carry out such other duties as are assigned by the Governor in Council to the Attorney General of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Section 9.3.1 of the </w:t>
      </w:r>
      <w:r>
        <w:rPr>
          <w:rFonts w:ascii="arial" w:eastAsia="arial" w:hAnsi="arial" w:cs="arial"/>
          <w:i/>
          <w:color w:val="000000"/>
          <w:sz w:val="20"/>
          <w:lang w:val="en-US" w:eastAsia="en-US" w:bidi="ar-SA"/>
        </w:rPr>
        <w:t>Federal Prosecution Service Deskbook</w:t>
      </w:r>
      <w:r>
        <w:rPr>
          <w:rFonts w:ascii="arial" w:eastAsia="arial" w:hAnsi="arial" w:cs="arial"/>
          <w:color w:val="000000"/>
          <w:sz w:val="20"/>
          <w:lang w:val="en-US" w:eastAsia="en-US" w:bidi="ar-SA"/>
        </w:rPr>
        <w:t xml:space="preserve"> (Ottawa: Department of Justice, 2005), ("FPS Deskbook") warns Crown counsel to ensure that the responsibilities of the office of the Attorney General are carried out with integrity and dignity, and advises that counsel may fulfill this duty: "by not becoming simply an extension of a client department or investigative agency". It also states, in s. 9.4, that Crown counsel are to make preventing wrongful convictions a "constant priority" and that a wrongful conviction is a "failure of justice in the most fundamental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Chapter 2, s. 2.1-1(b) of the </w:t>
      </w:r>
      <w:r>
        <w:rPr>
          <w:rFonts w:ascii="arial" w:eastAsia="arial" w:hAnsi="arial" w:cs="arial"/>
          <w:i/>
          <w:color w:val="000000"/>
          <w:sz w:val="20"/>
          <w:lang w:val="en-US" w:eastAsia="en-US" w:bidi="ar-SA"/>
        </w:rPr>
        <w:t>Code of Professional Conduct for British Columbia</w:t>
      </w:r>
      <w:r>
        <w:rPr>
          <w:rFonts w:ascii="arial" w:eastAsia="arial" w:hAnsi="arial" w:cs="arial"/>
          <w:color w:val="000000"/>
          <w:sz w:val="20"/>
          <w:lang w:val="en-US" w:eastAsia="en-US" w:bidi="ar-SA"/>
        </w:rPr>
        <w:t xml:space="preserve"> (The Law Society of British Columbia: Vancouver, 2013) ("BC Code"), provides that when acting as Crown counsel, a lawyer's primary duty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engaged as a Crown prosecutor, a lawyer's primary duty is not to seek a conviction but to see that justice is done; to that end the lawyer should make timely disclosure to the defence of all facts and known witnesses whether tending to show guilt or innocence, or that would affect the punishment of the accused.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addition, in Chapter 5, s. 5.1-3, the </w:t>
      </w:r>
      <w:r>
        <w:rPr>
          <w:rFonts w:ascii="arial" w:eastAsia="arial" w:hAnsi="arial" w:cs="arial"/>
          <w:i/>
          <w:color w:val="000000"/>
          <w:sz w:val="20"/>
          <w:lang w:val="en-US" w:eastAsia="en-US" w:bidi="ar-SA"/>
        </w:rPr>
        <w:t>BC Code</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acting as a prosecutor, a lawyer must act for the public and the administration of justice resolutely and honourably within the limits of the law while treating the tribunal with candour, fairness, courtesy and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Federation of Law Societies of Canada's </w:t>
      </w:r>
      <w:r>
        <w:rPr>
          <w:rFonts w:ascii="arial" w:eastAsia="arial" w:hAnsi="arial" w:cs="arial"/>
          <w:i/>
          <w:color w:val="000000"/>
          <w:sz w:val="20"/>
          <w:lang w:val="en-US" w:eastAsia="en-US" w:bidi="ar-SA"/>
        </w:rPr>
        <w:t>Model Code of Professional Conduct</w:t>
      </w:r>
      <w:r>
        <w:rPr>
          <w:rFonts w:ascii="arial" w:eastAsia="arial" w:hAnsi="arial" w:cs="arial"/>
          <w:color w:val="000000"/>
          <w:sz w:val="20"/>
          <w:lang w:val="en-US" w:eastAsia="en-US" w:bidi="ar-SA"/>
        </w:rPr>
        <w:t xml:space="preserve"> (Ottawa, updated 2017), provides this guidance in respect to the role of Crown counsel in chapter 5, commentary to s. 5.1-3: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engaged as a prosecutor, the lawyer's primary duty is not to seek to convict but to see that justice is done through a fair trial on the merits. The prosecutor exercises a public function involving much discretion and power and must act fairly and dispassionately. The prosecutor should not do anything that might prevent the accused from being represented by counsel or communicating with counsel and, to the extent required by law and accepted practice, </w:t>
      </w:r>
      <w:r>
        <w:rPr>
          <w:rFonts w:ascii="arial" w:eastAsia="arial" w:hAnsi="arial" w:cs="arial"/>
          <w:color w:val="000000"/>
          <w:sz w:val="20"/>
          <w:u w:val="single"/>
          <w:lang w:val="en-US" w:eastAsia="en-US" w:bidi="ar-SA"/>
        </w:rPr>
        <w:t>should make timely disclosure to defence counsel or directly to an unrepresented accused of all relevant and known facts and witnesses, whether tending to show guilt or innocence</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Prosecutorial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concept of prosecutorial discretion is closely related to the role of Crown counsel set out above. The Court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Krieger</w:t>
      </w:r>
      <w:r>
        <w:rPr>
          <w:rFonts w:ascii="arial" w:eastAsia="arial" w:hAnsi="arial" w:cs="arial"/>
          <w:color w:val="000000"/>
          <w:sz w:val="20"/>
          <w:lang w:val="en-US" w:eastAsia="en-US" w:bidi="ar-SA"/>
        </w:rPr>
        <w:t>, described prosecutorial discretion: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decision to initiate or continue criminal proceedings lies at the core of prosecutorial discretion, the nature and contents of which were described by this Court in </w:t>
      </w:r>
      <w:r>
        <w:rPr>
          <w:rFonts w:ascii="arial" w:eastAsia="arial" w:hAnsi="arial" w:cs="arial"/>
          <w:i/>
          <w:color w:val="000000"/>
          <w:sz w:val="20"/>
          <w:lang w:val="en-US" w:eastAsia="en-US" w:bidi="ar-SA"/>
        </w:rPr>
        <w:t>Krieger</w:t>
      </w:r>
      <w:r>
        <w:rPr>
          <w:rFonts w:ascii="arial" w:eastAsia="arial" w:hAnsi="arial" w:cs="arial"/>
          <w:color w:val="000000"/>
          <w:sz w:val="20"/>
          <w:lang w:val="en-US" w:eastAsia="en-US" w:bidi="ar-SA"/>
        </w:rPr>
        <w:t xml:space="preserve"> as follows (at paras. 43 and 46-47):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"Prosecutorial discretion" is a term of art. It does not simply refer to any discretionary decision made by a Crown prosecutor. Prosecutorial discretion refers to the use of those powers that constitute the core of the Attorney General's office and which are protected from the influence of improper political and other vitiating factors by the principle of independence.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Without being exhaustive, we believe the core elements of prosecutorial discretion encompass the following: </w:t>
      </w:r>
      <w:r>
        <w:rPr>
          <w:rFonts w:ascii="arial" w:eastAsia="arial" w:hAnsi="arial" w:cs="arial"/>
          <w:color w:val="000000"/>
          <w:sz w:val="20"/>
          <w:u w:val="single"/>
          <w:lang w:val="en-US" w:eastAsia="en-US" w:bidi="ar-SA"/>
        </w:rPr>
        <w:t>(a) the discretion whether to bring the prosecution of a charge laid by police; (b) the discretion to enter a stay of proceedings in either a private or public prosecution</w:t>
      </w:r>
      <w:r>
        <w:rPr>
          <w:rFonts w:ascii="arial" w:eastAsia="arial" w:hAnsi="arial" w:cs="arial"/>
          <w:color w:val="000000"/>
          <w:sz w:val="20"/>
          <w:lang w:val="en-US" w:eastAsia="en-US" w:bidi="ar-SA"/>
        </w:rPr>
        <w:t xml:space="preserve">, as codified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R.S.C. 1985, c. C-46, ss. 579</w:t>
        </w:r>
      </w:hyperlink>
      <w:r>
        <w:rPr>
          <w:rFonts w:ascii="arial" w:eastAsia="arial" w:hAnsi="arial" w:cs="arial"/>
          <w:color w:val="000000"/>
          <w:sz w:val="20"/>
          <w:lang w:val="en-US" w:eastAsia="en-US" w:bidi="ar-SA"/>
        </w:rPr>
        <w:t xml:space="preserve"> and 579.1; (c) the discretion to accept a guilty plea to a lesser charge; (d) the discretion to withdraw from criminal proceedings altogether: </w:t>
      </w:r>
      <w:r>
        <w:rPr>
          <w:rFonts w:ascii="arial" w:eastAsia="arial" w:hAnsi="arial" w:cs="arial"/>
          <w:i/>
          <w:color w:val="000000"/>
          <w:sz w:val="20"/>
          <w:lang w:val="en-US" w:eastAsia="en-US" w:bidi="ar-SA"/>
        </w:rPr>
        <w:t>R. v. Osborne</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(1975), 25 C.C.C. (2d) 405</w:t>
        </w:r>
      </w:hyperlink>
      <w:r>
        <w:rPr>
          <w:rFonts w:ascii="arial" w:eastAsia="arial" w:hAnsi="arial" w:cs="arial"/>
          <w:color w:val="000000"/>
          <w:sz w:val="20"/>
          <w:lang w:val="en-US" w:eastAsia="en-US" w:bidi="ar-SA"/>
        </w:rPr>
        <w:t xml:space="preserve"> (N.B.C.A.); and (e) the discretion to take control of a private prosecution: </w:t>
      </w:r>
      <w:r>
        <w:rPr>
          <w:rFonts w:ascii="arial" w:eastAsia="arial" w:hAnsi="arial" w:cs="arial"/>
          <w:i/>
          <w:color w:val="000000"/>
          <w:sz w:val="20"/>
          <w:lang w:val="en-US" w:eastAsia="en-US" w:bidi="ar-SA"/>
        </w:rPr>
        <w:t>R. v. Osiowy</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(1989), 50 C.C.C. (3d) 189</w:t>
        </w:r>
      </w:hyperlink>
      <w:r>
        <w:rPr>
          <w:rFonts w:ascii="arial" w:eastAsia="arial" w:hAnsi="arial" w:cs="arial"/>
          <w:color w:val="000000"/>
          <w:sz w:val="20"/>
          <w:lang w:val="en-US" w:eastAsia="en-US" w:bidi="ar-SA"/>
        </w:rPr>
        <w:t xml:space="preserve"> (Sask. C.A.). While there are other discretionary decisions, these are the core of the delegated sovereign authority peculiar to the office of the Attorney General.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Significantly, what is common to the various elements of prosecutorial discretion is that they involve the ultimate decisions as to whether a prosecution should be brought, continued or ceased, and what the prosecution ought to be for</w:t>
      </w:r>
      <w:r>
        <w:rPr>
          <w:rFonts w:ascii="arial" w:eastAsia="arial" w:hAnsi="arial" w:cs="arial"/>
          <w:color w:val="000000"/>
          <w:sz w:val="20"/>
          <w:lang w:val="en-US" w:eastAsia="en-US" w:bidi="ar-SA"/>
        </w:rPr>
        <w:t xml:space="preserve">. Put differently, </w:t>
      </w:r>
      <w:r>
        <w:rPr>
          <w:rFonts w:ascii="arial" w:eastAsia="arial" w:hAnsi="arial" w:cs="arial"/>
          <w:color w:val="000000"/>
          <w:sz w:val="20"/>
          <w:u w:val="single"/>
          <w:lang w:val="en-US" w:eastAsia="en-US" w:bidi="ar-SA"/>
        </w:rPr>
        <w:t>prosecutorial discretion refers to decisions regarding the nature and extent of the prosecution and the Attorney General's participation in it</w:t>
      </w:r>
      <w:r>
        <w:rPr>
          <w:rFonts w:ascii="arial" w:eastAsia="arial" w:hAnsi="arial" w:cs="arial"/>
          <w:color w:val="000000"/>
          <w:sz w:val="20"/>
          <w:lang w:val="en-US" w:eastAsia="en-US" w:bidi="ar-SA"/>
        </w:rPr>
        <w:t>. Decisions that do not go to the nature and extent of the prosecution, i.e., the decisions that govern a Crown prosecutor's tactics or conduct before the court, do not fall within the scope of prosecutorial discretion. Rather, such decisions are governed by the inherent jurisdiction of the court to control its own processes once the Attorney General has elected to enter into that forum.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Supreme Court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recognized the constitutional value of independence of prosecutors, meaning generally judicial intervention in the prosecutorial exercise of their discretion does not occur. However, that is not an absolute. At paras. 47-52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In exercising their discretion to prosecute, Crown prosecutors perform a function inherent in the office of the Attorney General that brings the principle of independence into play. Its fundamental importance lies, not in protecting the interests of individual Crown attorneys, but in advancing the public interest by enabling prosecutors to make discretionary decisions in fulfilment of their professional obligations without fear of judicial or political interference, thus fulfilling their </w:t>
      </w:r>
      <w:r>
        <w:rPr>
          <w:rFonts w:ascii="arial" w:eastAsia="arial" w:hAnsi="arial" w:cs="arial"/>
          <w:i/>
          <w:color w:val="000000"/>
          <w:sz w:val="20"/>
          <w:lang w:val="en-US" w:eastAsia="en-US" w:bidi="ar-SA"/>
        </w:rPr>
        <w:t>quasi-judicial</w:t>
      </w:r>
      <w:r>
        <w:rPr>
          <w:rFonts w:ascii="arial" w:eastAsia="arial" w:hAnsi="arial" w:cs="arial"/>
          <w:color w:val="000000"/>
          <w:sz w:val="20"/>
          <w:lang w:val="en-US" w:eastAsia="en-US" w:bidi="ar-SA"/>
        </w:rPr>
        <w:t xml:space="preserve"> role as "ministers of justice": </w:t>
      </w:r>
      <w:r>
        <w:rPr>
          <w:rFonts w:ascii="arial" w:eastAsia="arial" w:hAnsi="arial" w:cs="arial"/>
          <w:i/>
          <w:color w:val="000000"/>
          <w:sz w:val="20"/>
          <w:lang w:val="en-US" w:eastAsia="en-US" w:bidi="ar-SA"/>
        </w:rPr>
        <w:t>R. v. Boucher</w:t>
      </w:r>
      <w:r>
        <w:rPr>
          <w:rFonts w:ascii="arial" w:eastAsia="arial" w:hAnsi="arial" w:cs="arial"/>
          <w:color w:val="000000"/>
          <w:sz w:val="20"/>
          <w:lang w:val="en-US" w:eastAsia="en-US" w:bidi="ar-SA"/>
        </w:rPr>
        <w:t xml:space="preserve"> (1954), </w:t>
      </w:r>
      <w:hyperlink r:id="rId765" w:history="1">
        <w:r>
          <w:rPr>
            <w:rFonts w:ascii="arial" w:eastAsia="arial" w:hAnsi="arial" w:cs="arial"/>
            <w:i/>
            <w:color w:val="0077CC"/>
            <w:sz w:val="20"/>
            <w:u w:val="single"/>
            <w:shd w:val="clear" w:color="auto" w:fill="FFFFFF"/>
            <w:lang w:val="en-US" w:eastAsia="en-US" w:bidi="ar-SA"/>
          </w:rPr>
          <w:t>[1955] S.C.R. 16</w:t>
        </w:r>
      </w:hyperlink>
      <w:r>
        <w:rPr>
          <w:rFonts w:ascii="arial" w:eastAsia="arial" w:hAnsi="arial" w:cs="arial"/>
          <w:color w:val="000000"/>
          <w:sz w:val="20"/>
          <w:lang w:val="en-US" w:eastAsia="en-US" w:bidi="ar-SA"/>
        </w:rPr>
        <w:t xml:space="preserve"> (S.C.C.), at p. 25, </w:t>
      </w:r>
      <w:r>
        <w:rPr>
          <w:rFonts w:ascii="arial" w:eastAsia="arial" w:hAnsi="arial" w:cs="arial"/>
          <w:i/>
          <w:color w:val="000000"/>
          <w:sz w:val="20"/>
          <w:lang w:val="en-US" w:eastAsia="en-US" w:bidi="ar-SA"/>
        </w:rPr>
        <w:t>per Locke J</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Power</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[1994] 1 S.C.R. 601</w:t>
        </w:r>
      </w:hyperlink>
      <w:r>
        <w:rPr>
          <w:rFonts w:ascii="arial" w:eastAsia="arial" w:hAnsi="arial" w:cs="arial"/>
          <w:color w:val="000000"/>
          <w:sz w:val="20"/>
          <w:lang w:val="en-US" w:eastAsia="en-US" w:bidi="ar-SA"/>
        </w:rPr>
        <w:t xml:space="preserve"> (S.C.C.), at p. 616, L'Heureux-Dubé J. acknowledged the importance of limiting judicial oversight of Crown decisions in furtherance of the public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Attorney General is a member of the executive and as such reflects, </w:t>
      </w:r>
      <w:r>
        <w:rPr>
          <w:rFonts w:ascii="arial" w:eastAsia="arial" w:hAnsi="arial" w:cs="arial"/>
          <w:color w:val="000000"/>
          <w:sz w:val="20"/>
          <w:u w:val="single"/>
          <w:lang w:val="en-US" w:eastAsia="en-US" w:bidi="ar-SA"/>
        </w:rPr>
        <w:t>through his or her prosecutorial function, the interest of the community to see that justice is properly done</w:t>
      </w:r>
      <w:r>
        <w:rPr>
          <w:rFonts w:ascii="arial" w:eastAsia="arial" w:hAnsi="arial" w:cs="arial"/>
          <w:color w:val="000000"/>
          <w:sz w:val="20"/>
          <w:lang w:val="en-US" w:eastAsia="en-US" w:bidi="ar-SA"/>
        </w:rPr>
        <w:t xml:space="preserve">. The Attorney General's role in this regard is not only to protect the public, but also to honour and express the community's sense of justice. Accordingly, </w:t>
      </w:r>
      <w:r>
        <w:rPr>
          <w:rFonts w:ascii="arial" w:eastAsia="arial" w:hAnsi="arial" w:cs="arial"/>
          <w:color w:val="000000"/>
          <w:sz w:val="20"/>
          <w:u w:val="single"/>
          <w:lang w:val="en-US" w:eastAsia="en-US" w:bidi="ar-SA"/>
        </w:rPr>
        <w:t>courts should be careful before they attempt to "second-guess" the prosecutor's motives when he or she makes a decision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public good is clearly served by the maintenance of a sphere of unfettered discretion within which Crown attorneys can properly pursue their professional goals.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That said, the general rule of judicial non-intervention in the prosecutorial exercise is not absolute. In the public law context, this Court in </w:t>
      </w:r>
      <w:r>
        <w:rPr>
          <w:rFonts w:ascii="arial" w:eastAsia="arial" w:hAnsi="arial" w:cs="arial"/>
          <w:i/>
          <w:color w:val="000000"/>
          <w:sz w:val="20"/>
          <w:lang w:val="en-US" w:eastAsia="en-US" w:bidi="ar-SA"/>
        </w:rPr>
        <w:t>R. v. Jewitt</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[1985] 2 S.C.R. 128</w:t>
        </w:r>
      </w:hyperlink>
      <w:r>
        <w:rPr>
          <w:rFonts w:ascii="arial" w:eastAsia="arial" w:hAnsi="arial" w:cs="arial"/>
          <w:color w:val="000000"/>
          <w:sz w:val="20"/>
          <w:lang w:val="en-US" w:eastAsia="en-US" w:bidi="ar-SA"/>
        </w:rPr>
        <w:t xml:space="preserve">, unanimously affirmed the availability of the doctrine of abuse of process in criminal proceedings, but (at p. 137) strictly limited judicial discretion to stay proceedings as a result of abuse of process to the "clearest of cases". In </w:t>
      </w:r>
      <w:r>
        <w:rPr>
          <w:rFonts w:ascii="arial" w:eastAsia="arial" w:hAnsi="arial" w:cs="arial"/>
          <w:i/>
          <w:color w:val="000000"/>
          <w:sz w:val="20"/>
          <w:lang w:val="en-US" w:eastAsia="en-US" w:bidi="ar-SA"/>
        </w:rPr>
        <w:t>Power</w:t>
      </w:r>
      <w:r>
        <w:rPr>
          <w:rFonts w:ascii="arial" w:eastAsia="arial" w:hAnsi="arial" w:cs="arial"/>
          <w:color w:val="000000"/>
          <w:sz w:val="20"/>
          <w:lang w:val="en-US" w:eastAsia="en-US" w:bidi="ar-SA"/>
        </w:rPr>
        <w:t>, L'Heureux-Dubè J. for a majority of this Court described the high threshold that must be met to justify judicial interference with a Crown attorney's decision to prosecute an accused (at pp. 615-16):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therefore, conclude that, in criminal cases, courts have a residual discretion to remedy an abuse of the court's process but only in the "clearest of cases", which, in my view, amounts to </w:t>
      </w:r>
      <w:r>
        <w:rPr>
          <w:rFonts w:ascii="arial" w:eastAsia="arial" w:hAnsi="arial" w:cs="arial"/>
          <w:color w:val="000000"/>
          <w:sz w:val="20"/>
          <w:u w:val="single"/>
          <w:lang w:val="en-US" w:eastAsia="en-US" w:bidi="ar-SA"/>
        </w:rPr>
        <w:t>conduct which shocks the conscience of the community and is so detrimental to the proper administration of justice that it warrants judicial intervention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conclude that the situation "is tainted to such a degree" and that it amounts to one of the "clearest of cases", as the abuse of process has been characterized by the jurisprudence, </w:t>
      </w:r>
      <w:r>
        <w:rPr>
          <w:rFonts w:ascii="arial" w:eastAsia="arial" w:hAnsi="arial" w:cs="arial"/>
          <w:color w:val="000000"/>
          <w:sz w:val="20"/>
          <w:u w:val="single"/>
          <w:lang w:val="en-US" w:eastAsia="en-US" w:bidi="ar-SA"/>
        </w:rPr>
        <w:t>requires overwhelming evidence that the proceedings under scrutiny are unfair to the point that they are contrary to the interest of justice</w:t>
      </w:r>
      <w:r>
        <w:rPr>
          <w:rFonts w:ascii="arial" w:eastAsia="arial" w:hAnsi="arial" w:cs="arial"/>
          <w:color w:val="000000"/>
          <w:sz w:val="20"/>
          <w:lang w:val="en-US" w:eastAsia="en-US" w:bidi="ar-SA"/>
        </w:rPr>
        <w:t xml:space="preserve"> ... Where there is </w:t>
      </w:r>
      <w:r>
        <w:rPr>
          <w:rFonts w:ascii="arial" w:eastAsia="arial" w:hAnsi="arial" w:cs="arial"/>
          <w:color w:val="000000"/>
          <w:sz w:val="20"/>
          <w:u w:val="single"/>
          <w:lang w:val="en-US" w:eastAsia="en-US" w:bidi="ar-SA"/>
        </w:rPr>
        <w:t>conspicuous evidence of improper motives or of bad faith or of an act so wrong that it violates the conscience of the community</w:t>
      </w:r>
      <w:r>
        <w:rPr>
          <w:rFonts w:ascii="arial" w:eastAsia="arial" w:hAnsi="arial" w:cs="arial"/>
          <w:color w:val="000000"/>
          <w:sz w:val="20"/>
          <w:lang w:val="en-US" w:eastAsia="en-US" w:bidi="ar-SA"/>
        </w:rPr>
        <w:t xml:space="preserve">, such that it would genuinely be unfair and indecent to proceed, then, and only then, should courts intervene to prevent an abuse of process which could bring the administration of justice into disrepute. </w:t>
      </w:r>
      <w:r>
        <w:rPr>
          <w:rFonts w:ascii="arial" w:eastAsia="arial" w:hAnsi="arial" w:cs="arial"/>
          <w:color w:val="000000"/>
          <w:sz w:val="20"/>
          <w:u w:val="single"/>
          <w:lang w:val="en-US" w:eastAsia="en-US" w:bidi="ar-SA"/>
        </w:rPr>
        <w:t>Cases of this nature will be extremely rare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As stated earlier, the question of whether the Attorney General and Crown attorneys enjoy absolute immunity from a suit for malicious prosecution in the private law context was answered in the negative by this Court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As the Court explained, the question was ultimately one of policy. The Court concluded that when a prosecutor acts maliciously, in fraud of his or her professional duties, that prosecutor steps outside his or her proper role as "minister of justice", and as a result, immunity from civil liability is no longer justified. Where an accused is wrongly prosecuted as a result of the prosecutor's abusive actions, he or she may bring an action in malicious prosecution. Like the test for abuse of process, however, there is a stringent standard that must be met before a finding of liability will be made, in order to ensure that courts do not simply engage in the second-guessing of decisions made pursuant to a Crown's prosecutorial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 In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xml:space="preserve">, at para. 4, the Court reiterated the stringent test for malicious prosecution established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our criminal justice system, prosecutors are vested with extensive discretion and decision-making authority to carry out their functions. Given the importance of this role to the administration of justice, courts should be very slow indeed to second-guess a prosecutor's judgment calls when assessing Crown liability for prosecutorial misconduct.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affirmed unequivocally </w:t>
      </w:r>
      <w:r>
        <w:rPr>
          <w:rFonts w:ascii="arial" w:eastAsia="arial" w:hAnsi="arial" w:cs="arial"/>
          <w:color w:val="000000"/>
          <w:sz w:val="20"/>
          <w:u w:val="single"/>
          <w:lang w:val="en-US" w:eastAsia="en-US" w:bidi="ar-SA"/>
        </w:rPr>
        <w:t>the public interest in setting the threshold for such liability very high, so as to deter all but the most serious claims against the prosecuting authorities, and to ensure that Crown liability is engaged in only the most exceptional circumstances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Thus, the public law doctrine of abuse of process and the tort of malicious prosecution may be seen as two sides of the same coin: both provide remedies when a Crown prosecutor's actions are so egregious that they take the prosecutor outside his or her proper role as minister of justice, such that the general rule of judicial non-intervention with Crown discretion is no longer justified. Both abuse of process and malicious prosecution have been narrowly crafted, employing stringent tests, to ensure that liability will attach in only the most exceptional circumstances, so that Crown discretion remains intact.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The respondents and some of the interveners in the present appeal urge that the test for malicious prosecution be amended such that malice under the fourth element may be inferred solely from a finding of lack of reasonable and probable grounds under the third element. They argue that to require independent evidence of malice presents too high a barrier for any wrongly prosecuted person to obtain a remedy against a Crown prosecutor. In my view, these arguments are ill-conceived and do not account for the careful balancing established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xml:space="preserve"> between the right of individual citizens to be free from groundless criminal prosecutions and the public interest in the effective and uninhibited prosecution of criminal wrongdoing: Philip H. Osborne,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(3rd ed. 2007), at p. 245. As this Court made plain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the "inherent difficulty" in proving a case of malicious prosecution was an intentional choice by the Court, designed to preserve this balance (p. 199).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Law on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Crown is bound to make full and timely disclosure of all information to the defence. As the Supreme Court of Canada stated in </w:t>
      </w:r>
      <w:r>
        <w:rPr>
          <w:rFonts w:ascii="arial" w:eastAsia="arial" w:hAnsi="arial" w:cs="arial"/>
          <w:i/>
          <w:color w:val="000000"/>
          <w:sz w:val="20"/>
          <w:lang w:val="en-US" w:eastAsia="en-US" w:bidi="ar-SA"/>
        </w:rPr>
        <w:t>R. v. Stinchcombe</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[1991] 3 S.C.R. 326</w:t>
        </w:r>
      </w:hyperlink>
      <w:r>
        <w:rPr>
          <w:rFonts w:ascii="arial" w:eastAsia="arial" w:hAnsi="arial" w:cs="arial"/>
          <w:color w:val="000000"/>
          <w:sz w:val="20"/>
          <w:lang w:val="en-US" w:eastAsia="en-US" w:bidi="ar-SA"/>
        </w:rPr>
        <w:t xml:space="preserve"> at p. 333, "the fruits of the investigation which are in the possession of counsel for the Crown are not the property of the Crown for use in securing a conviction but the property of the public to be used to ensure that justice is done". This obligation exists whether the information is inculpatory or exculpatory and whether or not the Crown intends to introduce it into evidence (</w:t>
      </w:r>
      <w:r>
        <w:rPr>
          <w:rFonts w:ascii="arial" w:eastAsia="arial" w:hAnsi="arial" w:cs="arial"/>
          <w:i/>
          <w:color w:val="000000"/>
          <w:sz w:val="20"/>
          <w:lang w:val="en-US" w:eastAsia="en-US" w:bidi="ar-SA"/>
        </w:rPr>
        <w:t>Stinchcombe</w:t>
      </w:r>
      <w:r>
        <w:rPr>
          <w:rFonts w:ascii="arial" w:eastAsia="arial" w:hAnsi="arial" w:cs="arial"/>
          <w:color w:val="000000"/>
          <w:sz w:val="20"/>
          <w:lang w:val="en-US" w:eastAsia="en-US" w:bidi="ar-SA"/>
        </w:rPr>
        <w:t xml:space="preserve"> at p. 343). This obligation of disclosure is a constitutional right of every accused in Canada and guarantees an accused's ability to make full answer and defence and ensures that the innocent are not convicted: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Section 18.2 of the </w:t>
      </w:r>
      <w:r>
        <w:rPr>
          <w:rFonts w:ascii="arial" w:eastAsia="arial" w:hAnsi="arial" w:cs="arial"/>
          <w:i/>
          <w:color w:val="000000"/>
          <w:sz w:val="20"/>
          <w:lang w:val="en-US" w:eastAsia="en-US" w:bidi="ar-SA"/>
        </w:rPr>
        <w:t>FPS Deskbook</w:t>
      </w:r>
      <w:r>
        <w:rPr>
          <w:rFonts w:ascii="arial" w:eastAsia="arial" w:hAnsi="arial" w:cs="arial"/>
          <w:color w:val="000000"/>
          <w:sz w:val="20"/>
          <w:lang w:val="en-US" w:eastAsia="en-US" w:bidi="ar-SA"/>
        </w:rPr>
        <w:t xml:space="preserve"> advises Crown counsel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all cases, whether a request has been received or not, Crown counsel shall disclose any information tending to show that the accused may not have committed the offence charged. With respect to this narrow category of disclosure, the obligation is a mandatory one.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Regarding the disclosure of will-say statements, s. 18.3.3 of the </w:t>
      </w:r>
      <w:r>
        <w:rPr>
          <w:rFonts w:ascii="arial" w:eastAsia="arial" w:hAnsi="arial" w:cs="arial"/>
          <w:i/>
          <w:color w:val="000000"/>
          <w:sz w:val="20"/>
          <w:lang w:val="en-US" w:eastAsia="en-US" w:bidi="ar-SA"/>
        </w:rPr>
        <w:t>FPS Deskbook</w:t>
      </w:r>
      <w:r>
        <w:rPr>
          <w:rFonts w:ascii="arial" w:eastAsia="arial" w:hAnsi="arial" w:cs="arial"/>
          <w:color w:val="000000"/>
          <w:sz w:val="20"/>
          <w:lang w:val="en-US" w:eastAsia="en-US" w:bidi="ar-SA"/>
        </w:rPr>
        <w:t xml:space="preserve"> guides Crown counsel on what will-say information must be disclosed: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Copies of the text of all written statements concerning the offence which have been made by a person with relevant information to give; where the person has not provided a written statement, a copy or transcription of any notes that were taken by investigators when interviewing the witness; if there are no notes, a "will-say" or summary of the anticipated evidence of the witness. This requirement includes statements provided by persons whether or not Crown counsel proposes to call them as witnesses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Finally, the </w:t>
      </w:r>
      <w:r>
        <w:rPr>
          <w:rFonts w:ascii="arial" w:eastAsia="arial" w:hAnsi="arial" w:cs="arial"/>
          <w:i/>
          <w:color w:val="000000"/>
          <w:sz w:val="20"/>
          <w:lang w:val="en-US" w:eastAsia="en-US" w:bidi="ar-SA"/>
        </w:rPr>
        <w:t>FPS Deskbook</w:t>
      </w:r>
      <w:r>
        <w:rPr>
          <w:rFonts w:ascii="arial" w:eastAsia="arial" w:hAnsi="arial" w:cs="arial"/>
          <w:color w:val="000000"/>
          <w:sz w:val="20"/>
          <w:lang w:val="en-US" w:eastAsia="en-US" w:bidi="ar-SA"/>
        </w:rPr>
        <w:t xml:space="preserve"> provides the following regarding the disclosure of information obtained during witness interviews by the Crown in s. 18.3.17: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Crown counsel has an obligation to disclose any additional relevant information received from a Crown witness during an interview conducted by Crown counsel in preparation for trial. Additional relevant information includes information inconsistent with any prior statement(s) provided to the investigative agency, i.e. recantations. Such information should be promptly disclosed to the defence or an unrepresented accused, subject to any limitations contemplated by s. 18.5. To avoid the possibility of Crown counsel being called as a witness, interviews should be conducted in the presence of a police officer or other appropriate third person, where practical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Also relevant is </w:t>
      </w:r>
      <w:r>
        <w:rPr>
          <w:rFonts w:ascii="arial" w:eastAsia="arial" w:hAnsi="arial" w:cs="arial"/>
          <w:i/>
          <w:color w:val="000000"/>
          <w:sz w:val="20"/>
          <w:lang w:val="en-US" w:eastAsia="en-US" w:bidi="ar-SA"/>
        </w:rPr>
        <w:t>R. v. R.</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1997 CanLII 14376</w:t>
        </w:r>
      </w:hyperlink>
      <w:r>
        <w:rPr>
          <w:rFonts w:ascii="arial" w:eastAsia="arial" w:hAnsi="arial" w:cs="arial"/>
          <w:color w:val="000000"/>
          <w:sz w:val="20"/>
          <w:lang w:val="en-US" w:eastAsia="en-US" w:bidi="ar-SA"/>
        </w:rPr>
        <w:t xml:space="preserve"> (N.S.S.C.), in which the Court found that Crown counsel had an obligation to provide pre-charge, fact finding interview notes not protected by work product privilege. The Court in </w:t>
      </w:r>
      <w:r>
        <w:rPr>
          <w:rFonts w:ascii="arial" w:eastAsia="arial" w:hAnsi="arial" w:cs="arial"/>
          <w:i/>
          <w:color w:val="000000"/>
          <w:sz w:val="20"/>
          <w:lang w:val="en-US" w:eastAsia="en-US" w:bidi="ar-SA"/>
        </w:rPr>
        <w:t>R. v. R.</w:t>
      </w:r>
      <w:r>
        <w:rPr>
          <w:rFonts w:ascii="arial" w:eastAsia="arial" w:hAnsi="arial" w:cs="arial"/>
          <w:color w:val="000000"/>
          <w:sz w:val="20"/>
          <w:lang w:val="en-US" w:eastAsia="en-US" w:bidi="ar-SA"/>
        </w:rPr>
        <w:t xml:space="preserve">, at p. 7, citing p. 471 of the Supreme Court of Canada decision in </w:t>
      </w:r>
      <w:r>
        <w:rPr>
          <w:rFonts w:ascii="arial" w:eastAsia="arial" w:hAnsi="arial" w:cs="arial"/>
          <w:i/>
          <w:color w:val="000000"/>
          <w:sz w:val="20"/>
          <w:lang w:val="en-US" w:eastAsia="en-US" w:bidi="ar-SA"/>
        </w:rPr>
        <w:t>R v. O'Connor</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[1995] 4 S.C.R. 411</w:t>
        </w:r>
      </w:hyperlink>
      <w:r>
        <w:rPr>
          <w:rFonts w:ascii="arial" w:eastAsia="arial" w:hAnsi="arial" w:cs="arial"/>
          <w:color w:val="000000"/>
          <w:sz w:val="20"/>
          <w:lang w:val="en-US" w:eastAsia="en-US" w:bidi="ar-SA"/>
        </w:rPr>
        <w:t>, found that work product is ordinarily exempt from disclosure "provided that it contains no material inconsistencies or additional facts not already disclosed to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on Malicious Prosecution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of the Disclosure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non-disclosure issue relates to the evidence of Ms. Ye and Ms. Ferens and the actions of both Mr. Kendal and Mr. Brian Jones. The plaintiffs allege that the defendants intentionally suppressed critical evidence to mislead the Court and the defence about Crown's case in an effort to obtain a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second interview of Ms. Ferens by Mr. Finlay in which she stated she did not look at the till tapes and had no idea how many she received as she simply posted from the daily sales summary sheets did not result in a will-say statement. As indicated there was no mention of her second interview in either the draft or the Final Prosecution Report nor did Mr. Kendal disclose its existence to Ms. McLean or Ms. Hyman. He testified that Mr. Brian Jones was "presumably" aware of the Finlay interview but denied telling him about it. Mr. Brian Jones testified that he was aware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Kendal chose not to disclose the notes of Mr. Finlay's interview with Ms. Ferens in the witness statement binder provided to the plaintiffs. Instead it was placed in a large binder of search materials referred to at the Provincial Court trial as "Binder D". There was no reference to the interview or the notes in the table of contents to that binder. There were 88 binders of disclosure in the criminal trial. As the plaintiffs note, unless there was an issue related to the search, which there was not, there would be no reason to review Binder D. The plaintiffs also submit that the entire treatment of the second interview of Ms. Ferens was misleading as its "disclosure" was buried and that along with that Mr. Kendal did not mention it during the criminal trial in either direct examination or cross-examination. The plaintiffs say this indicates Mr. Kendal deliberately attempted to conceal its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early 2010 Mr. Brian Jones instructed Mr. Kendal to interview Ms. Ferens again. Mr. Kendal prepared 41 pages of questions before that interview, which occurred on January 22, 2010. Those questions first asked Ms. Ferens why the daily sales summary sheet had only two columns and then as if anticipating she would respond that she did not know asked whether she recalled stating to Mr. Foster she only received two till tapes of data. As indicated earlier she never said that and Mr. Kendal knew it. Her evidence to Mr. Foster was that she received a sheet that to her included only two ring offs. The questions have the appearance of Mr. Kendal seeking to obtain from Ms. Ferens the evidence he wanted from her and had already attributed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Ms. Ferens told Mr. Kendal in the January 22, 2010 interview she thought the daily sales summary sheet had two columns because it reflected information from two shifts but she repeated what she had told Mr. Finlay in the second interview: that she never looked at the supporting till tapes. Ms. Ferens also confirmed in this second interview what she had told Mr. Foster that in the first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will-say statement of the January 22, 2010 interview was not typed until February 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Moving to Ms. Ye's evidence, in the will-say of Ms. Ye prepared regarding her first two interviews Mr. Kendal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can state that as part of the recording process the till tape totals for the day are posted to a control sheet called the "Daily Cash Report". This report only had a provision for two daily till tapes to be included: the "Day" tape and the "Night" Tape.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Of note is that Ms. Ye in the first two interviews had stated there was a single daily sales summary sheet. Further, the summary sheet actually referred to two columns labelled "day" and "night" not to "till tape #1" and "till tape #2" sales data, which is Mr. Kendal's editorial comment in the Prosecution Report, and is not the evidence of Ms. Ye, Ms. Ferens, or the sample daily sales summary sheet. There is no evidence that Ms. Ye referred to a second daily sales summary sheet in her first two interviews or whether she was asked if the "night" column combined both the evening and the graveyard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third interview of Ms. Ye occurred on February 16, 2010, after the will-say of Ms. Ferens was typed. The interview took place at Mr. Brian Jones' office in the presence of Mr. Gibson, a lawyer in that office. A will-say was created in which for the first time Ms. Ye said that she would use one daily sales summary sheet to record the till tapes for the day and the afternoon shift and a second daily sales summary sheet to record the till tape from the graveyard shift. Judge Saunders, in the Provincial Court decision, characterized Ms. Ye's new evidence in this regard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Diane Ye worked at the MGM from 1994 to 2005 ... She was responsible for filling out the daily summary for all three shifts and stated that there were two sheets of paper and not one that she filled in, and that the second sheet contained the daily summary for the graveyard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will-say created for Ms. Ye read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would post the afternoon/evening shifts sales receipts on the second column of the sheet. ... She can state she also performs a reconciliation for the previous graveyard overnight shift till tape. She would take a blank preformatted daily sales sheet similar to what was used for recording the other two shifts for the day and cross out "night" in the header of the second column of this report and write "overnight" as the header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This evidence was significant because the Crown theory until this point was that Ms. Ferens received two of three till tapes but that theory now became that Ms. Ferens only received one of two daily sales summary sheets and that the second sheet for the graveyard shift was not provided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Kendal testified that the first time the existence of a second daily sales summary sheet entered his mind was when Ms. Ye disclosed it during the February 16, 2010 interview. However, while the February 9, 2010 interview notes of Ms. Ferens show she was never asked about a second sheet, the will-say arising from that interview and typed up on February 9, 2010 states she only ever received one sheet. In other words, before Mr. Kendal interviewed Ms. Ye. Mr. Kendal however testified that he did not know about the second daily sales summary sheet before his interview with Ms. Ye and after he was told about the existence of a second sheet he went back and altered Ms. Ferens' will-say to include the corroborative statement she only received one sheet. Mr. Kendal seemed to think this was perfectly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On March 3, 2010 at 9:57 a.m. Mr. Kendal emailed Mr. Gibson and Mr. Brian Jones attaching copies of the will-says of Ms. Ferens and Ms. Ye along with copies of his interview notes of both interviews. A copy of Ms. Ye's will-say was placed in the Crown file. The words "For Disclosure" are written on the bottom of the email attaching Ms. Ye's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Kendal testified that he was responsible for disclosure during the prosecution and that he had prepared and disclosed all 88 binders provided to Crown and defence including every will-say statement and all notes taken during every interview of all the witnesses. Despite that he did not disclose to the defence the 2010 interview notes or will-say statements of Ms. Ferens and Ms. Ye. Instead, for reasons not explained, he testified in cross-examination that the decision to disclose them was not his but rather it was the Crown's "property" and Mr. Brian Jones was responsible for its disclosure, not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As noted earlier the disclosure of such notes and will-says did not occur until the second day of trial,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Brian Jones' time sheet for March 3, 2010 shows he spent 1.5 hours reviewing these documents and then discussing them with Mr. Kendal. Mr. Brian Jones said he received them on March 3, 2010 and "probably" reviewed them. He said however he could not recall the substance of his subsequent call with Mr. Kendal. He testified that he made the decision not to disclose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Brian Jones knew that the February 9, 2010 will-say of Mr. Ferens was the first and only will-say created for her and that Ms. Ferens was one of the Crown's principal witnesses. Mr. Jones, as noted in para. 152, testified that he was aware that Ms. Ferens was interviewed by a CRA investigator aside from Mr. Foster, (though he stated that he could not remember the name of that investigator, nor when the interviewed occurred). When asked in cross-examination whether or not he thought the defence would want to have disclosure of the 2010 interview statements and notes he responded:</w:t>
      </w:r>
      <w:r>
        <w:rPr>
          <w:rFonts w:ascii="arial" w:eastAsia="arial" w:hAnsi="arial" w:cs="arial"/>
          <w:sz w:val="20"/>
          <w:lang w:val="en-US" w:eastAsia="en-US" w:bidi="ar-SA"/>
        </w:rPr>
        <w:cr/>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Mm-hmm. Sir, did you think that defence counsel might be interested in having in their possession before the date of trial the 41-page statement and 16-page witness report of one of your principal witnesses?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can't speak for defence counsel. I would assume they would have liked to have seen my entire brief if they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Brian Jones testified that he did not disclose the statements or interview notes because they were counsel's notes and work product. He initially testified that they were Mr. Gibson's work product but then conceded that Mr. Gibson's notes had not been disclosed, even after the other disclosure made on the second day of the criminal trial. His justification for saying they were work product was that Mr. Gibson "was present" at the interviews.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However, he had testified under oath at his examination for discovery that the first time he learned about Ms. Ye's "second sheet" evidence was when she was testifying during the criminal trial. Under cross-examination he said that he "[didn't] know" if that was false, but conceded that his previous sworn testimony "may have been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criminal trial began on September 20, 2010. Mr. Brian Jones outlined the Crown's case. Regarding the evidence of Ms. Ferens he told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Now, Mr. Foster meets with the bookkeeper and the bookkeeper told Mr. Foster, and will tell this court, I anticipate, that Tony Samaroo delivered to her daily cash reports from the restaurant and those cash reports showed sales from two shifts per day. Now these daily sales summaries that Mr. Samaroo gave to Ms. Ferens were used to construct a monthly revenue spreadsheet. She then returned the records, which would include </w:t>
      </w:r>
      <w:r>
        <w:rPr>
          <w:rFonts w:ascii="arial" w:eastAsia="arial" w:hAnsi="arial" w:cs="arial"/>
          <w:color w:val="000000"/>
          <w:sz w:val="20"/>
          <w:u w:val="single"/>
          <w:lang w:val="en-US" w:eastAsia="en-US" w:bidi="ar-SA"/>
        </w:rPr>
        <w:t>the two cash register tapes per day</w:t>
      </w:r>
      <w:r>
        <w:rPr>
          <w:rFonts w:ascii="arial" w:eastAsia="arial" w:hAnsi="arial" w:cs="arial"/>
          <w:color w:val="000000"/>
          <w:sz w:val="20"/>
          <w:lang w:val="en-US" w:eastAsia="en-US" w:bidi="ar-SA"/>
        </w:rPr>
        <w:t>, to Mr. Tony Samaroo.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then the question becomes well, where does this cash come from?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Mr. Kendal and with some evidence from Ms. Ferens and other employees will show that when the auditor starts his field work back in March he is told there are three ring offs from the cash register in each 24 hour period; however, </w:t>
      </w:r>
      <w:r>
        <w:rPr>
          <w:rFonts w:ascii="arial" w:eastAsia="arial" w:hAnsi="arial" w:cs="arial"/>
          <w:color w:val="000000"/>
          <w:sz w:val="20"/>
          <w:u w:val="single"/>
          <w:lang w:val="en-US" w:eastAsia="en-US" w:bidi="ar-SA"/>
        </w:rPr>
        <w:t>the bookkeeper until the audit is announced receives only two ring offs each day prior to the audit</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his opening, he did not mention Ms. Ye and her evidence of a second daily sales summary sheet, simply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then there are various employees. They will confirm that there were three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Following the Crown's opening, the defence applied for particulars, which Judge Saunders summarized: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Mr. Kelliher has summed up the request that the particulars sought are what are the overt acts for Tony Samaroo and Helen Samaroo that constitute evasion in Counts 3, 9, 13, 17, and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also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Mr. Jones for the Crown tells me that those particulars are indeed provided, but they are scattered all over the binders which have been provided to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During Mr. Brian Jones' submissions on the disclosure issue, the following exchange took place: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Are you saying that there has been disclosure of what is being sought by defence counsel at this stage?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Jones: Oh yes indeed. It is all in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referring to the Crown's theory of the case, Mr. Brian Jones said to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Jones: So it is my respectful submission that the documentation that they have been given clearly shows the scheme. They have been given the Prosecution report which sets out prior to me getting on my feet this morning, sets out the Crown's theory and the theory of the Canada Revenue Agency.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 And if you say that that disclosure has been made and those particulars have been provided to defence counsel is it not a simple matter of just zoning in on exactly either where it can be found to answer those questions or simpler still to say well this is what my theory is as it is disclosed in all of these -- these books.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Jones: Exactly.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This is what I say is the case we have so that at least they know what it is they have to meet around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Jones: No, I have no problem with that Your Honour I have already disclosed in giving my friends a copy of the Crown brief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also stated to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Crown confines itself by particularizing it, and then fails to satisfy the Court on those particulars, even though we have proved evasion, then we have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Judge Saunders ruled on the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Accordingly, I am going to order that the Crown provide Particulars in respect of the overt acts of Tony Samaroo and Helen Samaroo that constitute evasion as set out in Counts 3, 9, 13, 17, and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following day, the Crown filed particulars as ordered by Judge Saunders, which included paragraph 6:</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Either Tony Samaroo or Helen Samaroo, for the benefit of each other, reported the cash sales received for only two of the three shifts of the MGM Restaurant during the years 2004 and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This response did no more than repeat what the Crown had throughout put forward as its theory based on missing till tapes. It did not particularize the overt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Immediately following filing of the above particulars, Mr. Brian Jones disclosed, for the first time, the existence of the February 2010 interviews and will-say statements of Ms. Ferens and Ms. Ye. As he handed their statements to defence counsel, Mr. Brian Jones said to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Brian Jones: This year, yes. Seems a long time ago. So either just before or during that first week witnesses that the Crown was going to call were interviewed by Mr. Gibson of my office, along with Mr. Kendal. The notes of those interviews were not disclosed. It's not usually the Crown practice to disclose such interviews. These are seen as work product. However, I've reconsidered that. As I was preparing this particulars matter it came to my attention that Mr. Heese had refused a formal interview. He had been interviewed apparently by Mr. Foster.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Brian Jones: So I thought as a -- I thought these interviews should be disclosed and I'm having them prepared and they should be in my friends' hands today. I'm having the notes of Mr. Kendal given to my friends first. Since both Mr. Gibson and Mr. Kendal were sitting in the same room, I don't imagine there's any difference. </w:t>
      </w:r>
      <w:r>
        <w:rPr>
          <w:rFonts w:ascii="arial" w:eastAsia="arial" w:hAnsi="arial" w:cs="arial"/>
          <w:color w:val="000000"/>
          <w:sz w:val="20"/>
          <w:u w:val="single"/>
          <w:lang w:val="en-US" w:eastAsia="en-US" w:bidi="ar-SA"/>
        </w:rPr>
        <w:t>I was assured that the contents of these statements are no different than what's in the Crown brief as to their anticipated evidence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far] as I'm aware, there's nothing contradictory or exceptionally new but they ought to have it, notwithstanding. And the same, I suppose, applies for the other witnesses. They don't, as far as I'm aware, change anything but they should, in my view, all go out at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It is the plaintiffs' submission that Mr. Brian Jones used language such as, "I am assured" and "as far as I am aware" in an effort to distance himself from knowledge of the contents and significance of this disclosure, knowing that he had misrepresented the Crown's position the previous day and for the past seven months. The plaintiffs submit these words represent evidence of extreme malice. This allegation of malice will be addressed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cross-examination in this trial, Mr. Brian Jones testified that his comments to the Court "did not go so far" as to suggest he had not read Ms. Ferens' and Ms. Ye's statements. He testified that he had no idea why he would tell the Court what he did, other than to say it was an "off-hand comment" that "obviously" was not accurate. The plaintiffs submit that they were deliberate falsehoods designed to effect a wrongful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Brian Jones then submitted to Judge Saunders: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original will-say was in the Crown brief and the original anticipated evidence of Ferens and Heese was based on their conversations with Mr. Foster.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On the following day of the trial, September 22, 2010, the defence applied for further particulars arising out of the disclosure of the will-say statements of Ms. Ye and Ms. Ferens. The Crown resisted further particularization. Mr. Jones told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position of the Crown is and always has been that it's Mr. Samaroo giving these [sic] only two till tapes instead of three to Ms. Ferens, the bookkeeper, knowing that that raw data will be transferred into a monthly sales statement, monthly revenue statement, that will be transferred into an annual revenue statement, which will find its way into eventually a tax return. That's always been the Crown's position. That's always been what this disclosure previously has been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Jones then read from the Prosecution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I have a theory as to how they did it and that theory -- that theory was put in writing, in black and white, in the Crown brief that was given to defence at or about the first appearance in court of Mr. Samaroo. That was years ago. Can I just read, if I may, from the Crown brief that was given to defence. Part 5, theory of the case. And for my friends' benefit, it's at page six of 50 of Tab 1, binder F, the prosecution report. Part 5, theory of the case [as read 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Scheme 1. Tony and Helen Samaroo operated three regular shifts at the M.G.M. Restaurant and each shift produced a rung-off till tape. The Samaroos under-reported sales revenue and the related GST from M.G.M. Restaurants Limited by not providing one of the three daily till tapes to their bookkeeper, resulting in a personal enrichment of about $50,000 per month.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theory of the Crown, black and white, given to defence years ago. So it's not just me standing on my two feet today, Your Honour, stating what the theory is. Always been the theory.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that theory -- that Scheme 1 is then broken down into various elements, talking about what we understood people were doing. But the theory's always been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After confirming the Crown theory in this fashion Mr. Brian Jones said to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 submit the Crown has freedom, based on Justice Romilly's case, to run the case as it sees fit, to have the flexibility to deal with things as they arise. </w:t>
      </w:r>
      <w:r>
        <w:rPr>
          <w:rFonts w:ascii="arial" w:eastAsia="arial" w:hAnsi="arial" w:cs="arial"/>
          <w:color w:val="000000"/>
          <w:sz w:val="20"/>
          <w:u w:val="single"/>
          <w:lang w:val="en-US" w:eastAsia="en-US" w:bidi="ar-SA"/>
        </w:rPr>
        <w:t>And if I have to somehow construct another theory when all the evidence comes out, then that's what I'll have to do. So I would submit that the law allows me that freedom</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on Charge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As noted above, Ms. Hyman testified that charges were approved when Mr. Brian Jones was appointed as the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prosecutor on January 22, 2008. Mr. Jones initially testified that he thought charges were approved when he received the final Prosecution Report dated March 18, 2008. However, when presented with the conflicting evidence that he gave at his examination for discovery, he adopted that testimony instead and agreed with Ms. Hyman that charges were approved in January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find Ms. Hyman and Mr. Brian Jones' testimony that charges were approved in January 2008 to be in direct contradiction to the evidence presented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First, Ms. McLean's charge approval memorandum of January 14, 2008, and her email to Mr. Brian Jones on January 15, 2008, clearly state that while the PPSC thought charges were appropriate, they should not be approved until certain steps were taken, including an interview of Ms. Ferens. Ms. Hyman testified that she was aware of these views, and Ms. McLean discussed them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Next, on March 25 and 26, 2008, Mr. Brian Jones, Mr. Alan Jones, and Ms. Hyman exchanged a series of emails in which Mr. Brian Jones said to Ms. Hyman, "I take it you will review [the revised prosecution report] for charge approval, and then, if charges are approved, you will let me know what they are". Mr. Jones and Ms. Hyman subsequently agreed that Mr. Jones "[would] work up the charges" instead. Mr. Brian Jones then told Mr. Alan Jones that he would be "doing charge approval". However Ms. Hyman and Mr. Brian Jones testified, as noted, that when they said "charge approval" in this conversation they really meant, "drafting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By late April 2008, the PPSC and Mr. Brian Jones had still not determined whether the plaintiffs would be charged summarily or by indictment. In a series of emails between Mr. Brian Jones and Ms. Hyman in April, Mr. Jones said, "I have met with the investigator and although there is still work to be done before charge approval can be completed, we are getting close". He then asked her whether they should proceed by summary or indictment, and Ms. Hyman asked her group at the PPSC. On April 28, 2008, Mr. Brian Jones emailed members of his firm saying, "Samaroo is not yet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As described earlier in these reasons, the process of finalizing charges and drafting the Information continued. What is clear from this process is that even by June 10, 2008, the amount of the tax evasion that the Samaroos were to be charged with had not yet been finalized. On June 10, Mr. Brian Jones emailed his paralegal, Ms. Banks, and said "Al Jones will speak with you directly as to the right amounts" to include in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This evidence calls into question the interpretation that Ms. Hyman and Mr. Brian Jones ask the Court to apply to their email conversation of March 25 and 26, 2008. It is difficult to say why, if charges had been approved, Mr. Jones requested on March 26, 2008 that Ms. Hyman "let [him] know" what the charges were once she had reviewed the Prosecution Report (that is, as he said, if the charges were approved at all). If all the two were talking about was finalizing and drafting the Information, Mr. Jones would have known what the charges were and would have known whether they were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addition, while Ms. Hyman and Mr. Brian Jones testified that they knew that they both meant, "drafting the Information" in this conversation, it is unclear whether the members of Mr. Jones' firm who received his April 28, 2008 email in which he said, "Samaroo is not yet approved" would have known this. This email would likely have been interpreted to mean exactly what it says, that charges had not yet been approved against the Samaroos.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any event, I cannot conclude that charges were approved in January 2008 when in April 2008 it had not yet been determined whether to proceed by summary or indictment, and in June 2008, the quantum of the charges was still being finalized.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Furthermore, if for the sake of argument I were to accept that charges were approved in January 2008 when Mr. Jones was assigned as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prosecutor, given the evidence of Ms. Hyman that the PPSC is always responsible for charge approval that approval could not have been done by anyone other than Ms. McLean. Ms. Hyman testified that after Ms. McLean went on leave, she did not receive the Samaroo file until February 15, 2008, over two weeks after charge approval allegedly occurred. And, if Ms. McLean was responsible for approval, it is difficult to conclude that she approved the charges given that she clearly stated more work was to be done before she would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Instead, I find that the charges against the Samaroos were not approved until Mr. Kendal swore the Information in June 2008. This means that in the charge approval process, neither Ms. Hyman, nor Mr. Brian Jones, prepared any written analysis of the case nor did the two ever discuss the legal reasoning of the case. Instead, it appears they relied on Mr. Kendal and the CRA to gather the evidence, draft the final Information, and essentially, do charge approval. While Mr. Jones approved the charges proceeding, it appears the extent of his actual contribution to charge approval was determining whether to proceed summarily or by indictment.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on Initiation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Mr. Kendal, on behalf of the CRA, was clearly "actively instrumental" in the prosecution of the plaintiffs for tax evasion: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There is an abundance of evidence that supports this conclusion, which I will state here only briefly. Mr. Kendal was in charge of the CRA's criminal investigation into the plaintiffs, and he was the one who ultimately determined who to charge, with what offence, and in what amount. In addition, not only was he in direct correspondence with lawyers in the PPSC and Mr. Brian Jones throughout the investigation and criminal prosecution, he suppressed evidence and supplied them with an intentionally misleading Prosecution Report that formed the basis of the overriding theory of the case. Mr. Kendal also drafted the Information and swore it, without the final draft having been reviewed by anyone in the PPSC or, it seems, by Mr. Brian Jones. Mr. Kendal was also in charge of conducting the third and final interviews of two of the Crown's primary witnesses, Ms. Ferens and Ms. 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short, Mr. Kendal and therefore his employer the CRA "caused everything to be done which could be done wrongfully to set the law in motion" against the Samaroos: </w:t>
      </w:r>
      <w:r>
        <w:rPr>
          <w:rFonts w:ascii="arial" w:eastAsia="arial" w:hAnsi="arial" w:cs="arial"/>
          <w:i/>
          <w:color w:val="000000"/>
          <w:sz w:val="20"/>
          <w:lang w:val="en-US" w:eastAsia="en-US" w:bidi="ar-SA"/>
        </w:rPr>
        <w:t>Casey</w:t>
      </w:r>
      <w:r>
        <w:rPr>
          <w:rFonts w:ascii="arial" w:eastAsia="arial" w:hAnsi="arial" w:cs="arial"/>
          <w:color w:val="000000"/>
          <w:sz w:val="20"/>
          <w:lang w:val="en-US" w:eastAsia="en-US" w:bidi="ar-SA"/>
        </w:rPr>
        <w:t xml:space="preserve"> at p. 623. I find that the defendant CRA initiated the prosecution.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of Reasonable and Probable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As noted the defendants allege that the plaintiffs and their corporations, MGM Restaurants Ltd. and Samaroo Holdings Ltd ("SHL"), evaded tax in 2004 and 2005. To prove that the plaintiffs were guilty of this offence, the Crown had to prove both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the offence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There is no dispute regarding the elements of the offence or the law. However, the parties part ways on whether the evidence relied on by the Crown addressed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required to prove there were reasonable and probable grounds for the resulting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defence provided a 40 page written submission that canvased the legal issues raised. Curiously in both their written and oral submissions the defence chose not to address any of the facts that support the plaintiffs' claim of malicious prosecution nor did they address the key issue of the mechanics of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Instead in their written submission they simply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in this case that displaces the presumption that reasonable and probable cause existed. Nor is there any evidence that any defendant acted for a purpose other than placing the case before the court for adjudication.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Generally, the defendants submitted that the overt act,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was the plaintiffs providing an intentionally false report of their income to their accountant, knowing that it would eventually end up in their tax report. In other words,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was the plaintiffs wilfully engaging in conduct that they knew would result in a false reporting of their taxable income. This means, according to the defence, the manner in which that false reporting was done is irrelevant, whether it was by not disclosing one of the three daily till tapes, or by not providing a second daily sales summary 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The defendants point to various "material facts" which they allege prove their version of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provided the revenue information from their businesses to their bookkeeper on a daily sales summary sheet. The bookkeeper used the information provided by the plaintiffs on the summary sheets for MGM and SHL to prepare a monthly summary of revenues;</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monthly summary was the source of the information for the tax returns reporting the incomes of the plaintiffs and their companies;</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cash deposits of $661,164 into the personal bank accounts of the plaintiffs in 2004 and 2005;</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cash deposits of $498,788 into the corporate bank accounts of the plaintiffs in 2004 and 2005;</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Cash payments of $594,788 were made for liquor, wages and suppliers for MGM between January 1, 2004 and December 31, 2005;</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cash withdrawals from any bank accounts;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cash payments recorded by the corporations to the Samaroos;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comparison of the periods before and after March 2006 when the audit by the CRA began revealed: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daily sales summary sheet for MGM provided to the bookkeeper began to reflect three columns of data instead of two, and the amounts recorded on the sales sheet for MGM increased by about $50,000 per month, approximately $1,500 for each of three shifts;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Food costs for MGM remained about the same before and after March 2006;</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Menu items and prices at MGM remained about the same;</w:t>
      </w:r>
    </w:p>
    <w:p>
      <w:pPr>
        <w:numPr>
          <w:numId w:val="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Make-up and volume of customers of MGM remained about the same;</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amounts deposited to the plaintiffs' accounts from merchant cards (Visa, MasterCard, etc.) remained constant;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ratio of cash sales to merchant card sales for MGM increased from between 24% and 35% in the three years prior to March of 2006 to 51% of sales after March 2006;</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reported revenue on the tax return of MGM for the taxation year ending February 28, 2007 was approximately $500,000 higher than the previous two years;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reported cost of sales on the tax return of MGM for the taxation year ending February 28, 2007 was approximately the same as in the previous two years;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reported revenue on the tax return of SHL for the taxation year ending February 28, 2007 was approximately $85,000 higher than the previous year with slightly lower operating expenses; and</w:t>
      </w:r>
    </w:p>
    <w:p>
      <w:pPr>
        <w:numPr>
          <w:numId w:val="9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Monthly reported sales receipts for SHL increased by 33% over the previous years' average after the audit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The defendants assert that the difference in income before and after the audit started supports the inference that after the audit the plaintiffs suddenly started reporting their complete income. This is similar, they say, to using net worth assessments to prove tax evasion. The defendants submit that these factors, in addition to the wording in s. 239(d)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which states that tax evasion is a wilful act that can be carried out "in any manner", establish reasonable and probable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At the criminal trial, Judge Saunders addressed many of the defendants' "material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Crown alleges that it was impossible for the Samaroos to accumulate so much money based on the net worth analysis done by Keith Kendal for the period 1980 to 2003. He did not interview the Samaroos before doing the net worth analysis and did not include the cash on hand which was in the form of savings and inheritances nor did he factor in capital cost allowance over the years involved. He relied on historical data, the seized documents and his own notional figures to determine their net worth to support his theory that they could not have saved over a million dollars.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[Mr. Kendal] conceded in cross examination that he and Foster came up with completely different numbers on their analysis of the MGM shareholder account. Kendal also conceded that he had not factored in capital cost allowance in his calculations which could account for almost one million dollars (Transcript November 17, 2010, page 84 lines 37 to 44). He conceded that he had completely forgotten to do so. He also conceded that he had not factored in the inheritances and savings or cash on hand that the Samaroos may have had during the operative years between 1980 and 2003 as he did not interview them before he did the net worth analysis.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He had some difficulty explaining his theory of how Tony Samaroo was taking cash each day from the cash sales at the MGM and could only say that one ring off was not being reported. Of note, each till tape for each shift, records cash, debit, credit and cheque sales. He could not say what the average sales for one till tape was because of too many variables to account for but he believed that there was about $2400 of cash per day being stolen over two years to arrive at the figure of $1.6 million. He was also challenged that Diane Ye filled in the daily sales summary sheets so Tony Samaroo would have had to change the sheets in order to skim off the cash. He also conceded that the skimming of cash could have occurred over many years outside the period in the indictment.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He was told that there had been a provincial audit done of the night club for the period from 2003 to 2005 and no problem regarding taxes or unreported cash was found which, surprisingly, he did not appear to consider to be relevant. He was also challenged that he could have been completely wrong in his assumptions around liquor sales at the nightclub by up to 34% on the tax calculation.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Kendal chose not to look at the possibility that Tony Samaroo's explanation about the source of the funds could be true. He chose instead to look at the paper trail and extrapolate back using reported cash sales to attribute unreported revenues at the MGM and nightclub. The extrapolation is based on assumptions and is only as good as the underlying assumptions, which, if they are flawed because some or all of the relevant variables are not factored in, such as an increase in food sales due to more customers, or internal controls reducing theft, spillage and breakage, or fluctuating prices due to "bar wars", render the final conclusion unreliable.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Kendal did not consider these variables. He was far off the mark as with the percentage markup at the nightclub by 34%. As a result, the enormous markups of up to 393% for the MGM and nightclub which he seeks to use to establish unreported cash are equally suspect and ought not be relied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The Crown's theory that Tony Samaroo skimmed cash off one till tape per day for two years is flawed in significant respects. Keith Kendal could not explain how this was done and changed his evidence when he realized how he had miscalculated, to include the possibility that they had been taking cash for many years, well beyond the indictment period. He also failed to do an analysis of the shareholder account and his evidence is at odds with Glen Foster's evidence regarding the amount of the shareholder account in March,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The Crown's theory is that the Samaroos could not have amassed $1.7 million dollars between 1982 and 2003. Tony Samaroo's evidence, which I accept, is that he started saving in 1970. A further flaw in the Crown's theory is that the figure of $1.7 million as alleged in the indictment is undoubtedly completely incorrect as the capital cost allowance would, according to Keith Kendal, amount to a significant discrepancy and reduce the figure significantly. Likewise, the inheritances and cash on hand, even if those funds were lower than Tony Samaroo states, would still lead to a different figure which is anybody's guess. As Mr. Kelliher puts it, the Crown has engaged in "voodoo accounting" to come up with the numbers to support the charges.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With the significant flaws in the net worth analysis, the discrepancies between the evidence of Glen Foster and Keith Kendal regarding the shareholder loan accounts, the unreliable extrapolation regarding sales at the MGM over a three month period and the enormous mark up calculated by Keith Kendal, which is too hypothetical to rely on and based on shifting variables, the Crown's case is weak and the numbers alleged are highly uncertain.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 More specifically, Keith Kendal failed to include the capital cost allowance into his net worth analysis which could account for up to a million dollars of the $1.7 million that the Crown alleges the Samaroos misappropriated. He did not factor in the combined inheritances of almost $400,000 that Tony and Helen received and consequently he started the analysis with completely inaccurate assumptions.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Even if I did not find Tony Samaroo to be credible, the Crown cannot rely on the calculations of Keith Kendal to prove its case beyond a reasonable doubt by virtue of the principles enunciated in </w:t>
      </w:r>
      <w:r>
        <w:rPr>
          <w:rFonts w:ascii="arial" w:eastAsia="arial" w:hAnsi="arial" w:cs="arial"/>
          <w:i/>
          <w:color w:val="000000"/>
          <w:sz w:val="20"/>
          <w:lang w:val="en-US" w:eastAsia="en-US" w:bidi="ar-SA"/>
        </w:rPr>
        <w:t>R. v. Zuk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It is evident that Judge Saunders rejected most, if not all of the defendants' "material facts". In addition, these facts have not been proven in this trial. The defence has not shown that the plaintiffs' additional income was due to sudden reporting versus any number of other factors, such as, for example, increased sales due to two other restaurants in the area closing, or reduced expenses after the plaintiffs followed the advice of their accountant and monitored their expenses more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As the plaintiffs point out, and I agree, even if one accepts that the additional $50,000 a month earned by the plaintiffs is suspicious it comes no where near meeting the evidentiary requirement of proving that within the alleged time frame the money was skimmed from the restaurant. It is a theory, a suspicion, and convictions are not entered on theories or suspicions.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The defendants' submission that the difference in income before and after the audit is sufficient to prove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and is enough to establish reasonable and probable cause is flawed. The difficulty with their position is that it ignores how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was to be proved - that is, the actual mechanics of the alleged evasion. As I said above, the defendants' submission is a theory. To say that the plaintiffs did not report income cannot be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What they did, or did not do, in order to avoid paying taxes must be shown to establish reasonable and probable grounds. That is why during the investigation the evidence about the number of unreported till tapes, shifts and/or daily summary sheets was so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The position taken by the defendants about the nature of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at this trial is also problematic because it is at odds with the position taken by Ms. McLean and adopted by Ms. Hyman and Mr. Harper at the PPSC. That is, that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had to be proven before charges were to proceed, and that it was to be proven through Ms. Ferens' evidence respecting the till tape theory. They clearly recognized that the so-called suspicious alleged "material facts" did not justify the charges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In this way, this case is similar to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where the prosecution proceeded when it was clear that a key witness would have to be relied upon to prove identity and the prosecutor admitted that the witness had never identified the appellant and that it was impossible for him to do so. Despite knowing he had to prove identification beyond a reasonable doubt, and despite it being obvious he could not do so, the prosecutor proceeded with the prosecution. As Justices Iacobucci and Binnie noted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prosecutor may have been persuaded of the appellant's guilt. The question for him in March 1991 was whether he could prove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same issue is raised here - how were Mr. Kendal and Mr. Brian Jones intending to prove that which they suspected and apparently believed? In other words, on the basis of circumstances actually known to Mr. Kendal and Mr. Jones when they initiated and continued the prosecution, was there reasonable and probable cause for them to believe the plaintiffs' guilt could be proved beyond a reasonable doubt? For the reasons that follow, I find that there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First I turn to Mr. Kendal and the CRA. Originally, as noted, the prosecution proceeded on the basis that the income from one shift was not being reported and that Ms. Ferens would testify she was only given the till tapes from two shifts. That is what Mr. Kendal said in the Prosecution Report, and what he told PPSC he could 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Ms. Ferens was interviewed three times. She told Mr. Foster, in her first interview, that the summary sheet used to show only two ring-offs per day for the period under audit. It appears she assumed each column was a single ring-off. She was not asked if she looked at the till tapes, nor whether she received two or three till tapes.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On October 30, 2006 Mr. Alan Jones prepared his Primary Report recommending the case proceed to a full investigation and relied on the evidence from Mr. Foster. On January 4, 2007 the Information to Obtain was sworn and on January 24, 2007 the search warrants were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However, when Ms. Ferens was interviewed for a second time on January 24, 2007 by Mr. Finlay, she informed him she did not post from the till tapes, but rather relied on the daily sales summary sheets. Hence as of January 24, 2007, the CRA knew that Ms. Ferens did not look at the till tapes and could not say whether the summary sheet included income from two or three shifts. At this point the CRA also knew that they did not have the till tapes or summary sheets for 2004 and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Kendal was assigned to the investigation one day later, on January 25, 2007. Notwithstanding the evidence given by Ms. Ferens in her second interview, he stated as follows in his Prosecution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Element #3: A "Daily Sales" summary sheet template for recording of revenue receipts based on two till tapes per day up.</w:t>
      </w:r>
    </w:p>
    <w:p>
      <w:pPr>
        <w:numPr>
          <w:numId w:val="9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bookkeeper Debbie Ferens ... will be able to explain that she received a filled out preformatted "Daily Cash Report" summary sheet for each day of the month with till tape #1 sales, till tape #2 sales data and a summary column of those two days till tapes, and this is attached with the till tapes for that month as provided to her by Tony Samaroo.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Element #4: The accused provided only two of the there till tapes to their bookkeeper Debbie Ferens to February 28, 2006.</w:t>
      </w:r>
    </w:p>
    <w:p>
      <w:pPr>
        <w:numPr>
          <w:numId w:val="9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Debbie Ferens will be able to attest to having met the CRA auditor, Glen Foster on March 21st of 2006 and informed him that she has only ever received two MGM till tapes per day from Tony Samaroo for the period under audit.</w:t>
      </w:r>
    </w:p>
    <w:p>
      <w:pPr>
        <w:numPr>
          <w:numId w:val="9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Debbie Ferens will not be able to state that she knew which till tape shift she received during the periods leading up to February 2006: the morning, the evening or the graveyard shifts, as she only posted the data from the filled out daily sales sheet summary provided to her with the till tapes from Tony Samaroo.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Mr. Kendal did not reference Ms. Ferens' second interview, nor did he mention that she could not say how many till tapes she received. Mr. Kendal also did not reference the second interview in his January 10, 2008 telephone call with Ms. McLean. Her notes indicate that the CRA could prove the plaintiffs had additional income after the audit period, but could not prove if and when the funds were skimmed, or from which corporation, or how the plaintiffs did so. When Mr. Kendal wrote what he did in the Prosecution Report, all the CRA had was the evidence of cash deposits and payments made by the plaintiffs in 2004 and 2005, and Mr. Samaroo's explanation about where the extra income came from. The CRA could also not explain how the plaintiffs could alter the daily sales summary sheets to skim cash but still account for the debit and credit card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Kendal testified that he knew Mr. Alan Jones had "probably" created a series of pre-typed questions before the search to be used to interview Ms. Ferens and Mr. Heese. Mr. Kendal testified that it would be the CRA's normal practice to prepare questions in advance, and that they had hoped to interview both Ms. Ferens and Mr. Heese. Mr. Kendal also testified that he knew it would be Mr. Finlay or another individual who would conduct the interviews of Mr. Heese and Ms. Ferens.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Mr. Kendal attempted to explain his statements in the Report by stating that he wrote what he thought Ms. Ferens would say. The following exchange during cross-examination is relevant:</w:t>
      </w:r>
      <w:r>
        <w:rPr>
          <w:rFonts w:ascii="arial" w:eastAsia="arial" w:hAnsi="arial" w:cs="arial"/>
          <w:sz w:val="20"/>
          <w:lang w:val="en-US" w:eastAsia="en-US" w:bidi="ar-SA"/>
        </w:rPr>
        <w:cr/>
      </w:r>
    </w:p>
    <w:p>
      <w:pPr>
        <w:numPr>
          <w:numId w:val="9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Let's just deal with bullet there 1 under "Element 3" again: She'll be able to explain that she received a filled-out daily cash report summary sheet for each day of the month, with till tape number 1 sales data, till tape number 2 sales data, and a summary column.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did you get that information?</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my own words, saying "till tape number 1" and "till tape number 2," "sales data."</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the first column would be "till tape number 1," the second column would be "till tape number 2," in my words.</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And when you say - when you preface that, you don't say, "Oh, these are my words," do you? Does that appear somewhere in the bullet?</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Well, you know what, this 50-page report is my words.</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In this bullet, do you say, "I'm going to say this; I can say this"?</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say that in there? No?</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I've said all along this is a draft witness report for Deborah Ferens, who I haven't interviewed at this point in time. I'm anticipating her saying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do not accept Mr. Kendal's explanation that he wrote what he thought Ms. Ferens would say. He did not explain why he would anticipate her saying something that he knew was contradicted by what she had said in her second interview conducted by Mr. Finlay. Mr. Kendal's statements in the Prosecution Report are not true and are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find that Mr. Kendal hoped that if he interviewed Ms. Ferens for a third time, he could obtain the evidence from her that he required to establish the basis for his theory of the case. Indeed, when he structured his written questions for the 2010 interview it is clear that he anticipated getting her to say that she only got two till tapes for each day. The questions he asked are illuminating, given his previous failure to properly state Ms. Ferens'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For example, as noted previously regarding what information was contained in the daily sales summary sheets, Mr. Kendal first asked Ms. Ferens why the document had only two columns. Then, as though anticipating her response that she did not know, the next question he asked was whether she recalled stating to the auditor, Mr. Foster, that she had only ever received two till tapes of data. However, she did not tell Mr. Foster she only received two till tapes and Mr. Kendal knew that. This is the evidence that Mr. Kendal wrongly attributed to her in his Prosecution Report. Instead, she told Mr. Foster she received a sheet that in her mind showed only two ring offs, and showed the auditor a sales summary sheet with two columns but no designation of ring-offs or till tapes.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These are written questions prepared in advance when the author, Mr. Kendal, knew she had never said she only received two till tapes. It has the appearance of seeking to obtain from the witness evidence already wrongfully attributed to her. It is also of note that Mr. Kendal failed to refer to the Finlay interview of Ms. Ferens despite the obvious importance of her answers in that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It is also telling that earlier in the investigation he had reported that Ms. Ferens had refused to be interviewed which was not correct as she only sought questions to be provided to her counsel. I conclude that it was important to him to interview her personally as he sought to support the evidence he had attributed to her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To reiterate, Mr. Kendal knew of Ms. Ferens' evidence given to Mr. Foster and clarified in her second interview with Mr. Finlay. He knew that she could not say how many till tapes she received, or what information was included on the summary sheets. By as early as 2007, he knew he could not show what shifts were included in the summary sheets for 2004 and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Despite this, Mr. Kendal continued to facilitate the prosecution, and continued to suppress the evidence from Ms. Ferens' second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Neither Mr. Kendal nor Mr. Brian Jones mentioned Mr. Finlay or his interview in the criminal trial. Even in this malicious prosecution trial Mr. Kendal did not mention the existence of the second interview with Ms. Ferens in his direct testimony. Instead, he testified that in preparing his Reports, he relied on Ms. Ferens' remarks to Mr. Foster:</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did you get all of this information that you're reporting to the PPSC about Deborah Ferens?</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 getting this information from my interviews with the auditor that goes into finalizing his witness report and this T2020 notes as the starting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He also admitted in cross-examination that he did not mention Mr. Finlay's interview with Ms. Ferens in his direct testimony, despite having reviewed Mr. Finlay's notes in the week prior to this trial:</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Mm-hmm. Have you read the Terry Finlay notes of Deborah Ferens' interview prior to attending court and testifying in chief?</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read all these binders that you provided for me -</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or no, sir, if you could?</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read through every tab of information provided to me.</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So the existence of the Terry Finley interview of Deborah Ferens was fresh in your mind at the time you took the stand; correct?</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wasn't fresh in my mind, but I had read it in the prior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His explanation for his failure to mention Ms. Ferens' second interview at any time in the criminal prosecution was that he had other evidence he considered sufficient, which I take to mean the "material facts" set out above. These facts amount to no more than a suspicion, a theory, and cannot be said to constitute reasonable and probable grounds for Mr. Kendal to believe he could prove the plaintiffs' guilt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I conclude that despite what he said in his Prosecution Report, Mr. Kendal understood that the theory that only two till tapes were being reported could not be proved by the sales summary sheets and that Ms. Ferens could not testify to that. He clearly appreciated that the summary sheets could include information from three ring-offs or shifts. In his evidence he confirmed that he knew the daily sales summary sheet showed two columns of data but did not know how many till tapes it represented and in particular whether it represented two or three till tapes or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I am satisfied this conduct is consistent with Mr. Kendal's earlier misstatement of Ms. Ferens' evidence and demonstrates his continued attempts to conceal the existence of the Finlay interview because its exposure would destroy the Crown theory. The evidence of Ms. Ferens was required to prove the funds in question were unreported income. Her evidence was essential to prove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that is the overt acts of the alleged offences of tax evasion. Mr. Kendal knew that he did not have reasonable and probable cause to believe that guilt could be proved beyond a reasonable doubt based on the evidence he wrongly attributed to Ms. Ferens.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However, it is also important to address Ms. Ye's evidence because, as mentioned, at trial the defendants' characterization of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changed. Since the evidence of Ms. Ferens would not prove the Crown's case, Mr. Kendal turned to Ms. 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have previously outlined the sequence of interviews of Ms. Ye by Mr. Kendal. During the first two interviews, Ms. Ye only mentioned the use of a single daily sales summary report sheet with columns labelled "day", "night" and "days total". Ms. Ye did not mention anything about a second daily summary sheet in those interviews.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However, in her third interview in February 2010, Ms. Ye apparently changed her story and said there were two daily sales summary sheets prepared each day, leading to the implication that the plaintiffs were not reporting a second sheet setting out the graveyard shift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Mr. Kendal testified in cross-examination that the first time the existence of the second daily summary sheet entered his mind was when Ms. Ye disclosed it during this interview. However, in cross-examination Mr. Kendal was confronted with the 2010 will-say of Ms. Ferens, which was typed up before Ms. Ye's third interview, and in which Ms. Ferens was purported to have corroborated Ms. Ye's new evidence by saying she only ever received one daily summary sheet for each day. The notes of Ms. Ferens' final interview with Mr. Kendal disclose that she was never asked how many daily sales summary sheets she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Mr. Kendal attempted to explain this problem by testifying that after he was told about the existence of a second sheet, he went back and altered Ms. Ferens' will-say to include the corroborative statement. This is a misrepresentation of Ms. Ferens' testimony. It appears to have been an attempt to corroborate the evidence of Ms. Ye respecting the new theory that there were two daily sales summary sheets.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If this new theory were true and Ms. Ferens only received one of two daily summary sheets, the result would be that it was the income from the graveyard shift that was not being reported, as opposed to the more lucrative day and afternoon shifts. This is problematic because it means it would be impossible for the defendants to prove the plaintiffs evaded taxes in the amount set out in the Information and the Prosecution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I find that Mr. Kendal continued to pursue the prosecution based on a theory he knew that he could not prove, and then by proceeding on a theory that could not be corroborated he significantly overstated the degree of the plaintiffs' alleged tax evasion. I conclude that objectively Mr. Kendal did not have reasonable and probable grounds to believe that he could prove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of tax evasion against the plaintiffs beyond a reasonable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Turning now to Mr. Brian Jones. Mr. Jones testified that after learning of Ms. Ye's new evidence respecting the "missing sheet", he did not think this meant the graveyard shift was likely not being reported. He said he did not turn his mind to how that would have affected the calculation of the quantum alleged to have been evaded. It is difficult to understand how he could have not concluded that it was the graveyard shift that was not being reported based on Ms. Ye's new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As I have said, the allegation made by the defendants all along was that the plaintiffs and their corporations evaded tax in the tax years 2004 and 2005 by failing to provide one of the three daily till tapes to Ms. Ferens, resulting in a personal enrichment of about $50,000 per month. When Mr. Brian Jones learned of Ms. Ye's new evidence, it should have been apparent that he could no longer prove the charges as they were alleged. This also should have been clear given Mr. Jones knew of the Finlay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As is evident from these reasons, when the charges were laid the defendants lacked evidence of the overt acts or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tax evasion. The only inculpatory evidence of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that Mr. Kendal included in the Prosecution Report were his own views of what he hoped Ms. Ferens would say. Unfortunately, this lack of evidence was not remedied throughout the course of the investigation and prosecution. The defendants did not have the till tapes or daily sales summary sheets from tax years 2004 and 2005. They did not have evidence that Ms. Ferens only received two out of three till tapes. In 2010, they had Ms. Ye's evidence that allegedly there were two daily summary sheets, but even then had no means with which to corroborate or substantiate this allegation, nor to reconcile it with the quantum of the plaintiffs' alleged evasion.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As Ms. McLean recorded in her notes of her telephone call with Mr. Kendal dated January 10, 2008: the CRA could prove the plaintiffs had the money, but not anything about whether it was skimmed, when it was skimmed, from which corporation it was skimmed, nor how the plaintiffs did so. The theory of the prosecution was founded on an assumption, which could not be proved. Neither the CRA nor Mr. Brian Jones ever advanced a theory of </w:t>
      </w:r>
      <w:r>
        <w:rPr>
          <w:rFonts w:ascii="arial" w:eastAsia="arial" w:hAnsi="arial" w:cs="arial"/>
          <w:i/>
          <w:color w:val="000000"/>
          <w:sz w:val="20"/>
          <w:lang w:val="en-US" w:eastAsia="en-US" w:bidi="ar-SA"/>
        </w:rPr>
        <w:t>how</w:t>
      </w:r>
      <w:r>
        <w:rPr>
          <w:rFonts w:ascii="arial" w:eastAsia="arial" w:hAnsi="arial" w:cs="arial"/>
          <w:color w:val="000000"/>
          <w:sz w:val="20"/>
          <w:lang w:val="en-US" w:eastAsia="en-US" w:bidi="ar-SA"/>
        </w:rPr>
        <w:t xml:space="preserve"> Mr. Samaroo may have altered the summary sheets to skim the cash component, but still account for debit and credit sales. When Mr. Brian Jones told the court that Mr. Samaroo did so with "magic", his failure to have properly assessed his ability to prove the mechanics of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offences is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addition I note there was never an explanation given as to how Ms. Helen Samaroo may have been involved in this alleged scheme of evasion.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To summarize, the defendants had no evidence to prove, and knew they could not prove, whether the plaintiffs were providing only two of the three till tapes to Ms. Ferens, or which of the three till tapes. This meant they could not prove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the offence of tax evasion, nor could they ever hope to prove the quantum of the evasion. As in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the charges against the Samaroos were founded on an assumption, and grounded in mere suspicion and hypotheses, which did not and could not constitute reasonable and probable cause as that term is uniquely defined in the tort of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This prosecution should never have proceeded. It was undertaken without reasonable and probable cause. The third element required by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is satisfied as against all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of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plaintiffs submit that the defendants were motivated by malice or they had a primary purpose other than carrying the law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claim of malice starts with Mr. Kendal's initial response to the investigation. From its inception he rejected the explanations of the plaintiffs for their accumulation of cash. He rejected the explanation of their accountant, Mr. Heese. His response to their explanations was to plan "to deflect the defence of a lifetime of savings" and to "defuse" their position. He did not start from a neutral position and then see where his investigation might take him. Rather, he had his mind made up from the beginning and set out to have the plaintiffs charged and convicted. His sole interest was to collect incriminating evidence and to discount or ignore evidence that did not support his prejudgment. He saw his investigative task as not to fairly examine and report the evidence of the plaintiffs but instead to discredit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 am satisfied that he was and remains convinced that the plaintiffs had misappropriated $50,000 per month in revenue from their restaurant. He testified that he still believes the plaintiffs are guilty of tax evasion and would, if given the chance, prosecute them again on the same theory and the same evidentiary basis:</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Sir, today is it your belief that the Samaroos are guilty of the offences set out in the information that was before the provincial court judge?</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you mean as charges sworn?</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Sir, you have absolutely no remorse for what you've done, do you?</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objectively done the job that's assigned to me.</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that "No, I have no remorse"?</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no remorse.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Mr. Kendal developed a theory of how the tax evasion had occurred. That theory was that one shift's income was not being reported. He determined that was being done by means of only two till tapes representing two shifts being provided to Ms. Ferens. He became aware however there was a problem proving that only two till tapes were being provided given the statement Ms. Ferens provided to Mr. Finlay. As I noted above in the discussion on reasonable and probable grounds, it was clear that allegation could not be proven through her, based on the Finlay interview which Mr. Kendal failed to disclose to the PPSC and intentionally tried to supress.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In this way, Mr. Kendal misled Ms. McLean by telling her that the bookkeeper had yet to be interviewed on the issue of proof of her only receiving two till tapes. Ms. McLean had asked him to interview the bookkeeper and seek answers to some very specific questions respecting the till tapes. He agreed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When he sought to interview Ms. Ferens and Mr. Heese in February 2008, Mr. Heese wrote to him saying that such requests for information should be directed through their lawyer. As I mentioned earlier, Mr. Kendal's evidence in direct was that Mr. Heese and Ms. Ferens outright refused to be interviewed. When asked about submitting the request through their lawyer he stated he did not want to proceed in that manner. Given the very specific questions asked by Ms. McLean Mr. Kendal provided no good reason for not submitting such questions to Ms. Ferens through her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When informing Ms. McLean of the situation Mr. Kendal only told her that Ms. Ferens did not want to be interviewed. He did not mention the offer to provide the information through her lawyer. He also continued to fail to disclose the second interview of Ms. Ferens. Mr. Kendal's concealment of the second interview is reflected in his reports not only to the PPSC and defence counsel but also to his own team leader, Mr. Alan Jones. Mr. Kendal's conduct was inexcusable. He was well aware of the reliance that would be placed on his investigation and resulting report yet subverted the prosecution by supressing evidence and attributing evidence to others that he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 find that Mr. Kendal attempted to conceal the existence of the Finlay interview during his testimony before this Court for two reasons:</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to mitigate the negative affect the evidence would have on the Crown's case; and,</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to conceal his own wrongdoing in investigating and initiating the prosecution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That failure was further exposed by the manner in which he dealt with the 2010 witness statements of Ms. Ye and Ms. Ferens. As noted above, he altered Ms. Ferens' will-say to reflect the new evidence given by Ms. Ye in her third interview. He forwarded these will-says to Mr. Brian Jones on March 3,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In addition to the above the evidence of Mr. Kendal raised more general concerns. Those concerns relate to his credibility generally and his views of the guilt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Kendal had a curious approach to witness interviews stating he writes down what he expects the witness to say and as noted above will update earlier witness statements where appropriate without further discussion with the witness. This fundamentally undermines the purpose of a witness statement, that is, to record the evidence of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Proof of malice requires proof on a balance of probabilities that in the role of an investigator, Mr. Kendal acted deliberately to subvert and abuse his office. I find that he did so. He did so by supressing evidence and attributing evidence to witnesses that was not accurate. He had decided from the beginning of his involvement with the Samaroos that they were guilty and set out to prove that was the case even if to do so required a breach of his proper role and responsibilities. He knowingly misstated evidence essential to the proof of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despite being aware of its importance, filed a misleading report knowing it would be relied upon to authorize the prosecution and then having achieved that end swore the Information all in the hope of convicting the plaintiffs. His purpose was improper. I am satisfied that malice has been vicariously established as against the CRA as a result of the conduct of Mr. Kendal.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As a witness, I found Mr. Kendal to be argumentative, evasive, inflexible and reluctant to concede what clearly should have been conceded. He wrote the Prosecution Report as an advocate not an investigator. He presented the evidence in a way designed to mislead both the PPSC and Mr. Brian Jones. His clear intent was to see that criminal charges were laid. The presumption of innocence appeared to be meaningless to him. The manner in which he approached the evidence was not objective. He had his theory and he then sought to prove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There is also evidence that Mr. Kendal's approach may indicate an unfortunate culture within the CRA. For example:</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Alan Jones wrote in his Primary Report that two other factors related to the case being selected for a full investigation:</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restaurant and night club industries were those with a high rate of non-compliance; and,</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CRA had not prosecuted a business in the restaurant or nightclub industry in the Nanaimo area recently.</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Then, when the charges were laid and reported in the local paper on August 27, 2008, Christopher Gibson of Mr. Brian Jones' office emailed Mr. Kendal a copy of the newspaper coverage of the charges published in the Nanaimo Daily News. The next day, on August 28, 2008, Mr. Alan Jones wrote to Mr. Brian Jones and said: "Front page of Wednesday's Nanaimo Daily News. I can't wait to read the edition after the guilty verdict".</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email correspondence between Mr. Alan Jones and Mr. Brian Jones respecting the number of counts in the information Mr. Alan Jones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Besides, after 85 charges, doesn't a guilty verdict call for a guillotine?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 The CRA seeks to publicize convictions for tax evasion: "to draw attention to the consequences of tax evasion and fraud" (Canada Revenue Agency, </w:t>
      </w:r>
      <w:r>
        <w:rPr>
          <w:rFonts w:ascii="arial" w:eastAsia="arial" w:hAnsi="arial" w:cs="arial"/>
          <w:i/>
          <w:color w:val="000000"/>
          <w:sz w:val="20"/>
          <w:lang w:val="en-US" w:eastAsia="en-US" w:bidi="ar-SA"/>
        </w:rPr>
        <w:t>The Criminal Investigations Program</w:t>
      </w:r>
      <w:r>
        <w:rPr>
          <w:rFonts w:ascii="arial" w:eastAsia="arial" w:hAnsi="arial" w:cs="arial"/>
          <w:color w:val="000000"/>
          <w:sz w:val="20"/>
          <w:lang w:val="en-US" w:eastAsia="en-US" w:bidi="ar-SA"/>
        </w:rPr>
        <w:t xml:space="preserve">, online: Compliance &lt;https:// .canada.ca/en/revenue-agency/programs/about-canada-revenue-agency -cra/ compliance/criminal-investigations-program.html&gt;) On the same website page, the CRA boasts under the heading "Getting [R]esults" that in 2016-2017 federal prosecutors working with the CRA's criminal investigations department had an 89% conviction rate. The CRA also advertises that from April 1, 2016 to March 31, 2017, the CRA obtained convictions of 37 taxpayers, and court sentences totaling about $10 million in fines and 50.6 years of prison time. One can even "subscribe" to receive enforcement notifications from the CRA, and they will email you when they add or update an enforcement notification on their website (Canada Revenue Agency, </w:t>
      </w:r>
      <w:r>
        <w:rPr>
          <w:rFonts w:ascii="arial" w:eastAsia="arial" w:hAnsi="arial" w:cs="arial"/>
          <w:i/>
          <w:color w:val="000000"/>
          <w:sz w:val="20"/>
          <w:lang w:val="en-US" w:eastAsia="en-US" w:bidi="ar-SA"/>
        </w:rPr>
        <w:t>Enforcement Notifications: Compliance Actions</w:t>
      </w:r>
      <w:r>
        <w:rPr>
          <w:rFonts w:ascii="arial" w:eastAsia="arial" w:hAnsi="arial" w:cs="arial"/>
          <w:color w:val="000000"/>
          <w:sz w:val="20"/>
          <w:lang w:val="en-US" w:eastAsia="en-US" w:bidi="ar-SA"/>
        </w:rPr>
        <w:t>, online: CRA Newsroom &lt;https:// .canada.ca/en/revenue-agency/news/newsroom/criminal-investigation s-actions-charges-convictions.html&gt;).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turn next to the alleged malice of Mr. Brian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As discussed Mr. Brian Jones prosecuted the tax evasion charges in the Provincial Court of B.C. He is an experienced criminal lawyer having practiced in the field since 1977. The plaintiffs' allegations against Mr. Jones are that he failed to bring an independent mind to charge approval and to the sentence sought should a conviction be obtained. The plaintiffs submit that he simply used his position to do the bidding of the CRA and failed to stand as an independent officer between the wishes of the CRA and the criminal justice system. They allege as well that he subverted the office of the Attorney General for financial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The manner in which charge approval proceeded has been explained. I am satisfied that Mr. Brian Jones failed to independently assess the proposed charges in accordance with the obligations of Crown counsel. As noted earlier no memorandum addressing the applicable requirements was prepared. Instead the drafting of the Information was primarily left to the CRA, Mr. Alan Jones and Mr. Kendal. The manner in which the charges were finalized and pursued appears contrary to the </w:t>
      </w:r>
      <w:r>
        <w:rPr>
          <w:rFonts w:ascii="arial" w:eastAsia="arial" w:hAnsi="arial" w:cs="arial"/>
          <w:i/>
          <w:color w:val="000000"/>
          <w:sz w:val="20"/>
          <w:lang w:val="en-US" w:eastAsia="en-US" w:bidi="ar-SA"/>
        </w:rPr>
        <w:t>FPS Deskbook</w:t>
      </w:r>
      <w:r>
        <w:rPr>
          <w:rFonts w:ascii="arial" w:eastAsia="arial" w:hAnsi="arial" w:cs="arial"/>
          <w:color w:val="000000"/>
          <w:sz w:val="20"/>
          <w:lang w:val="en-US" w:eastAsia="en-US" w:bidi="ar-SA"/>
        </w:rPr>
        <w:t xml:space="preserve"> warning referred to earlier that counsel should fulfill their duty "by not becoming simply an extension of a client department or investigative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plaintiffs submitted there are inherent dangers that arise where prosecutors are hired on contract as opposed to being full-time government employees. They note the risk that hired agents will be motivated to maximize profit and that they will face competing duties to the department they are dealing with and their obligations as Crown counsel. They note that Mr. Brian Jones and his firm's billings for their work as Crown agents for the years 2008-2015 represented 100% of their work during those years. Those billings ranged from a low of $1.2 million per year to a high of $2.7 million per year. They submit as a result Mr. Brian Jones had an incentive to conduct prosecutions to increase his profits and to satisfy the PPSC and the CRA who had the power to refer or not refer cases to him depending on his performance. They note it was Mr. Kendal who actually approved Mr. Jones' accounts for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Thus the plaintiffs rely on the allegation that because Mr. Brian Jones relinquished his independence, was in a financial position of conflict of interest and suppressed key evidence, his conduct falls at the highest end of the spectrum of blameworthiness and constitutes malice. They submit he sought to secure a conviction at any cost by misleading the court and the defence and that he did so by putting his office to the service of the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 turn first to the allegation that Mr. Brian Jones supressed critical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In his closing submissions to the Provincial Court Mr. Brian Jones did not mention Ms. Ferens' unreported till tape theory that had so recently, and for the previous two years, been the clear, "black and white" theory of the Crown and for the first time took the position that the overt acts being alleged by the Crown were now based on the evidence of Ms. Ye: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Brian Jones: Well, I'm sorry, Your Honour, I haven't -- obviously I haven't been effective in advising you what the theory about this all came about is, as it's -- it's our theory that there were three shifts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And three columns?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Brian Jones: There were two separate pieces of paper.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And you're basing that on what Ms. Ye has to say?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Brian Jones: I 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And so you're saying that they came and removed the proceeds from the third shift and the second piece of paper, that's what the Crown's theory is, that the Samaroos took all the proceeds from the third shift, cash, debit, credit, all those, cheques and everything else, and removed the second piece of paper so that they could take all of those proceeds? It doesn't make sense because surely the debit and the credit has to match up with the bank statements and all of that sort of 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Brian Jones: They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In an effort to explain the overt acts by which the Samaroos were alleged to have committed tax evasion Mr. Brian Jones submitted it was "magic":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it's true that Ms. Ferens received one bag per day, but there were three bags going into the back office, which was where Mr. Samaroo did his magic with the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Troublingly, Mr. Brian Jones testified in cross-examination that in his mind there was no difference between the information set out in the Prosecution Report regarding the evidence of Ms. Ye and Ms. Ferens, and the contents of their 2010 will-say statements and interview notes. He testified that he did not turn his mind to the concept of whether the Crown could prove that Ms. Ferens only received two of the three till tapes without the evidence attributed to her by Mr. Kendal in the Prosecution Report. Nor did he turn his mind to the implications of the maximum cash that could have been misappropriated if it were the graveyard shift that was being unreported. He went so far as to testify that Ms. Ye's evidence did not mean that it was probably the graveyard shift that was not being reported.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When put to him that if it was the graveyard shift not being reported that would only account for about $500 per day or $240,000 unreported income over these years he stated:</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right. So on the Ye evidence you could prove a misappropriation of a total of $240,000; right? On the Ye evidence?</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 was going just on her evidence and not on the analysis done by Mr. Kendal with all the bank records?</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know. I never approached it from that angle.</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when you were aware what she was going to testify to, didn't you say to yourself, "Where in the world am I going to come up with the $1.7 million? Where did the money come from?"</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 didn't have that thought in my head.</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did you think the money came from?</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money came from the underreporting of income from the restaurant, payment for wages, and supplies in cash.</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sir. Where did it come from? How did they take it from the restaurant? How did they take $1.7 million over two years from that restaurant?</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actual mechanics, it's - we know that Deborah Ferens didn't get all the information from the restaurant. She did enter the information she received into her spreadsheet, which found its way into the tax returns. Mr. Kendal in his analysis was able to show there was a lot more money coming into the corporation, going into the personal accounts - by money I mean cash, so we didn't have anything in terms of source documents from the audit period. So we knew what had happened. Precisely how it had happened, I don't think we had that information.</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you knew there was $500 -- approximately $500,000 cash going into the personal account, $500,000 going into the corporate account, but you couldn't prove exactly how it came from the restaurant to get there; is that right?</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Well, we - we could show that the information came from Mr. Samaroo via the daily cash report to Ms. Ferens, and Ms. Ferens took that information and put it into the tax return. We can show that.</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You could show the information came from Samaroo to Ferens?</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came from Samaroo to Ferens, we know, on the cash sales summary sheet. We know from Ye that it was only the graveyard shift that wasn't being reported; correct?</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 wouldn't go that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What was required to prove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based on the evidence of Ms. Ferens was clearly a problem for the prosecution. However, Mr. Jones' reliance on the "analysis" of Mr. Kendal obscured the problem of proving the mechanics of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In addition it was equally clear that suddenly relying on the new "second sheet" theory completely undermined the theory of $50,000 a month not being reported given it depended on non-reporting of the graveyard shift which produced approximately $500 per day in cash sales. Yet again the reliance on Mr. Kendal appears to have caused Mr. Jones to believe that they could still prove the case in a manner similar to the defence position on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Mr. Brian Jones had opened the Provincial Court trial and conducted the trial on the basis that there was a missing till tape not delivered to Ms. Ferens. It was only on the last day of trial in his closing that Mr. Brian Jones asked the court to prefer the evidence of Ms. 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plaintiffs submit that the reason Mr. Brian Jones proceeded to trial on the till tape theory was to set the stage for the excuse, when he ultimately relied on Ms. Ye's evidence, that he had first heard her new theory when she testified, which is what he said during his examination for discovery. The plaintiffs submit that Mr. Jones answered in the way that he did because he had prepared this answer for Judge Saunders in anticipation of being asked why, after all his previous assurances that the Crown was relying on the missing till tape theory, he was now advancing the missing sales summary sheet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As I have noted Ms. McLean was really the only one who recognized from the beginning the need for proof of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Because of Mr. Kendal and his misleading Report, those eventually responsible for authorizing the charges were lulled into a complacent acceptance of his Report as sufficient to justify the charges. Simultaneously there was a failure to properly assess the matter and to fulfill the charge assessment and approval obligations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Regarding Mr. Brian Jones and the issue of disclosure that arose during the trial the plaintiffs submit that the particulars eventually provided in that context were designed to obscure rather than particularize the overt acts that the Crown was required to prove. The plaintiffs submit this was done in the hope that Ms. Ye's evidence would form a basis for a conviction without having to disclose the existence of either Ms. Ferens' or Ms. Ye's 2010 interview statements. The allegation is that Mr. Brian Jones knew full well that he was at that point going to rely on the missing sales summary sheet rather than the missing till tape theory. The plaintiffs submit this was a deliberate deception of both the Court and the defence and as such is evidence of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It is difficult to understand how Mr. Brian Jones could plausibly have learned about Mr. Ye's evidence and not conclude that if any shift was not being reported, it was the graveyard shift. The plaintiffs submit that Mr. Jones' testimony in this regard is not true and that Mr. Jones was prepared to pursue a conviction against the Samaroos on the original theory of the case, no matter the evidence or the cost to the Samaroos. As such they submit this is also evidence of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The plaintiffs also refer to an incident that occurred while the trial was ongoing. Ms. Ye testified in the criminal trial on December 13, 2010. Professor Chris Tollefson, co-counsel for Helen Samaroo at the criminal trial, testified that on the morning of December 13, before Ms. Ye had testified, defence counsel attempted to interview her at the Nanaimo Courthouse in an interview room. During the interview, Mr. Brian Jones abruptly entered the interview room and interrupted the interview, stating words to the effect of "What's going on here? She's </w:t>
      </w:r>
      <w:r>
        <w:rPr>
          <w:rFonts w:ascii="arial" w:eastAsia="arial" w:hAnsi="arial" w:cs="arial"/>
          <w:i/>
          <w:color w:val="000000"/>
          <w:sz w:val="20"/>
          <w:lang w:val="en-US" w:eastAsia="en-US" w:bidi="ar-SA"/>
        </w:rPr>
        <w:t>my</w:t>
      </w:r>
      <w:r>
        <w:rPr>
          <w:rFonts w:ascii="arial" w:eastAsia="arial" w:hAnsi="arial" w:cs="arial"/>
          <w:color w:val="000000"/>
          <w:sz w:val="20"/>
          <w:lang w:val="en-US" w:eastAsia="en-US" w:bidi="ar-SA"/>
        </w:rPr>
        <w:t xml:space="preserve"> witness!" [Emphasis added.] In cross-examination, Brian Jones said that he did not recall saying those words but he would not deny that he had interrupted the interview or said those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inconsistencies and apparent poor recollection of Mr. Jones are concerning and undermine the reliability of his evidence. The evidence reveals a casual inattention to exercising his prosecutorial role and responsibilities. I find that he too readily left control of the prosecution, disclosure and decision making to his client, the CRA. In addition, it appears he may not have had a full understanding of this case. In an email to Ms. Hyman Mr. Brian Jones said that he "barely grasp[ed]" the "concepts involved in this particular case, like shareholder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I am not satisfied that his conduct was the result of his status as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agent and his financial dependence on such employment. The plaintiffs relied on materials from the United States respecting the issue and I am not satisfied that the concerns expressed apply to the use of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Crown in British Columbia or to the circumstances of this case. In any event I conclude it has not been established that Mr. Brian Jones pursued the prosecution for such an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xml:space="preserve">  As was noted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high threshold for Crown liability was reiterated in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xml:space="preserve">, where the Court stressed that malice in the form of improper purpose is the key to proving malicious prosecution. In the context of a case against a Crown prosecutor, malice does not include recklessness,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poor judgment. It is only where the conduct of the prosecutor constitutes "an abuse of prosecutorial power", or the perpetuation of "a fraud on the process of criminal justice" that malice can be said to exist (paras. 44 and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In my view it has not been established that Mr. Brian Jones intentionally sought to abuse or distort the role of a Crown prosecutor. This prosecution proceeded on the investigation and reports of Mr. Kendal, and as a result of changes in responsibility for the file at the PPSC as well as Mr. Brian Jones' failure to fulfill all of his obligations respecting the charge approval process, charges were "approved" without the PPSC or Mr. Brian Jones fulfilling their respective prosecutorial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xml:space="preserve">  In addition, while Mr. Brian Jones failed to disclose the 2010 will-say statements of Ms. Ferens or Ms. Ye, and changed his argument during the trial from one based on missing till tapes to one based on missing summary sheets, I do not think that he had an improper motive in doing so, nor that this conduct rose to the level of malice. He struck me as a lawyer, who,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otherwise, gave up control of the prosecution to Mr. Kendal and the CRA and in so doing risked a miscarriage of justice. However, a failure to act properly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lack of understanding of the issues or a failure to properly exercise prosecutorial discretion does not in itself amount to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In summary, I conclude the plaintiffs have not established the necessary element of malice as against Mr. Brian Jones and his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Charter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The plaintiffs submit that Mr. Kendal and the CRA intentionally sought to prosecute and convict the plaintiffs in breach of their rights under s. 7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I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 (U.K.)</w:t>
      </w:r>
      <w:r>
        <w:rPr>
          <w:rFonts w:ascii="arial" w:eastAsia="arial" w:hAnsi="arial" w:cs="arial"/>
          <w:color w:val="000000"/>
          <w:sz w:val="20"/>
          <w:lang w:val="en-US" w:eastAsia="en-US" w:bidi="ar-SA"/>
        </w:rPr>
        <w:t>, 1982, c.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The defendants submit that where s. 7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are made on the same facts as a malicious prosecution claim they stand or fall together: </w:t>
      </w:r>
      <w:r>
        <w:rPr>
          <w:rFonts w:ascii="arial" w:eastAsia="arial" w:hAnsi="arial" w:cs="arial"/>
          <w:i/>
          <w:color w:val="000000"/>
          <w:sz w:val="20"/>
          <w:lang w:val="en-US" w:eastAsia="en-US" w:bidi="ar-SA"/>
        </w:rPr>
        <w:t>Skandarajah v. Canada (Attorney General)</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(2001), 109 A.C.W.S. (3d) 403</w:t>
        </w:r>
      </w:hyperlink>
      <w:r>
        <w:rPr>
          <w:rFonts w:ascii="arial" w:eastAsia="arial" w:hAnsi="arial" w:cs="arial"/>
          <w:color w:val="000000"/>
          <w:sz w:val="20"/>
          <w:lang w:val="en-US" w:eastAsia="en-US" w:bidi="ar-SA"/>
        </w:rPr>
        <w:t xml:space="preserve"> (Ont. Ont. S.C.J.) at para. 33; and </w:t>
      </w:r>
      <w:r>
        <w:rPr>
          <w:rFonts w:ascii="arial" w:eastAsia="arial" w:hAnsi="arial" w:cs="arial"/>
          <w:i/>
          <w:color w:val="000000"/>
          <w:sz w:val="20"/>
          <w:lang w:val="en-US" w:eastAsia="en-US" w:bidi="ar-SA"/>
        </w:rPr>
        <w:t>Oniel v. Toronto (Metropolitan) Police Force</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(1998), 39 W.C.B. (2d) 503</w:t>
        </w:r>
      </w:hyperlink>
      <w:r>
        <w:rPr>
          <w:rFonts w:ascii="arial" w:eastAsia="arial" w:hAnsi="arial" w:cs="arial"/>
          <w:color w:val="000000"/>
          <w:sz w:val="20"/>
          <w:lang w:val="en-US" w:eastAsia="en-US" w:bidi="ar-SA"/>
        </w:rPr>
        <w:t xml:space="preserve"> (Ont. Gen. Div.) at paras. 49 and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Section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Everyone has the right to life, liberty and security of the person and the right not to be deprived thereof except in accordance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The interests protected by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were described by Justice Lamer in </w:t>
      </w:r>
      <w:r>
        <w:rPr>
          <w:rFonts w:ascii="arial" w:eastAsia="arial" w:hAnsi="arial" w:cs="arial"/>
          <w:i/>
          <w:color w:val="000000"/>
          <w:sz w:val="20"/>
          <w:lang w:val="en-US" w:eastAsia="en-US" w:bidi="ar-SA"/>
        </w:rPr>
        <w:t>Reference re ss. 193 and 195.1(1)(c) of the Criminal Code (Man.)</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[1990] 1 S.C.R. 1123</w:t>
        </w:r>
      </w:hyperlink>
      <w:r>
        <w:rPr>
          <w:rFonts w:ascii="arial" w:eastAsia="arial" w:hAnsi="arial" w:cs="arial"/>
          <w:color w:val="000000"/>
          <w:sz w:val="20"/>
          <w:lang w:val="en-US" w:eastAsia="en-US" w:bidi="ar-SA"/>
        </w:rPr>
        <w:t xml:space="preserve"> at pp. 1172-3: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 can deprive individuals of life, liberty and security of the person if it is done in accordance with the principles of fundamental justice. In my view, the principles of fundamental justice can provide an invaluable key to determining the nature of the life, the liberty and the security of the person referred to in s. 7. The principles of fundamental justice are principles that govern the justice system. They determine the means by which one may be brought before or within the justice system, and govern how one may be brought within the system and thereafter the conduct of judges and other actors once the individual is brought within it. Therefore the restrictions on liberty and security of the person that s. 7 is concerned with are those that occur as a result of an individual's interaction with the justice system, and its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Those rights guaranteed by s. 7 are part of broader, more general values which underlie all of the rights guaranteed by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This was stated by the Supreme Court in </w:t>
      </w:r>
      <w:r>
        <w:rPr>
          <w:rFonts w:ascii="arial" w:eastAsia="arial" w:hAnsi="arial" w:cs="arial"/>
          <w:i/>
          <w:color w:val="000000"/>
          <w:sz w:val="20"/>
          <w:lang w:val="en-US" w:eastAsia="en-US" w:bidi="ar-SA"/>
        </w:rPr>
        <w:t>R. v. Oakes</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[1986] 1 S.C.R. 103</w:t>
        </w:r>
      </w:hyperlink>
      <w:r>
        <w:rPr>
          <w:rFonts w:ascii="arial" w:eastAsia="arial" w:hAnsi="arial" w:cs="arial"/>
          <w:color w:val="000000"/>
          <w:sz w:val="20"/>
          <w:lang w:val="en-US" w:eastAsia="en-US" w:bidi="ar-SA"/>
        </w:rPr>
        <w:t xml:space="preserve"> at p. 136: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be guided by the values and principles essential to a free and democratic society which I believe embody, to name but a few, respect for the inherent dignity of the human person, commitment to social justice and equality, accommodation of a wide variety of beliefs, respect for cultural and group identity, and faith in social and political institutions which enhance the participation of individuals and groups in society. The underlying values and principles of a free and democratic society are the genesis of the rights and freedoms guaranteed by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the ultimate standard against which a limit on a right or freedom must be shown, despite its effect, to be reasonable and demonstrably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xml:space="preserve">  In the context of a malicious prosecution, the Court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stated at p. 194: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it should be noted that in many, if not all cases of malicious prosecution by an Attorney General or Crown Attorney, there will have been an infringement of an accused's rights as guaranteed by ss. 7 and 11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xml:space="preserve">  As I have found the CRA initiated the prosecution of the plaintiffs when it was wrongful to do so, their s. 7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have been breached. Mr. Kendal suppressed exculpatory evidence from the defence, and created inculpatory evidence in an effort to secure a conviction. The CRA used the powers of the State in the form of a criminal prosecution to wrongfully and maliciously prosecute the Samaroos.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xml:space="preserve">  The plaintiffs seek special damages of $347,731.74 for out-of-pocket expenses including legal fees to defend themselves against the malicious prosecution, aggravated damages of $500,000 each, punitive damages of $6,000,000 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of $6,000,000. Those sums are premised on findings of malicious prosecution against both the CRA and Mr. Brian Jones and his corporation. As a result their damages claim is a total of $7,347,731.74.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 Relating to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impact of the tax evasion charges and the resulting publicity on the plaintiffs and their children was significant and long lasting.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Their daughter Tricia Miller testified that she grew up in Nanaimo and that the family home was very lively and "joyous" growing up. It was a hub of family activity for their extended family. The charges changed that. She withdrew from people and stopped using the surname Samaroo because of its association with the criminal charges. She said her parents became very quiet and depressed and that her mother showed signs of anxiety. She noted that the restaurant had a special section for RCMP officers and first responders who frequented it but after the charges they stopped coming. Her father ceased working as much and became quiet and reclusive and drank more. She described how the acquittal had no appreciable effect on her parents. Her father has become lethargic, will not socialize and has started chain-smoking. In summary she described the significant negative impact on her parents and the destruction of the life they had built together both in their businesses and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Kevin Samaroo, the plaintiffs' son, confirmed his sister's evidence noting that his father deteriorated and his mother was extremely embarrassed by the charges. He described how the family name despite the acquittals was forever damaged. He described his mother as a shell of who she was before, as she would not go to work and would stay in bed all day as she was too embarrassed to go to work or out in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Helen Samaroo testified that her life was turned upside down by the charges. She felt that others now looked at her differently and she felt embarrassed to go to the restaurant and visit with her customers. She said she had worked hard to build up her reputation as a reputable nightclub operator and felt that the charges had ruined her reputation. She testified that the charges had a significant impact on her husband who became stressed and got quieter and quieter and over time worked less and less and stopped socializing. He had cut down on drinking before the charges but began again after they were laid. She said he was smoking more and had lost weight. She said that the charges had a profound effect on their family life and their house ceased being a hub of family life and became quiet. After the acquittal she had a breakdown and she took to bed for about six months. She said that even with the acquittal she will never feel the same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Tony Samaroo testified that because of the charges he had to spend $347,731.74 for him and his wife and their corporations' legal expenses defending themselves. He testified that he has lost his spirit and his strength. He explained how he used to be very ambitious and worked to grow and expand the businesses. He said that as a result of the charges everything was put on hold. While he had spent years building a good credit rating, after the charges he tried to take out a loan to upgrade the motel but was refused and was told his credit was "shot". He confirmed that his wife has never been the same since the charges and he now feels like a different person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He testified that after the acquittal things did not get better and he does not believe he will ever regain his strength. He spends his days watching TV and no longer socializes. He is drinking and smoking more. He prefers to keep to himself. He and Ms. Samaroo no longer live together.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Law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The defendants refer to a number of cases illustrating the range of damages awarded in malicious prosecution cases, noting that such cases often address general, aggravated and punitive damages. They referred to: </w:t>
      </w:r>
      <w:r>
        <w:rPr>
          <w:rFonts w:ascii="arial" w:eastAsia="arial" w:hAnsi="arial" w:cs="arial"/>
          <w:i/>
          <w:color w:val="000000"/>
          <w:sz w:val="20"/>
          <w:lang w:val="en-US" w:eastAsia="en-US" w:bidi="ar-SA"/>
        </w:rPr>
        <w:t>Simon v. Toronto Police Services Board</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[2002] O.J. No. 5933</w:t>
        </w:r>
      </w:hyperlink>
      <w:r>
        <w:rPr>
          <w:rFonts w:ascii="arial" w:eastAsia="arial" w:hAnsi="arial" w:cs="arial"/>
          <w:color w:val="000000"/>
          <w:sz w:val="20"/>
          <w:lang w:val="en-US" w:eastAsia="en-US" w:bidi="ar-SA"/>
        </w:rPr>
        <w:t xml:space="preserve"> (Ont. S.C.J.); </w:t>
      </w:r>
      <w:r>
        <w:rPr>
          <w:rFonts w:ascii="arial" w:eastAsia="arial" w:hAnsi="arial" w:cs="arial"/>
          <w:i/>
          <w:color w:val="000000"/>
          <w:sz w:val="20"/>
          <w:lang w:val="en-US" w:eastAsia="en-US" w:bidi="ar-SA"/>
        </w:rPr>
        <w:t>Parsons v. Woodfine</w:t>
      </w:r>
      <w:r>
        <w:rPr>
          <w:rFonts w:ascii="arial" w:eastAsia="arial" w:hAnsi="arial" w:cs="arial"/>
          <w:color w:val="000000"/>
          <w:sz w:val="20"/>
          <w:lang w:val="en-US" w:eastAsia="en-US" w:bidi="ar-SA"/>
        </w:rPr>
        <w:t xml:space="preserve"> (2009), 178 A.C.W.S. (3d) (Ont. S.C.J.); </w:t>
      </w:r>
      <w:r>
        <w:rPr>
          <w:rFonts w:ascii="arial" w:eastAsia="arial" w:hAnsi="arial" w:cs="arial"/>
          <w:i/>
          <w:color w:val="000000"/>
          <w:sz w:val="20"/>
          <w:lang w:val="en-US" w:eastAsia="en-US" w:bidi="ar-SA"/>
        </w:rPr>
        <w:t>Griffin v. City of Summerside et al</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2006 PESCTD 15</w:t>
        </w:r>
      </w:hyperlink>
      <w:r>
        <w:rPr>
          <w:rFonts w:ascii="arial" w:eastAsia="arial" w:hAnsi="arial" w:cs="arial"/>
          <w:color w:val="000000"/>
          <w:sz w:val="20"/>
          <w:lang w:val="en-US" w:eastAsia="en-US" w:bidi="ar-SA"/>
        </w:rPr>
        <w:t xml:space="preserve">, aff'd, </w:t>
      </w:r>
      <w:hyperlink r:id="rId782" w:history="1">
        <w:r>
          <w:rPr>
            <w:rFonts w:ascii="arial" w:eastAsia="arial" w:hAnsi="arial" w:cs="arial"/>
            <w:i/>
            <w:color w:val="0077CC"/>
            <w:sz w:val="20"/>
            <w:u w:val="single"/>
            <w:shd w:val="clear" w:color="auto" w:fill="FFFFFF"/>
            <w:lang w:val="en-US" w:eastAsia="en-US" w:bidi="ar-SA"/>
          </w:rPr>
          <w:t>2008 PESCAD 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Johnson v. Coppaway</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2004 CanLII 9755</w:t>
        </w:r>
      </w:hyperlink>
      <w:r>
        <w:rPr>
          <w:rFonts w:ascii="arial" w:eastAsia="arial" w:hAnsi="arial" w:cs="arial"/>
          <w:color w:val="000000"/>
          <w:sz w:val="20"/>
          <w:lang w:val="en-US" w:eastAsia="en-US" w:bidi="ar-SA"/>
        </w:rPr>
        <w:t xml:space="preserve"> (Ont. S.C.J); </w:t>
      </w:r>
      <w:r>
        <w:rPr>
          <w:rFonts w:ascii="arial" w:eastAsia="arial" w:hAnsi="arial" w:cs="arial"/>
          <w:i/>
          <w:color w:val="000000"/>
          <w:sz w:val="20"/>
          <w:lang w:val="en-US" w:eastAsia="en-US" w:bidi="ar-SA"/>
        </w:rPr>
        <w:t>Dix v. Canada (Attorney General)</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2002 ABQB 580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Oniel v. Toronto (Metropolitan) Police Force</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(2001), 102 A.C.W.S. (3d) 832</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Proulx v. Quebec (Attorney-General)</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2001 SCC 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Klein v. Seiferling</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[1999] 10 W.W.R. 554</w:t>
        </w:r>
      </w:hyperlink>
      <w:r>
        <w:rPr>
          <w:rFonts w:ascii="arial" w:eastAsia="arial" w:hAnsi="arial" w:cs="arial"/>
          <w:color w:val="000000"/>
          <w:sz w:val="20"/>
          <w:lang w:val="en-US" w:eastAsia="en-US" w:bidi="ar-SA"/>
        </w:rPr>
        <w:t xml:space="preserve"> (Sask. Q.B.); </w:t>
      </w:r>
      <w:r>
        <w:rPr>
          <w:rFonts w:ascii="arial" w:eastAsia="arial" w:hAnsi="arial" w:cs="arial"/>
          <w:i/>
          <w:color w:val="000000"/>
          <w:sz w:val="20"/>
          <w:lang w:val="en-US" w:eastAsia="en-US" w:bidi="ar-SA"/>
        </w:rPr>
        <w:t>Ferreria v. Marcos</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2015 ONSC 1536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Pearson v. Mian</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(2006), 153 A.C.W.S. (3d) 112</w:t>
        </w:r>
      </w:hyperlink>
      <w:r>
        <w:rPr>
          <w:rFonts w:ascii="arial" w:eastAsia="arial" w:hAnsi="arial" w:cs="arial"/>
          <w:color w:val="000000"/>
          <w:sz w:val="20"/>
          <w:lang w:val="en-US" w:eastAsia="en-US" w:bidi="ar-SA"/>
        </w:rPr>
        <w:t xml:space="preserve"> (Ont. S.C.J.); and </w:t>
      </w:r>
      <w:r>
        <w:rPr>
          <w:rFonts w:ascii="arial" w:eastAsia="arial" w:hAnsi="arial" w:cs="arial"/>
          <w:i/>
          <w:color w:val="000000"/>
          <w:sz w:val="20"/>
          <w:lang w:val="en-US" w:eastAsia="en-US" w:bidi="ar-SA"/>
        </w:rPr>
        <w:t>Fedorowicz v. Pace Marathon Motor Lines Inc</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(2006), 145 A.C.W.S. (3d) 445</w:t>
        </w:r>
      </w:hyperlink>
      <w:r>
        <w:rPr>
          <w:rFonts w:ascii="arial" w:eastAsia="arial" w:hAnsi="arial" w:cs="arial"/>
          <w:color w:val="000000"/>
          <w:sz w:val="20"/>
          <w:lang w:val="en-US" w:eastAsia="en-US" w:bidi="ar-SA"/>
        </w:rPr>
        <w:t xml:space="preserve">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defence relies on these cases to establish what they say are the various ranges of damages in malicious prosecution cases. The range established by these cases for general or aggravated damages is $4,000 to $250,000, with most cases falling between $25,000 and $50,000. For punitive damages the range established by these cases is $5,000 to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In each case, the court made an award of damages based on the specific facts of that case, and none of the cases are factually analogous to the case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defence submits that relevant factors considered in assessing damages include:</w:t>
      </w:r>
      <w:r>
        <w:rPr>
          <w:rFonts w:ascii="arial" w:eastAsia="arial" w:hAnsi="arial" w:cs="arial"/>
          <w:sz w:val="20"/>
          <w:lang w:val="en-US" w:eastAsia="en-US" w:bidi="ar-SA"/>
        </w:rPr>
        <w:cr/>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charges and their seriousness and the social stigma arising;</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charges were known to be false;</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arrested, where it occurred and who was present;</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spent in custody and its effects;</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of the charges on the mental state of the plaintiff;</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widely information about the charges was publicized;</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charges were disposed of by stay or acquittal and the length of time those charges were outstanding without reasonable and probable cause;</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 of the charges on the accused's family, work and social relationships;</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amounts awarded under different heads of damage; and</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defendant towards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 defendants submit that the relevant factors to be applied in assessing damages for each plaintiff in this case are therefore:</w:t>
      </w:r>
      <w:r>
        <w:rPr>
          <w:rFonts w:ascii="arial" w:eastAsia="arial" w:hAnsi="arial" w:cs="arial"/>
          <w:sz w:val="20"/>
          <w:lang w:val="en-US" w:eastAsia="en-US" w:bidi="ar-SA"/>
        </w:rPr>
        <w:cr/>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Tax evasion charges, while serious, do not carry the social stigma that violent offences do;</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were not arrested;</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did not spend any time in custody;</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from the laying of charges to acquittal was about 35 months, however depending on the findings of the court as to when the malicious prosecution arose, this time frame may be shorter;</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fact that the plaintiffs were charged was publicized, so was their acquittal;</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allegations that the information in the Prosecution Report about the differences in income between the pre- and post-audit period was false;</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allegations that the information in the Prosecution Report that cash used and deposited by the plaintiffs did not come from bank accounts or shareholder repayments by the companies was false;</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allegations that the information given by Mr. Samaroo at the trial as to the source of cash funds was known to any of the defendants beyond his statement, provided by himself and his representatives, that he had historic savings;</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 defendants were aware that Mr. Samaroo and Ms. Ye had an affair before that information came out in cross-examination at trial (this factor related to Ms. Ye's credibility as assessed by the Provincial Court Judge);</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did not affect the plaintiffs' ability to continue their businesses; and</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of express malice towards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The plaintiffs, for their part, rely on the following cases respecting the award of damages sought (among others):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Arsenovski v. Bodin</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2016 BCSC 359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2016 BCSC 1038</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the Supreme Court awarded $300,000 in general damages, $500,000 for aggravated damages, and $800,000 for punitive damages. In </w:t>
      </w:r>
      <w:r>
        <w:rPr>
          <w:rFonts w:ascii="arial" w:eastAsia="arial" w:hAnsi="arial" w:cs="arial"/>
          <w:i/>
          <w:color w:val="000000"/>
          <w:sz w:val="20"/>
          <w:lang w:val="en-US" w:eastAsia="en-US" w:bidi="ar-SA"/>
        </w:rPr>
        <w:t>Arsenovski</w:t>
      </w:r>
      <w:r>
        <w:rPr>
          <w:rFonts w:ascii="arial" w:eastAsia="arial" w:hAnsi="arial" w:cs="arial"/>
          <w:color w:val="000000"/>
          <w:sz w:val="20"/>
          <w:lang w:val="en-US" w:eastAsia="en-US" w:bidi="ar-SA"/>
        </w:rPr>
        <w:t xml:space="preserve">, the plaintiff was awarded $30,000 in general damages and $350,000 in punitive damages against ICBC. In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the court awarded $530,000 in compensatory damages pursuant to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and $7,500,000 to address the vindication and deterrence functions of a s. 24(1) damages remedy.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Special damages are pecuniary damages designed to compensate a plaintiff for their out-of-pocket expenses. In </w:t>
      </w:r>
      <w:r>
        <w:rPr>
          <w:rFonts w:ascii="arial" w:eastAsia="arial" w:hAnsi="arial" w:cs="arial"/>
          <w:i/>
          <w:color w:val="000000"/>
          <w:sz w:val="20"/>
          <w:lang w:val="en-US" w:eastAsia="en-US" w:bidi="ar-SA"/>
        </w:rPr>
        <w:t>Arsenovski</w:t>
      </w:r>
      <w:r>
        <w:rPr>
          <w:rFonts w:ascii="arial" w:eastAsia="arial" w:hAnsi="arial" w:cs="arial"/>
          <w:color w:val="000000"/>
          <w:sz w:val="20"/>
          <w:lang w:val="en-US" w:eastAsia="en-US" w:bidi="ar-SA"/>
        </w:rPr>
        <w:t>, Justice Griffin, as she then was, awarded the plaintiff her legal fees and disbursements arising from defending herself in the criminal case (para. 362).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Although initially in dispute the defence conceded the legal fees billed related to the criminal defence. The legal fees and disbursements of the plaintiffs expended in defending themselves on the tax evasion trial totalled $347,731.74. The plaintiffs are entitled to special damages in that sum against the CRA.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General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Pearson</w:t>
      </w:r>
      <w:r>
        <w:rPr>
          <w:rFonts w:ascii="arial" w:eastAsia="arial" w:hAnsi="arial" w:cs="arial"/>
          <w:color w:val="000000"/>
          <w:sz w:val="20"/>
          <w:lang w:val="en-US" w:eastAsia="en-US" w:bidi="ar-SA"/>
        </w:rPr>
        <w:t>, referred to by the defendants above, the court assessed damages on an award for malicious prosecution of a police officer. The officer sought damages for emotional shock and distress, damages to his dignity, reputation and emotional injury and for the risk of imprisonment because of the false accusations made against him. The court thus considered general damages in the context of a malicious prosecution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Three heads of general damages for malicious prosecution were established by Holt C.J. in the case of </w:t>
      </w:r>
      <w:r>
        <w:rPr>
          <w:rFonts w:ascii="arial" w:eastAsia="arial" w:hAnsi="arial" w:cs="arial"/>
          <w:i/>
          <w:color w:val="000000"/>
          <w:sz w:val="20"/>
          <w:lang w:val="en-US" w:eastAsia="en-US" w:bidi="ar-SA"/>
        </w:rPr>
        <w:t>Savill v. Robert</w:t>
      </w:r>
      <w:r>
        <w:rPr>
          <w:rFonts w:ascii="arial" w:eastAsia="arial" w:hAnsi="arial" w:cs="arial"/>
          <w:color w:val="000000"/>
          <w:sz w:val="20"/>
          <w:lang w:val="en-US" w:eastAsia="en-US" w:bidi="ar-SA"/>
        </w:rPr>
        <w:t xml:space="preserve"> (1698), 1 Ld. Raym. 374 at 378; 91 E.R. 1147 at 1149. They are:</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to a person's "good name, fame, credit and esteem";</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to the person which include an emotional reaction to the prosecution and the risks attendant thereto; and</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to property, which generally refers to financial loss due to mounting a defense or loss of earnings.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General damages for malicious prosecution are awarded in a manner similar to general damages for defamation. Where a case of malicious prosecution is established, those who advance the malicious prosecution are liable for compensation for the moral damage caused both by the false charge and by the false arrest, in addition to compensation for the Plaintiff's monetary losses.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appropriate quantum for general damages must be determined on its own merits by taking into account the particular facts of each case. For the purpose of determining the appropriate measure of damages based on these particular facts, I have reviewed other cases where a Plaintiff has successfully sued for malicious prosecution and compared the harm suffered by the plaintiffs in those cases, with the facts in the case at hand.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Mr. Danson suggested that the damages awarded in this case should be comparable to the damages jury awarded by the jury to Casey Hill (as he then was) in </w:t>
      </w:r>
      <w:r>
        <w:rPr>
          <w:rFonts w:ascii="arial" w:eastAsia="arial" w:hAnsi="arial" w:cs="arial"/>
          <w:i/>
          <w:color w:val="000000"/>
          <w:sz w:val="20"/>
          <w:lang w:val="en-US" w:eastAsia="en-US" w:bidi="ar-SA"/>
        </w:rPr>
        <w:t>Hill v. Church of Scientology</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as, in his view, this allegation of police brutality motivated by racial hatred was "as bad as it gets".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 do not agree. The materials facts in the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case are distinctly different from the facts in this case, and entirely distinguishable.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 allegation in the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case was that a young Crown attorney had mislead a judge and had participated in or aided and abetted others in the opening and inspection of documents which, to his knowledge, were to remain sealed.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In the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case, long before he gave evidence to the OPP in connection with the matters in issue, Scientology kept a file on Hill and had labelled him "Enemy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A press conference was held on the court house steps. The CFTO broadcast was seen by approximately 132,000 people. The CBC broadcast was seen by approximately 118,000 people. Approximately 108,000 copies of a Globe and Mail article were circulated. All repeated the allegations.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Even after contempt charges against Hill were dismissed, Scientology moved to disqualify Hill, suggesting that he would use his position to further his private interest. Scientology continued its attack throughout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At paragraph 184, Cory J., for the majority held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and applying the factors pertaining to general damages in this case, it will be remembered that the reports in the press were widely circulated and the television broadcast had a wide coverage. The setting and the persons involved gave the coverage an aura of credibility and significance that must have influenced all who saw and read the accounts. The insidious harm of the orchestrated libel was indeed spread widely throughout the community.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The jury granted a large award for general damages because of the wide dissemination of the false information and the fact that despite their knowledge of its falsity, the appellants continued to publish the libel. As stated by Cory J. at paragraph 187, "This particular case is in a class by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In </w:t>
      </w:r>
      <w:r>
        <w:rPr>
          <w:rFonts w:ascii="arial" w:eastAsia="arial" w:hAnsi="arial" w:cs="arial"/>
          <w:i/>
          <w:color w:val="000000"/>
          <w:sz w:val="20"/>
          <w:lang w:val="en-US" w:eastAsia="en-US" w:bidi="ar-SA"/>
        </w:rPr>
        <w:t>Botiuk v. Toronto Free Press Publications Ltd</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[1995] S.C.J. No. 69</w:t>
        </w:r>
      </w:hyperlink>
      <w:r>
        <w:rPr>
          <w:rFonts w:ascii="arial" w:eastAsia="arial" w:hAnsi="arial" w:cs="arial"/>
          <w:color w:val="000000"/>
          <w:sz w:val="20"/>
          <w:lang w:val="en-US" w:eastAsia="en-US" w:bidi="ar-SA"/>
        </w:rPr>
        <w:t xml:space="preserve"> (S.C.C.), on the other hand, the Supreme Court of Canada upheld an award of combined general, aggravated and present value future pecuniary loss in the amount of $140,000 where a lawyer had reached "a high pinnacle of success" and the attack upon his reputation had severely damaged his health, family relationships, practice, professional and business connections, and social life. The trial judge found Botiuk had been known for twelve years and would be known for many years yet, as "the lawyer who took or kept $10,000 from that community".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In the trial judgment of </w:t>
      </w:r>
      <w:r>
        <w:rPr>
          <w:rFonts w:ascii="arial" w:eastAsia="arial" w:hAnsi="arial" w:cs="arial"/>
          <w:i/>
          <w:color w:val="000000"/>
          <w:sz w:val="20"/>
          <w:lang w:val="en-US" w:eastAsia="en-US" w:bidi="ar-SA"/>
        </w:rPr>
        <w:t>Proulx c. Quebec (Procureur général)</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[1997] R.J.Q. 2516</w:t>
        </w:r>
      </w:hyperlink>
      <w:r>
        <w:rPr>
          <w:rFonts w:ascii="arial" w:eastAsia="arial" w:hAnsi="arial" w:cs="arial"/>
          <w:color w:val="000000"/>
          <w:sz w:val="20"/>
          <w:lang w:val="en-US" w:eastAsia="en-US" w:bidi="ar-SA"/>
        </w:rPr>
        <w:t xml:space="preserve"> (C.S. Que), Letarte J. awarded general damages of $250,000.00 (which were ultimately affirmed by the Supreme Court of Canada). In that case, the Plaintiff was a high profile broadcaster whose present and future career were ruined.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In </w:t>
      </w:r>
      <w:r>
        <w:rPr>
          <w:rFonts w:ascii="arial" w:eastAsia="arial" w:hAnsi="arial" w:cs="arial"/>
          <w:i/>
          <w:color w:val="000000"/>
          <w:sz w:val="20"/>
          <w:lang w:val="en-US" w:eastAsia="en-US" w:bidi="ar-SA"/>
        </w:rPr>
        <w:t>Naseiro v. Creighton</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[1999] O.J. No. 1549</w:t>
        </w:r>
      </w:hyperlink>
      <w:r>
        <w:rPr>
          <w:rFonts w:ascii="arial" w:eastAsia="arial" w:hAnsi="arial" w:cs="arial"/>
          <w:color w:val="000000"/>
          <w:sz w:val="20"/>
          <w:lang w:val="en-US" w:eastAsia="en-US" w:bidi="ar-SA"/>
        </w:rPr>
        <w:t xml:space="preserve"> (Ont. Gen. Div.) criminal charges were laid against a bookkeeper by her clients. The charges alleged that she had taken client records and threatened to destroy them unless she was paid. Naseiro spent three days in jail before she could arrange bail. The defendants ultimately withdrew the charges four months later. In that case, Sachs J. awarded $25,000 damages for malicious prosecution.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In </w:t>
      </w:r>
      <w:r>
        <w:rPr>
          <w:rFonts w:ascii="arial" w:eastAsia="arial" w:hAnsi="arial" w:cs="arial"/>
          <w:i/>
          <w:color w:val="000000"/>
          <w:sz w:val="20"/>
          <w:lang w:val="en-US" w:eastAsia="en-US" w:bidi="ar-SA"/>
        </w:rPr>
        <w:t>McTaggart v. Ontario</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[2000] O.J. No. 4766</w:t>
        </w:r>
      </w:hyperlink>
      <w:r>
        <w:rPr>
          <w:rFonts w:ascii="arial" w:eastAsia="arial" w:hAnsi="arial" w:cs="arial"/>
          <w:color w:val="000000"/>
          <w:sz w:val="20"/>
          <w:lang w:val="en-US" w:eastAsia="en-US" w:bidi="ar-SA"/>
        </w:rPr>
        <w:t xml:space="preserve"> (Ont. S.C.J.), the Plaintiff was jailed for 20 months after having been wrongfully convicted of robbery. General damages of $150,000.00 were awarded for breach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along with an additional $20,000.00 in punitive damages. In that case, the Plaintiff called expert psychiatric evidence which established that he was suffering from post-traumatic stress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In </w:t>
      </w:r>
      <w:r>
        <w:rPr>
          <w:rFonts w:ascii="arial" w:eastAsia="arial" w:hAnsi="arial" w:cs="arial"/>
          <w:i/>
          <w:color w:val="000000"/>
          <w:sz w:val="20"/>
          <w:lang w:val="en-US" w:eastAsia="en-US" w:bidi="ar-SA"/>
        </w:rPr>
        <w:t>Klein v. Seiferling</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[1999] 10 W.W.R. 554</w:t>
        </w:r>
      </w:hyperlink>
      <w:r>
        <w:rPr>
          <w:rFonts w:ascii="arial" w:eastAsia="arial" w:hAnsi="arial" w:cs="arial"/>
          <w:color w:val="000000"/>
          <w:sz w:val="20"/>
          <w:lang w:val="en-US" w:eastAsia="en-US" w:bidi="ar-SA"/>
        </w:rPr>
        <w:t xml:space="preserve"> (Sask. Q.B.), four plaintiffs were wrongfully charged with second degree murder. The plaintiffs were in custody for approximately two weeks. The charges were stayed. The Court determined that all of the plaintiffs suffered humiliation, loss of liberty, confinement, mental anguish, stress, and loss of reputation. In this 1999 decision, the plaintiffs were awarded general damages of $50,000.00, $35,000.00, $30,000.00, and $25,000.00, based on the degree of suffering experienced.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In </w:t>
      </w:r>
      <w:r>
        <w:rPr>
          <w:rFonts w:ascii="arial" w:eastAsia="arial" w:hAnsi="arial" w:cs="arial"/>
          <w:i/>
          <w:color w:val="000000"/>
          <w:sz w:val="20"/>
          <w:lang w:val="en-US" w:eastAsia="en-US" w:bidi="ar-SA"/>
        </w:rPr>
        <w:t>Fedorowicz v. Pace Marathon Motor Lines Inc.</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[2006] O.J. No. 344</w:t>
        </w:r>
      </w:hyperlink>
      <w:r>
        <w:rPr>
          <w:rFonts w:ascii="arial" w:eastAsia="arial" w:hAnsi="arial" w:cs="arial"/>
          <w:color w:val="000000"/>
          <w:sz w:val="20"/>
          <w:lang w:val="en-US" w:eastAsia="en-US" w:bidi="ar-SA"/>
        </w:rPr>
        <w:t xml:space="preserve"> (Ont. S.C.J.), Ms. Fedorowicz was charged with a serious criminal offence. The Crown indicated to her that on conviction it would be seeking a custodial sentence unless there was a guilty plea. The criminal charges caused Ms. Fedorowicz' existing condition to regress. These charges were held to be particularly damaging to her name and reputation. The charges remained outstanding for approximately 22 months. The charges went directly to her integrity, reputation and ability to work as a bookkeeper. In that case, she was awarded damages for malicious prosecution in the amount of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Aggravated damages address the intangible losses suffered by a party. As such they are a form of non-pecuniary damages. They compensate for the effect of the defendant's conduct on the aggrieved party: </w:t>
      </w:r>
      <w:r>
        <w:rPr>
          <w:rFonts w:ascii="arial" w:eastAsia="arial" w:hAnsi="arial" w:cs="arial"/>
          <w:i/>
          <w:color w:val="000000"/>
          <w:sz w:val="20"/>
          <w:lang w:val="en-US" w:eastAsia="en-US" w:bidi="ar-SA"/>
        </w:rPr>
        <w:t>Vorvis v. Insurance Corp. of British Columbia</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at 1099.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In the context of an intentional tort the Ontario Court of Appeal in </w:t>
      </w:r>
      <w:r>
        <w:rPr>
          <w:rFonts w:ascii="arial" w:eastAsia="arial" w:hAnsi="arial" w:cs="arial"/>
          <w:i/>
          <w:color w:val="000000"/>
          <w:sz w:val="20"/>
          <w:lang w:val="en-US" w:eastAsia="en-US" w:bidi="ar-SA"/>
        </w:rPr>
        <w:t>Weingerl. v. Seo</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(2005), 140 A.C.W.S. (3d) 400</w:t>
        </w:r>
      </w:hyperlink>
      <w:r>
        <w:rPr>
          <w:rFonts w:ascii="arial" w:eastAsia="arial" w:hAnsi="arial" w:cs="arial"/>
          <w:color w:val="000000"/>
          <w:sz w:val="20"/>
          <w:lang w:val="en-US" w:eastAsia="en-US" w:bidi="ar-SA"/>
        </w:rPr>
        <w:t xml:space="preserve"> (Ont. C.A.), said this at para.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 The purpose of aggravated damages, in cases of intentional torts, is to compensate the plaintiff for humiliating, oppressive, and malicious aspects of the defendant's conduct which aggravate the plaintiff's suffering.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Such damages may be awarded where the defendant's conduct is high-handed or oppressive.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[188] Aggravated damages may be awarded in circumstances where the defendants' conduct has been particularly high-handed or oppressive, thereby increasing the plaintiff's humiliation and anxiety arising from the libellous statement. The nature of these damages was aptly described by Robins J.A. in </w:t>
      </w:r>
      <w:r>
        <w:rPr>
          <w:rFonts w:ascii="arial" w:eastAsia="arial" w:hAnsi="arial" w:cs="arial"/>
          <w:i/>
          <w:color w:val="000000"/>
          <w:sz w:val="20"/>
          <w:lang w:val="en-US" w:eastAsia="en-US" w:bidi="ar-SA"/>
        </w:rPr>
        <w:t>Walker v. CFTO Ltd.</w:t>
      </w:r>
      <w:r>
        <w:rPr>
          <w:rFonts w:ascii="arial" w:eastAsia="arial" w:hAnsi="arial" w:cs="arial"/>
          <w:color w:val="000000"/>
          <w:sz w:val="20"/>
          <w:lang w:val="en-US" w:eastAsia="en-US" w:bidi="ar-SA"/>
        </w:rPr>
        <w:t>, supra, in these words at p. 111: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defendant is guilty of insulting, high-handed, spiteful, malicious or oppressive conduct which increases the mental distress -- the humiliation, indignation, anxiety, grief, fear and the like -- suffered by the plaintiff as a result of being defamed, the plaintiff may be entitled to what has come to be known as "aggravated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[189] These damages take into account the additional harm caused to the plaintiff's feelings by the defendant's outrageous and malicious conduct. Like general or special damages, they are compensatory in nature. Their assessment requires consideration by the jury of the entire conduct of the defendant prior to the publication of the libel and continuing through to the conclusion of the trial. They represent the expression of natural indignation of right-thinking people arising from the malicious conduct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Bob v. Bellerose</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2003 BCCA 371</w:t>
        </w:r>
      </w:hyperlink>
      <w:r>
        <w:rPr>
          <w:rFonts w:ascii="arial" w:eastAsia="arial" w:hAnsi="arial" w:cs="arial"/>
          <w:color w:val="000000"/>
          <w:sz w:val="20"/>
          <w:lang w:val="en-US" w:eastAsia="en-US" w:bidi="ar-SA"/>
        </w:rPr>
        <w:t>, aggravated damages were described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Lord Devlin explained the concept of aggravated damages in </w:t>
      </w:r>
      <w:r>
        <w:rPr>
          <w:rFonts w:ascii="arial" w:eastAsia="arial" w:hAnsi="arial" w:cs="arial"/>
          <w:i/>
          <w:color w:val="000000"/>
          <w:sz w:val="20"/>
          <w:lang w:val="en-US" w:eastAsia="en-US" w:bidi="ar-SA"/>
        </w:rPr>
        <w:t>Rookes v. Barnard</w:t>
      </w:r>
      <w:r>
        <w:rPr>
          <w:rFonts w:ascii="arial" w:eastAsia="arial" w:hAnsi="arial" w:cs="arial"/>
          <w:color w:val="000000"/>
          <w:sz w:val="20"/>
          <w:lang w:val="en-US" w:eastAsia="en-US" w:bidi="ar-SA"/>
        </w:rPr>
        <w:t>, [1964] 1 All E.R. 367 (H.L.) at 407: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very well established that in cases where the damages are at large the jury (or the judge if the award is left to him) can take into account the motives and conduct of the defendant where they aggravate the injury done to the plaintiff. There may be malevolence or spite or the manner of committing the wrong may be such as to injure the plaintiff's proper feelings of dignity and pride. These are matters which the jury can take into account in assessing the appropriate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Pearson</w:t>
      </w:r>
      <w:r>
        <w:rPr>
          <w:rFonts w:ascii="arial" w:eastAsia="arial" w:hAnsi="arial" w:cs="arial"/>
          <w:color w:val="000000"/>
          <w:sz w:val="20"/>
          <w:lang w:val="en-US" w:eastAsia="en-US" w:bidi="ar-SA"/>
        </w:rPr>
        <w:t xml:space="preserve"> the court said this respecting aggravated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Aggravated damages are rarely awarded in cases of malicious prosecution. As stated by the Supreme Court of Canada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at paragraph 190: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aggravated damages are to be awarded, there must be a finding that the defendant was motivated by actual malice, which increased the injury to the plaintiff, either by spreading further afield the damage to the reputation of the plaintiff, or by increasing the mental distress and humiliation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general nature of aggravated damages has been described in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(1991), 51 B.C.L.R. (2d) 282</w:t>
        </w:r>
      </w:hyperlink>
      <w:r>
        <w:rPr>
          <w:rFonts w:ascii="arial" w:eastAsia="arial" w:hAnsi="arial" w:cs="arial"/>
          <w:color w:val="000000"/>
          <w:sz w:val="20"/>
          <w:lang w:val="en-US" w:eastAsia="en-US" w:bidi="ar-SA"/>
        </w:rPr>
        <w:t xml:space="preserve"> at 299-300 (C.A.), in the following terms (at paras. 299 and 300):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[A]ggravated damages are an award, or an augmentation of an award, of compensatory damages for non-pecuniary losses. They are designed to compensate the plaintiff, and they are measured by the plaintiff's suffering. Such intangible elements as pain, anguish, grief, humiliation, wounded pride, damaged self-confidence or self-esteem, loss of faith in friends or colleagues, and similar matters that are caused by the conduct of the defendant; that are of the type that the defendant should reasonably have foreseen in tort cases or had in contemplation in contract cases; that cannot be said to be fully compensated for in an award for pecuniary losses; and that are sufficiently significant in depth, or duration, or both, that they represent a significant influence on the plaintiff's life, can properly be the basis for the making of an award for non-pecuniary losses or for the augmentation of such an award. An award of that kind is frequently referred to as aggravated damages. It is, of course, not the damages that are aggravated but the injury. The damage award is for aggravation of the injury by the defendant's highhanded conduct.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The plaintiffs as noted seek $500,000 each for aggravated damages. In support they rely on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where in 1995 the court awarded that sum to the plaintiff for aggravated damages, additional to $300,000 in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the professional and personal reputation of a Crown attorney was attacked. In this case the business and personal reputations of the plaintiffs were attacked. In the case at bar the conduct of the defendant CRA forms the basis for and justifies an award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prosecution has irrevocably damaged the reputation of the plaintiffs. It brought to an end their desire and ability to pursue further development and growth of their businesses. It significantly strained their family life and while there were other issues between the plaintiffs such as certain human rights complaints against Mr. Samaroo, food labelling violations, tax appeal proceedings and Ms. Samaroo's personal health issues as well as Mr. Samaroo's affair with Ms. Ye, I am satisfied that such matters were relatively minor in comparison to the devastation wrought by the prosecution in this case. The plaintiffs are entitled to substantial compensation for their suffering with respect to their humiliation, loss of self-confidence, loss of self-esteem, stress, damage to their reputations and the like and the impact that has had on their business and personal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The defendants argue that the range for general or aggravated damages in malicious prosecution cases is $25,000 to $75,000, and this case belongs in the lower end of that range. The award ordered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however undermines that assertion of such a range. What is clear for each of the cases cited by the parties is that each case is unique and is to be assessed on its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xml:space="preserve">  The prosecution of the plaintiffs has had a devastating impact on their lives both personally and financially. The tax prosecution irreparably harmed their reputations. In </w:t>
      </w:r>
      <w:r>
        <w:rPr>
          <w:rFonts w:ascii="arial" w:eastAsia="arial" w:hAnsi="arial" w:cs="arial"/>
          <w:i/>
          <w:color w:val="000000"/>
          <w:sz w:val="20"/>
          <w:lang w:val="en-US" w:eastAsia="en-US" w:bidi="ar-SA"/>
        </w:rPr>
        <w:t>Arsenovski</w:t>
      </w:r>
      <w:r>
        <w:rPr>
          <w:rFonts w:ascii="arial" w:eastAsia="arial" w:hAnsi="arial" w:cs="arial"/>
          <w:color w:val="000000"/>
          <w:sz w:val="20"/>
          <w:lang w:val="en-US" w:eastAsia="en-US" w:bidi="ar-SA"/>
        </w:rPr>
        <w:t xml:space="preserve"> Justice Griffin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[365] Even after a stay of proceedings, it is commonly assumed that "where there's smoke, there's fire". A wrongly prosecuted person's emotional injuries can continue past the disposal of the criminal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 am satisfied that both of the plaintiffs have suffered emotionally from the tax prosecution and continue to suffer. While there may be some public vindication as a result of this decision that is unlikely to dispel the profound impact of the prosecution on them, an impact that they will likely never completely recover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While the plaintiffs were not arrested or held in jail the charges were publicized in their community. Their businesses lost clientele. Their lives were disrupted and the impact on them was significant. The prosecution proceedings extended over a period of 35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 am satisfied that an award of aggravated damages of $300,000 to each of the plaintiffs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xml:space="preserve">  Punitive damages as the name indicates have the purpose of punishing a defendant rather than compensating a plaintiff. As described by the Supreme Court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at para. 36, citing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196, they may be awarded against a defendant "in exceptional cases for 'malicious, oppressive and high-handed' misconduct that 'offends the court's sense of decency.'" This test "thus limits the award to misconduct that represents a marked departure from ordinary standards of decent behaviour"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also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xml:space="preserve">  Such damages relate to the level of blameworthiness and are governed by the concept of proportionality. In </w:t>
      </w:r>
      <w:r>
        <w:rPr>
          <w:rFonts w:ascii="arial" w:eastAsia="arial" w:hAnsi="arial" w:cs="arial"/>
          <w:i/>
          <w:color w:val="000000"/>
          <w:sz w:val="20"/>
          <w:lang w:val="en-US" w:eastAsia="en-US" w:bidi="ar-SA"/>
        </w:rPr>
        <w:t>Kelly v. Norsemont Mining Inc.</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2013 BCSC 147</w:t>
        </w:r>
      </w:hyperlink>
      <w:r>
        <w:rPr>
          <w:rFonts w:ascii="arial" w:eastAsia="arial" w:hAnsi="arial" w:cs="arial"/>
          <w:color w:val="000000"/>
          <w:sz w:val="20"/>
          <w:lang w:val="en-US" w:eastAsia="en-US" w:bidi="ar-SA"/>
        </w:rPr>
        <w:t>, Justice Fenlon, as she then was,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[130] The governing rule in determining the appropriate quantum of punitive damages is </w:t>
      </w:r>
      <w:r>
        <w:rPr>
          <w:rFonts w:ascii="arial" w:eastAsia="arial" w:hAnsi="arial" w:cs="arial"/>
          <w:i/>
          <w:color w:val="000000"/>
          <w:sz w:val="20"/>
          <w:lang w:val="en-US" w:eastAsia="en-US" w:bidi="ar-SA"/>
        </w:rPr>
        <w:t>proportionality</w:t>
      </w:r>
      <w:r>
        <w:rPr>
          <w:rFonts w:ascii="arial" w:eastAsia="arial" w:hAnsi="arial" w:cs="arial"/>
          <w:color w:val="000000"/>
          <w:sz w:val="20"/>
          <w:lang w:val="en-US" w:eastAsia="en-US" w:bidi="ar-SA"/>
        </w:rPr>
        <w:t xml:space="preserve">. The overall award,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compensatory damages plus punitive damages plus any other punishment related to the same misconduct, should be rationally related to the objectives for which the punitive damages are awarded (retribution, deterrence and denunciation):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at para. 74.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[131] Proportionality in punitive damages has six dimensions, which were set out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at paras. 111-126 and reviewed by the Alberta Court of Appeal in </w:t>
      </w:r>
      <w:r>
        <w:rPr>
          <w:rFonts w:ascii="arial" w:eastAsia="arial" w:hAnsi="arial" w:cs="arial"/>
          <w:i/>
          <w:color w:val="000000"/>
          <w:sz w:val="20"/>
          <w:lang w:val="en-US" w:eastAsia="en-US" w:bidi="ar-SA"/>
        </w:rPr>
        <w:t>Elgert v. Home Hardware Stores Ltd.</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2011 ABCA 112</w:t>
        </w:r>
      </w:hyperlink>
      <w:r>
        <w:rPr>
          <w:rFonts w:ascii="arial" w:eastAsia="arial" w:hAnsi="arial" w:cs="arial"/>
          <w:color w:val="000000"/>
          <w:sz w:val="20"/>
          <w:lang w:val="en-US" w:eastAsia="en-US" w:bidi="ar-SA"/>
        </w:rPr>
        <w:t xml:space="preserve"> at para. 82, </w:t>
      </w:r>
      <w:hyperlink r:id="rId802" w:history="1">
        <w:r>
          <w:rPr>
            <w:rFonts w:ascii="arial" w:eastAsia="arial" w:hAnsi="arial" w:cs="arial"/>
            <w:i/>
            <w:color w:val="0077CC"/>
            <w:sz w:val="20"/>
            <w:u w:val="single"/>
            <w:shd w:val="clear" w:color="auto" w:fill="FFFFFF"/>
            <w:lang w:val="en-US" w:eastAsia="en-US" w:bidi="ar-SA"/>
          </w:rPr>
          <w:t>510 A.R. 1</w:t>
        </w:r>
      </w:hyperlink>
      <w:r>
        <w:rPr>
          <w:rFonts w:ascii="arial" w:eastAsia="arial" w:hAnsi="arial" w:cs="arial"/>
          <w:color w:val="000000"/>
          <w:sz w:val="20"/>
          <w:lang w:val="en-US" w:eastAsia="en-US" w:bidi="ar-SA"/>
        </w:rPr>
        <w:t>. The award of punitive damages must be:</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Proportionate to the blameworthiness of the defendant's conduct -- the more reprehensible the conduct, the higher the rational limits of the potential award. Factors include outrageous conduct for a lengthy period of time without any rational justification, the defendant's awareness of the hardship it knew it was inflicting, whether the misconduct was planned and deliberate, the intent and motive of the defendant, whether the defendant concealed or attempted to cover up its misconduct, whether the defendant profited from its misconduct, and whether the interest violated by the misconduct was known to be deeply personal to the plaintiff.</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Proportionate to the degree of vulnerability of the plaintiff -- the financial or other vulnerability of the plaintiff, and the consequent abuse of power by a defendant, is highly relevant where there is a power imbalance.</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Proportionate to the harm or potential harm directed specifically at the plaintiff.</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Proportionate to the need for deterrence -- a defendant's financial power may become relevant if the defendant chooses to argue financial hardship, or it is directly relevant to the defendant's misconduct, or other circumstances where it may rationally be concluded that a lesser award against a moneyed defendant would fail to achieve deterrence.</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Proportionate, even after taking into account the other penalties, both civil and criminal, which have been or are likely to be inflicted on the defendant for the same misconduct -- compensatory damages also punish and may be all the "punishment" required.</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Proportionate to the advantage wrongfully gained by a defendant from the misconduct.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Also, as stated by the Supreme Court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the following considerations are relevant to this matter: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[114] The financial or other vulnerability of the plaintiff, and the consequent abuse of power by a defendant, is highly relevant where there is a power imbalance. In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for example, speaking of a physician who had used his access to drugs to purchase sex from a female patient, McLachlin J. (as she then was) stated, at p. 276: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Society has an abiding interest in ensuring that the power entrusted to physicians by us, both collectively and individually, not be used in corrupt ways.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similar point was made by Laskin J.A. in the present case (at p. 659):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[V]indicating the goal of deterrence is especially important in first party insurance cases. Insurers annually deal with thousands and thousands of claims by their insureds. A significant award was needed to deter Pilot and other insurers from exploiting the vulnerability of insureds, who are entirely dependent on their insurers when disaster strikes.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 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[116] Second, it must be kept in mind that punitive damages are not compensatory. Thus the appellant's pleading of emotional distress in this case is only relevant insofar as it helps to assess the oppressive character of the respondent's conduct. Aggravated damages are the proper vehicle to take into account the additional harm caused to the plaintiff's feelings by reprehensible or outrageous conduct on the part of the defendant. Otherwise there is a danger of "double recovery" for the plaintiff's emotional stress, once under the heading of compensation and secondly under the heading of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Arsenovski</w:t>
      </w:r>
      <w:r>
        <w:rPr>
          <w:rFonts w:ascii="arial" w:eastAsia="arial" w:hAnsi="arial" w:cs="arial"/>
          <w:color w:val="000000"/>
          <w:sz w:val="20"/>
          <w:lang w:val="en-US" w:eastAsia="en-US" w:bidi="ar-SA"/>
        </w:rPr>
        <w:t xml:space="preserve"> a recent immigrant to Canada and her husband were involved in a motor vehicle accident in which they were struck as pedestrians. Ms. Arsenovski initiated a personal injury claim with ICBC, and she was subsequently unsuccessfully prosecuted for allegedly making a false statement in support of it. The prosecution arose from a staff member at ICBC essentially inventing the allegation. Ms. Arsenovski succeeded in her malicious prosecution claim. Justice Griffin provided a useful review of the law relating to punitive damages awards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[397] In setting an appropriate amount of punitive damages, it is very difficult to find and compare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[398] Generally speaking, the courts are not hesitant to make significant awards when someone's professional reputation is damaged by reprehensible conduct, as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the prosecutor who was maliciously defamed by the defendants was awarded $300,000 general damages; $500,000 aggravated damages; and $800,000 punitive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[399] Enormous harm can be done by falsely accusing a person of dishonesty, as it strikes at the very heart and dignity of a person. Mrs. Arsenovski expressed it well: it hurt her in her heart and soul.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[400]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the Court provided a historical review of the significance of false accusations of dishonesty, including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[107] ... Yet, to most people, their good reputation is to be cherished above all. A good reputation is closely related to the innate worthiness and dignity of the individual. It is an attribute that must, just as much as freedom of expression, be protected by society's laws. In order to undertake the balancing required by this case, something must be said about the value of reputation.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[108] Democracy has always recognized and cherished the fundamental importance of an individual. That importance must, in turn, be based upon the good repute of a person. It is that good repute which enhances an individual's sense of worth and value. False allegations can so very quickly and completely destroy a good reputation. A reputation tarnished by libel can seldom regain its former lustre. A democratic society, therefore, has an interest in ensuring that its members can enjoy and protect their good reputation so long as it is merited.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 also paras. 109-117.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[401] The fact that Mrs. Arsenovski was not a public figure or a professional does not mean that her reputation was deserving of less respect or protection. In many ways, she was all the more susceptible to harm than an established professional person, given that she was a recent migrant to the country, on social assistance, likely unaware of her rights or how to access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[402] Community standards can be gauged in part by the jury award of $1 million for punitive damages against an insurance company which had wrongly accused the insured homeowners of burning down their own house, an award upheld by the Supreme Court of Canada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[403] The Ontario Court of Appeal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had reduced the jury award of punitive damages to $100,000. The Supreme Court of Canada, in restoring the $1 million jury award of punitive damages, noted: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strengths of the jury system is that it keeps the law in touch with evolving realities, including financial realities.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[404] The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jury award sent a strong message that ordinary members of the community consider an insurance company's malicious conduct to be worthy of severe sanction.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[405] The punitive damages award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likely recognized that the insurance company's conduct continued for over two years, directly affected the very ability of the plaintiff's family to have shelter, and put the plaintiff through an eight-week trial on a trumped up charge of arson. These more aggravating facts distinguish that case from the present. However, the conduct of the insurance company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did not include malicious prosecution, and the direct threat of criminal sanctions, which are aggravating factors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[406] In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the plaintiff was awarded just over $1.1 million in damages for malicious prosecution. In that case the plaintiff was initially prosecuted for murder, went through a trial, and was convicted before this was overturned by the Quebec Court of Appeal. The Supreme Court of Canada upheld the subsequent civil liability for malicious prosecution, but did not comment on or criticize the damages awarded. The basis for the damages awarded in that case, however, might not be considered directly parallel to common law principles regarding punitive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[407] Without a doubt the charge of murder made against the plaintiff in </w:t>
      </w:r>
      <w:r>
        <w:rPr>
          <w:rFonts w:ascii="arial" w:eastAsia="arial" w:hAnsi="arial" w:cs="arial"/>
          <w:i/>
          <w:color w:val="000000"/>
          <w:sz w:val="20"/>
          <w:lang w:val="en-US" w:eastAsia="en-US" w:bidi="ar-SA"/>
        </w:rPr>
        <w:t>Proulx</w:t>
      </w:r>
      <w:r>
        <w:rPr>
          <w:rFonts w:ascii="arial" w:eastAsia="arial" w:hAnsi="arial" w:cs="arial"/>
          <w:color w:val="000000"/>
          <w:sz w:val="20"/>
          <w:lang w:val="en-US" w:eastAsia="en-US" w:bidi="ar-SA"/>
        </w:rPr>
        <w:t xml:space="preserve"> was more serious than the charge against Mrs. Arsenovski in this case. Also, the wrongful conduct continued into the conduct of the criminal trial, another factor more aggravating than in the present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[408] In </w:t>
      </w:r>
      <w:r>
        <w:rPr>
          <w:rFonts w:ascii="arial" w:eastAsia="arial" w:hAnsi="arial" w:cs="arial"/>
          <w:i/>
          <w:color w:val="000000"/>
          <w:sz w:val="20"/>
          <w:lang w:val="en-US" w:eastAsia="en-US" w:bidi="ar-SA"/>
        </w:rPr>
        <w:t>Kelly</w:t>
      </w:r>
      <w:r>
        <w:rPr>
          <w:rFonts w:ascii="arial" w:eastAsia="arial" w:hAnsi="arial" w:cs="arial"/>
          <w:color w:val="000000"/>
          <w:sz w:val="20"/>
          <w:lang w:val="en-US" w:eastAsia="en-US" w:bidi="ar-SA"/>
        </w:rPr>
        <w:t>, the Court awarded punitive damages of $100,000 for egregious allegations and misconduct made by an employer against an employee dismissed without cause. The allegations were in the nature of fraud and incompetence, and included the wrongful withholding of sums of money due to the employee to increase the employee's vulnerability. In that case the allegations were asserted for seven years without foundation (at para. 132), a factor more aggravating than in the present case. However, the facts did not go so far as alleging a criminal offence and did not result in criminal charges, unlike the present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[409] In the case of </w:t>
      </w:r>
      <w:r>
        <w:rPr>
          <w:rFonts w:ascii="arial" w:eastAsia="arial" w:hAnsi="arial" w:cs="arial"/>
          <w:i/>
          <w:color w:val="000000"/>
          <w:sz w:val="20"/>
          <w:lang w:val="en-US" w:eastAsia="en-US" w:bidi="ar-SA"/>
        </w:rPr>
        <w:t>Pate Estate</w:t>
      </w:r>
      <w:r>
        <w:rPr>
          <w:rFonts w:ascii="arial" w:eastAsia="arial" w:hAnsi="arial" w:cs="arial"/>
          <w:color w:val="000000"/>
          <w:sz w:val="20"/>
          <w:lang w:val="en-US" w:eastAsia="en-US" w:bidi="ar-SA"/>
        </w:rPr>
        <w:t>, Mr. Pate had been wrongfully dismissed from a public service job and then subjected to a malicious prosecution by his former employer. His case attracted significant publicity, and resulted in a four-day trial before he was acquitted. He remained in the public eye with respect to the wrongful dismissal and criminal charges for over three years. The Ontario Court of Appeal noted that the conduct at issue was sustained over a period of approximately ten years. Other factors included the fact that the defendant municipality was a public body, and it never apologized.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[410] In </w:t>
      </w:r>
      <w:r>
        <w:rPr>
          <w:rFonts w:ascii="arial" w:eastAsia="arial" w:hAnsi="arial" w:cs="arial"/>
          <w:i/>
          <w:color w:val="000000"/>
          <w:sz w:val="20"/>
          <w:lang w:val="en-US" w:eastAsia="en-US" w:bidi="ar-SA"/>
        </w:rPr>
        <w:t>Pate Estate</w:t>
      </w:r>
      <w:r>
        <w:rPr>
          <w:rFonts w:ascii="arial" w:eastAsia="arial" w:hAnsi="arial" w:cs="arial"/>
          <w:color w:val="000000"/>
          <w:sz w:val="20"/>
          <w:lang w:val="en-US" w:eastAsia="en-US" w:bidi="ar-SA"/>
        </w:rPr>
        <w:t>, the total punitive damages awarded by the trial judge of $550,000 were reduced to $450,000 on appeal, taking into account that significant general damages were also awarded totaling $132,513, as well as substantial indemnity costs of just over $74,000 (at paras. 207, 215).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[411] The present case does not involve facts as aggravating as the several years of publicity in </w:t>
      </w:r>
      <w:r>
        <w:rPr>
          <w:rFonts w:ascii="arial" w:eastAsia="arial" w:hAnsi="arial" w:cs="arial"/>
          <w:i/>
          <w:color w:val="000000"/>
          <w:sz w:val="20"/>
          <w:lang w:val="en-US" w:eastAsia="en-US" w:bidi="ar-SA"/>
        </w:rPr>
        <w:t>Pate Estate</w:t>
      </w:r>
      <w:r>
        <w:rPr>
          <w:rFonts w:ascii="arial" w:eastAsia="arial" w:hAnsi="arial" w:cs="arial"/>
          <w:color w:val="000000"/>
          <w:sz w:val="20"/>
          <w:lang w:val="en-US" w:eastAsia="en-US" w:bidi="ar-SA"/>
        </w:rPr>
        <w:t xml:space="preserve"> and the combination of wrongful dismissal and malicious prosecution. Nevertheless, similar to that case the corporate defendant here is a public corporation with duties to the public. Also similar to that case, the defendants did not draw to my attention any apology made by them to Mrs. Arsenovski and it can be assumed no such apology has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She was awarded $350,000 in punitive damages and $30,000 in general damages. No award of aggravated damages was made because while plead they were not argued (see para. 375).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The CRA is tasked with the enforcement of the Canadian tax laws. It is expected to act in good faith and deal with the citizens of Canada fairly and objectively. Its employees are expected to do the same. It has available to it the powers of the State and can, as was the case here, bring criminal charges against individuals and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The CRA is vicariously liable for the conduct of Mr. Kendal and its employees. Its conduct in this case was high-handed, reprehensible and malicious. The behaviour of Mr. Kendal respecting the supressing and misstating of evidence deserves rebuke. It offends this Court's sense of decency and was a marked departure from conduct expected of an individual in Mr. Kendal's position and an agency such as the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 conduct was highly blameworthy as it engaged core values in our society and the checks and balances that exist when invoking the power of the State against the individual. As noted earlier the charges should never have proceeded given it was clear prior to charge approval that additional evidence was required to meet the charge approval standard. Mr. Kendal knew that the necessary evidence was not available from Ms. Ferens. The conduct of Mr. Kendal was reprehensible. Evidence was concealed. Inculpatory evidence was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Here the CRA employees looked forward with unprofessional glee to the plaintiffs' anticipated conviction and sentencing and their resulting ruination. It is appalling that the incarceration of the plaintiffs would be joked about. While I appreciate people may joke about serious matters the comments of Mr. Alan Jones went far beyond that in the context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In addition, the CRA's advertising of its successes indicates a deeply troubling approach to its duties. No doubt the average citizen would find it objectionable if a police force advertised, on a government website, how many people they incarcerated each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In the circumstances of this case I do not accept the submission of the defence that a finding of malicious prosecution itself will have the effect of deterrence, denunciation and repudiation. A monetary award must in my view be made to bring home the seriousness of the defendant CRA and Mr. Kendal's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I view the circumstances of this case as significantly more aggravating than those in </w:t>
      </w:r>
      <w:r>
        <w:rPr>
          <w:rFonts w:ascii="arial" w:eastAsia="arial" w:hAnsi="arial" w:cs="arial"/>
          <w:i/>
          <w:color w:val="000000"/>
          <w:sz w:val="20"/>
          <w:lang w:val="en-US" w:eastAsia="en-US" w:bidi="ar-SA"/>
        </w:rPr>
        <w:t>Arsenovski</w:t>
      </w:r>
      <w:r>
        <w:rPr>
          <w:rFonts w:ascii="arial" w:eastAsia="arial" w:hAnsi="arial" w:cs="arial"/>
          <w:color w:val="000000"/>
          <w:sz w:val="20"/>
          <w:lang w:val="en-US" w:eastAsia="en-US" w:bidi="ar-SA"/>
        </w:rPr>
        <w:t>, in that a government agency maliciously used the criminal justice system to pursue the plaintiffs, and its wrongful conduct continued into the criminal trial itself. The CRA was seeking substantial terms of imprisonment and significant penalties. The manner in which the prosecution was initiated and carried out was egregious. It must be denounced. It affected the reputations of the plaintiffs, their professional lives and their family lives. It involved the concealment of exculpatory evidence. It involved the power imbalance of the State over the individual. It violated fundamental rights and was highly reprehensible. A prosecution was initiated and pursued when Mr. Kendal knew he lacked necessary evidence, the need for which had been specifically noted by Ms.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The CRA and Mr. Kendal do not acknowledge their wrongdoing or their violation of professional standards. They expressed no apology and were without remorse. Given the opportunity they would pursue the plaintiffs again on the same basis. An award of punitive damages, while governed by the principle of proportionality, must punish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plaintiffs seek an award that will recognize the power imbalance between the plaintiffs and the CRA and will not amount to an award that would have the effect of licensing or condoning and thereby encouraging the behaviour of the CRA. They submit the evidence shows systemic problems where the type of behaviour evidenced is accepted and even encouraged.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No amount of punitive damages will cause the CRA financial hardship. At the same time the award must address the purpose of punitive damages and bring home to the CRA and its employees that conduct such as has occurred here is not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I am mindful of the amounts I have awarded for aggravated damages. I award punitive damages to the plaintiffs in the aggregate of $750,000 against the defendant CRA.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Charter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xml:space="preserve">  Section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Anyone whose rights or freedoms, as guaranteed by this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have been infringed or denied may apply to a court of competent jurisdiction to obtain such remedy as the court considers appropriate and just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Vancouver (City) v. Ward</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xml:space="preserve">, found that s. 24(1) is broad enough to encompass claims for damages as a result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xml:space="preserve">  The plaintiffs seek $6,000,000 in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as an alternative to punitive damages, alleging that award is warranted for the same reasons that a high punitive damages award is justified. As I have awarded the plaintiffs punitive damages, I decline to order damages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In summary the plaintiffs are awarded damages against the Canada Revenue Agency as follows:</w:t>
      </w:r>
      <w:r>
        <w:rPr>
          <w:rFonts w:ascii="arial" w:eastAsia="arial" w:hAnsi="arial" w:cs="arial"/>
          <w:sz w:val="20"/>
          <w:lang w:val="en-US" w:eastAsia="en-US" w:bidi="ar-SA"/>
        </w:rPr>
        <w:cr/>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$347,731.74 for legal fees and disbursements incurred in the defence of the tax evasion charges plus pre-judgment interest;</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$300,000 to each of Tony Samaroo and Helen Samaroo for aggravated damages;</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$750,000 in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claims against Brian David Jones and Brian D. Jones Law Corporation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As requested by counsel costs may be spoken to at a date and time to be arranged through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2" style="position:absolute;z-index:2517923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Sarginson v. Nordquist, [2020] I.L.R. para. M-3179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Winteringham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August 20,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M165315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[2020] I.L.R. para. M-3179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[2019] B.C.J. No. 1566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2019 BCSC 1386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Joanne Carolee Sarginson v. Balaban Borka and Victor Nordquist</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3"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7" w:name="Keywords_19"/>
      <w:bookmarkEnd w:id="167"/>
      <w:r>
        <w:rPr>
          <w:rFonts w:ascii="arial" w:eastAsia="arial" w:hAnsi="arial" w:cs="arial"/>
          <w:b/>
          <w:color w:val="000000"/>
          <w:sz w:val="20"/>
          <w:lang w:val="en-US" w:eastAsia="en-US" w:bidi="ar-SA"/>
        </w:rPr>
        <w:t>Tort, motor vehicle — Personal injury damages — Wrist injury — Plaintiff was involved in motor vehicle accident in July 2014, at age 67 — Plaintiff had retired from working as teacher in 2002 — Before accident, plaintiff provided regular childcare for grandson, played instruments, participated in dance group, and was active in home renovations — Plaintiff purchased mobile home in California with new spouse — Plaintiff broke right wrist in accident and underwent four surgeries on wrist between August 2014 and May 2017 — Plaintiff claimed accident also caused back and neck pain and depression — Plaintiff was unable to engage in pre-accident pursuits or enjoy California property — Plaintiff brought action for damages related to personal injuries — Evidence established that plaintiff suffered injury to right wrist, resulting in significant derangement that impacted performance of basic tasks — Plaintiff's limitations would most likely be lifelong — Court accepted that plaintiff would not have experienced neck and back pain regardless of accident — Plaintiff suffered mild psychological injury, experiencing anxiety and sadness as her wrist experienced ongoing complications — Court awarded non-pecuniary damages of $125,000 — Court awarded costs of future care of $45,487 — Plaintiff was entitled to nominal award to compensate spouse who provided housekeeping and care after plaintiff's surgeries — Court awarded $15,000 as in-trust claim for plaintiff's husband — Court did not accept that plaintiff was entitled to damages for lost opportunities for inability to renovate new home, enjoy California home, and tutor grandson — Court attempted to reflect these losses in non-pecuniary award — Action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8" w:name="Case Summary_18"/>
            <w:bookmarkEnd w:id="168"/>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involved in a motor vehicle accident in July 2014. The defendant admitted liability. At the time of the accident, the plaintiff was 67 years old and had retired from working as an elementary school teacher in 2002. Before the accident, the plaintiff provided regular childcare for her grandson, played instruments, participated in a dance group, was active in home renovations, painting, and gardening, and walking her dogs. The plaintiff had met her spouse in 2010 and purchased a mobile home in California. The plaintiff broke her right wrist in the accident and underwent four surgeries on her wrist between August 2014 and May 2017. The plaintiff did not do any rehabilitation for her arm for over two years after the accident and experienced weight gain. She claimed that the accident also caused back and neck pain and depression. She claimed that she was unable to enjoy her California property and expected to sell it in the near future. She was unable to engage in her pre-accident pursuits. The plaintiff brought an action for damages related to her personal injuries. The defendant disputed that the accident caused the plaintiff's back, neck, and psychological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9" w:name="Holdings of Court_15"/>
            <w:bookmarkEnd w:id="169"/>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evidence established that the plaintiff suffered an injury to her right wrist, resulting in significant derangement that impacted her performance of basic tasks. The plaintiff's limitations would most likely be lifelong. The Court accepted that the plaintiff would not have experienced neck and back pain regardless of the accident. While the plaintiff's post-accident weight gain made the pain worse, the pain was traumatically induced. The plaintiff also suffered deconditioning and decreased tolerance for daily activities due to the accident. She suffered a mild psychological injury, experiencing anxiety and sadness as her wrist experienced ongoing complications. The plaintiff was an active individual in the early part of her retirement when the accident occurred. The Court found that she was entitled to non-pecuniary damages of $125,000. The plaintiff was entitled to $45,487 for costs of future care. The plaintiff was entitled to a nominal award to compensate her spouse who provided housekeeping and care for a reasonable time after the plaintiff's surgeries. The Court found that $15,000 was a reasonable award for an in-trust claim. The Court did not accept that the plaintiff was entitled to damages for lost opportunities for the inability to renovate her new home, enjoy the California home, and tutor her grandson. There was insufficient evidence to establish entitlement to the awards sought and the Court attempted to reflect these losses in the non-pecuniary award. The plaintiff was entitled to special damages of $12,111. The total award was $194,111.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0" w:name="Counsel_31"/>
      <w:bookmarkEnd w:id="1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4"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D.C. Creighton for the plaintiff; D.M. De Baie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1" w:name="Judgment_31"/>
      <w:bookmarkEnd w:id="171"/>
      <w:r>
        <w:pict>
          <v:line id="_x0000_s1155" style="position:absolute;z-index:2517934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Background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Injuries and what followed (lay witnesses)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ASSESSMENT AND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Right wrist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Neck and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Deconditioning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In-trust claim for plaintiff's spouse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Claims Characterized as "Lost Opportunities"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2" w:name="J. WINTERINGHAM J."/>
            <w:bookmarkEnd w:id="172"/>
            <w:r>
              <w:rPr>
                <w:rFonts w:ascii="arial" w:eastAsia="arial" w:hAnsi="arial" w:cs="arial"/>
                <w:b/>
                <w:color w:val="000000"/>
                <w:sz w:val="30"/>
                <w:lang w:val="en-US" w:eastAsia="en-US" w:bidi="ar-SA"/>
              </w:rPr>
              <w:t>J. WINTERINGHAM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Joanne Sarginson was a passenger in a vehicle driven by her spouse, Victor Nordquist, when they were struck by a vehicle driven by Balaban Borka.</w:t>
      </w:r>
      <w:bookmarkStart w:id="173"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73"/>
      <w:r>
        <w:rPr>
          <w:rFonts w:ascii="arial" w:eastAsia="arial" w:hAnsi="arial" w:cs="arial"/>
          <w:color w:val="000000"/>
          <w:sz w:val="20"/>
          <w:lang w:val="en-US" w:eastAsia="en-US" w:bidi="ar-SA"/>
        </w:rPr>
        <w:t xml:space="preserve"> Mr. Nordquist admits liability for the accident. Ms. Sarginson was 67 years old and a retired elementary school teacher at the time of the accident. Mr. Nordquist, born in 1933, is 14 years older than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Sarginson broke her wrist in the accident. Her claim for damages is complicated by a failure to detect a second fracture and the number of subsequent surgeries needed to repair her wrist. In addition to the wrist injury, Ms. Sarginson asserts that the accident caused her ongoing back and neck pain (complicated by weight gain that she attributes to the accident) and psychological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seeks damages totalling almost $1 million. In addition to claims for non-pecuniary and special damages, Ms. Sarginson seeks damages for the cost of future care; an in-trust claim for services provided by her spouse; a claim for their possible early entry to assisted living; damages for loss of opportunity to repair and remodel a home they purchased after the accident; damages for loss relating to a mobile home located in California; and damages for the loss of opportunity to tutor her grandchild.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agrees that the plaintiff is entitled to non-pecuniary and special damages, some future care costs and perhaps a nominal award for the in-trust claim for her husband's post-surgical care. The defendant's quantum assessment is just over $100,000. To that end, the defendant does not dispute that the accident caused the injury to the wrist or the subsequent surgeries and recovery associated to her wrist. But for the few days following the accident, the defendant disputes causation for the plaintiff's current complaints of back and neck pain or psychological injury. The defendant disputes the substantial claims otherwise advanced, submitting, "[T]he amount claimed by the plaintiff for some of the heads of damage[s] are wholly out of proportion to the facts of this case. They have no basis in reality and are not reasonable based on the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to be determined are: (1) what injuries were caused by the accident; and (2) assessment of damages. With respect to the damages claim, the plaintiff raises issues of an in-trust claim for care provided by her spouse and substantial future care costs, including compensation for assisted living that is submitted to be required earlier than in the absence of the accident. Finally, the plaintiff seeks compensation for the costs associated with remodeling an older home that the plaintiff and her spouse purchased after the accident. The couple was hoping to conduct many of the renovations on their own but Ms. Sarginson submits they were unable to do so because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With respect to the three largest pecuniary claims, the defendant takes the following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First, with respect to the in-trust claim for Mr. Nordquist's services, the defendant submits, "[W]hile there may have been some services necessary in the short-term after each of her surgeries and after the accident, those services were not necessary in the long-term and certainly not for the entire period claimed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Second, with respect to the claim for assisted living, the defendant contends this is a speculative claim and the plaintiff has failed to meet the burden of demonstrating a real and substantial possibility that she will require early institutionalization.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Third, with respect to the home purchase, the defendant takes the position that "it was unreasonable for the plaintiff to take on the responsibility of a house over twice the size, for no other reason than she wanted a bigger house with a bigger yard. If she was not capable of participating in running the smaller household, it is not reasonable to increase her responsibilities and then ask the defendant to pay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will deal with the issue of credibility at the outset. The defendant does not challenge Ms. Sarginson's credibility. However, the defendant contends that Ms. Sarginson's evidence was at times unreliable, particularly on the issue of her psychological condition and neck and back pain. Further, the defendants submit that Ms. Sarginson was shown to be inconsistent in some aspects of her testimony and as such, her testimony should be assessed with some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agree that Ms. Sarginson was a credible witness. She presented as someone who was trying to deal with her injuries as best as she was able. With respect to the inconsistencies identified by the defendant, I will address the reliability of her evidence as those issues present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During the trial, an issue arose regarding Mr. Nordquist's evidence.</w:t>
      </w:r>
      <w:bookmarkStart w:id="174" w:name="Backward_fnref_fnr-2_0"/>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74"/>
      <w:r>
        <w:rPr>
          <w:rFonts w:ascii="arial" w:eastAsia="arial" w:hAnsi="arial" w:cs="arial"/>
          <w:color w:val="000000"/>
          <w:sz w:val="20"/>
          <w:lang w:val="en-US" w:eastAsia="en-US" w:bidi="ar-SA"/>
        </w:rPr>
        <w:t xml:space="preserve"> I have examined his testimony and find that much of what he said was consistent with the totality of the evidence tendered, from other witnesses and the medical evidence generally. I have relied on Mr. Nordquist's testimony only where it has been corroborated by other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Before the accident, Ms. Sarginson was an elementary school teacher and for 35 years taught art, music, dance and social studies. She retired in 2002. Ms. Sarginson has one daughter, Robyn Wolfe and was a single parent for much of Ms. Wolfe's childhood. As a single parent, Ms. Sarginson testified that she was responsible for indoor and outdoor home maintenance. She managed to complete some home repairs, such as painting and basic landscaping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Sarginson's grandson was born about four years before the accident. She had provided regular childcare to her grandson and helped him by providing early educational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Sarginson described an active life in which she was very much enjoying her "golden years". She played the piano, guitar and harp, and participated in a dance group. She described her activity in home renovations, painting and gardening. She also enjoyed taking her dogs for long walks. She and her daughter both described Ms. Sarginson's enjoyment of driving a vintage Ford Mustang that she had purchased some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2010, Ms. Sarginson met Mr. Nordquist and they married shortly thereafter. He had recently lost his long-time spouse, for whom he had spent many years caring. The couple spent time dancing, traveling and in May 2011, they bought a mobile home in Oceanside, California. The couple spent some time fixing up their place in California, including planting approximately forty rose bushes.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time of the accident, Ms. Sarginson was 67 years old and in good health.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accident occurred on July 30, 2014, in Coquitlam, B.C. Mr. Nordquist was driving and Ms. Sarginson was in the front passenger seat. They were trying to exit a parking lot onto Runnel Drive and eased into the lane of traffic. Their vehicle was struck by an oncoming car, spinning them around. The airbags deployed.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Sarginson recalls the thud of the collision but has virtually no memory of the moments following the collision. She testified that she was taken to Eagle Ridge Hospital and it was determined that she had sustained a fracture to the right wrist. She was placed into a temporary cast and then referred to a specialist. She also had bruising around her abdomen, consistent with her seatbelt tightening and recalls complaining about back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Injuries and what followed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August 9, 2014, Dr. Darius Viskontas operated on her wrist. Ms. Sarginson described the apparatus used to secure the fracture as an "external fixator", which was screwed into her forearm in four spots. She testified she needed to wear the fixator until the end of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testified about her recovery and her understanding about how she was to care for her injury as she healed. She believed that she had been instructed not to do anything until the fracture had healed. She testified that she had a real fear of falling and reinjuring her arm. As such, she said that she did not engage in any physical activity, rehabilitative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Six months later, it was discovered that another part of the bone in her wrist was broken. The doctors discovered a gap of about an inch where the bone had been straightened. They inserted a graft and stabilized it with a plate. The second surgery took place in October 2015. Ms. Sarginson was given opioids for pain. She became very ill and learned she was allergic to the opioids.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December 2015, Ms. Sarginson's wrist became infected and she required a third surgery just before Christmas. She testified that she felt incredibly ill from the antibiotics following this third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Because of the infection, a fourth surgery was required in May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Sarginson believed that she was to completely immobilize her arm until it had healed. As such, she did not do any rehabilitation for her arm for over two years following the accident. She subsequently gained weight and attributes this weight gain to the accident. She has been unable to lose the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With respect to her other injuries, Ms. Sarginson testified that she started to notice back pain after she had the second surgery. She testified, however, that she had experienced neck and back pain immediately after the accident. She explained that she had not sought treatment for her back in the early years of recovery because she was focused on the wrist injury, which was her primary concern. In addition, Ms. Sarginson received physiotherapy for her shoulder and her hands but her back was not part of the therapy she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Sarginson described the couple's decision to purchase a larger home. She testified that before the accident, she and Mr. Nordquist had talked about moving to a bigger house with a larger yard and garden. They both wanted to renovate a "fixer-upper". She said she was feeling "stuck" after the accident and despite her injury, the couple decided to proceed with their original plan. They sold their home and purchased a house in Abbotsford that required a lot of work. She testified that neither of them anticipated they would lack the time or energy to complete the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July 2018, Ms. Sarginson's family doctor referred her to a psychologist. She testified that at this time, she was feeling depressed for a multitude of reasons. She testified that she lost her joy of driving and was frustrated by her inability to help with the renovations. She had also lost her ability to play musical instruments, dance, spend time with her grandson and walk her dogs. She testified that believed she had "lost"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late November 2018, Ms. Sarginson started to experience soreness in her left hand. She described trouble opening doors, using ATM machines and keyboards and experiencing pain after repetitive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Sarginson testified that they were no longer able to enjoy their California property because of the accident. She described being sick during the entirety of their last visit to California. She said the responsibility of the yard and dealing with the drive to and from California was simply too much. The couple expects to sell the California property in the near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With respect to her relationship with Mr. Nordquist, Ms. Sarginson said that her injuries have taken a toll. In her written submission, Ms. Sarginson described the impact on Mr. Nordquist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relationship with her partner has been affected by the MVA. She is worried that [Mr. Nordquist] is 'burning out' due to the difficult few years since the MVA. He also has seen a psychologist to deal with the guilt because he was driving at the time of the MVA and the MVA has caused her so much pain. She states that although he is a positive determined person, now the 'spunk' has gone out of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Sarginson] gave evidence that she has fears going forward that she is not going to get back to the things that gave her joy, such as driving. She worries that [Mr. Nordquist] seems 'beaten right now' having had a long time caregiving for his first wife, he now he has to care for [Ms. Sarginson] in his old age. She worries about the future, that as he is older than her, she will not be able to take care of him when he needs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Robyn Wolfe, the plaintiff's daughter, testified about her observations of her mother before and after the accident. She testified that before the accident, her mother did not have any restrictions regarding homecare, gardening, physical activities or looking after Ms. Wolfe's infant son. She described an active middle-aged woman who was able to paint, install crown mouldings, and landscape the gardens. She said Ms. Sarginson was a "hands on" grandma who would take her grandson on long walks (one - two hours), carry him when needed and take him to parks and various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Wolfe testified that the injury dramatically impacted her mother. She went from being an active participant in life to someone who was almost completely immobilized. In addition to the obvious discomfort of her arm, Ms. Wolfe testified that she observed her mother favouring her back and complaining of back pain. She said her mother's interaction with her grandson diminished. She would not take him for walks or play with him. She stopped tutoring him as well because of her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Wolfe also described her observations of her mother's move to the Abbotsford house, calling the move a disaster. She said her mother was uncharacteristically disorganized when it came time for the move itself. Ms. Wolfe had to organize friends to help. She testified that this was to be her mother's dream house but she was unable to fulfill her dream because of the multiple surgeries, weight gain and back pain. Regarding her back, Ms. Wolfe testified that she has witnessed her mother coping with back pain. In her testimony, she gave an example of her mother phoning her in the middle of the night complaining of excruciating back pain. She testified that her mother was crying and so she went over to her house to try and calm her down. When she arrived, Ms. Wolfe said that her mother was anxious, crying, and having what she characterized as a panic attack. This evidence was not challenged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Overall, she said her mother has slowed down considerably since the accident. She testified that she worries about both her mother and Mr. Nordquist and fears that they will be unable to take care of one another in the near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Wolfe presented as a matter of fact witness who was simply describing her observations of her mother before and after the accident. Particularly compelling was her description of the incident she characterized as a panic attack.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no dispute that Ms. Sarginson suffered injuries as a result of the accident; most significantly, the injury to her wrist. The medical expert called on behalf of Ms. Sarginson (Dr. Sangha) testified as much. The disagreement between the parties relates to whether the accident also caused a psychological injury and/or an injury to her back and neck. The plaintiff also called an occupational therapist to testify about a cost of future care report she had prepared. The defendant called a functional capacity assessor, Dr. Christopher Cooke. That is the extent of the expert evidence tendered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only medical doctor to testify at trial was Dr. Sangha, a physiatrist. In his report, he noted the "following accident related issues/impairments apply":</w:t>
      </w:r>
      <w:r>
        <w:rPr>
          <w:rFonts w:ascii="arial" w:eastAsia="arial" w:hAnsi="arial" w:cs="arial"/>
          <w:sz w:val="20"/>
          <w:lang w:val="en-US" w:eastAsia="en-US" w:bidi="ar-SA"/>
        </w:rPr>
        <w:cr/>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mildly impacted transverse fracture of the distal radial metaphysis with mild dorsal angulation of the distal articular surface - initially treated by external fixator but would eventually require ORIF for malunion, and subsequent revision surgeries for infection and continued malunion;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Cervical strain with chronic myofascial impairment and likely underlying facet meditated pain based on her extension dominant pain to the upper cervical facetal columns bilaterally;</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Lumbar strain with likely lower lumbosacral facet mediated pain based on extension dominant pain to the facetal columns bilaterally;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deconditioning represented by weight gain and decreased tolerances for daily activity;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Probably component of reactive depression or anxiety related to situational circumstances - precise diagnosis deferred to a colleague with specific training in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respect to her current condition, Dr. Sangha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collision, Ms. Sarginson has suffered significantly with respect to her daily function. Her last roughly 4 years have been consumed by surgeries (followed by prolonged weight-bearing restrictions), imaging, physical therapies, and follow-up appointments. Despite her adherence to treatment care plans she has been left with significant derangement at the right hand and wrist impacting basic tasks requiring gripping, pulling, pushing, lifting, carrying and tasks of a dexterous or prehensile nature. She additionally has impairments to the cervical and lumbar spines that impact the basic functions of walking, standing, flexing, stooping and twisting. Considering the nature of her impairments and the time that has elapsed since her injuries were sustained they should be considered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respect to prognosis, Dr. Sangha wrote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likelihood of any further improvement in function is essentially nil. Rather, as a woman of advanced age with significant musculoskeletal impairments, she will likely suffer a more rapid functional decline compared to her age-matched cohort due to her reduced physiological reserve now to combat the normal processes of aging compared to the scenario where she had not been involved in the indexed collision. As such, </w:t>
      </w:r>
      <w:r>
        <w:rPr>
          <w:rFonts w:ascii="arial" w:eastAsia="arial" w:hAnsi="arial" w:cs="arial"/>
          <w:color w:val="000000"/>
          <w:sz w:val="20"/>
          <w:u w:val="single"/>
          <w:lang w:val="en-US" w:eastAsia="en-US" w:bidi="ar-SA"/>
        </w:rPr>
        <w:t>she is at a material risk of earlier institutionalization if the appropriate supports are not put into place such as increasing attendant care and home modifications</w:t>
      </w:r>
      <w:r>
        <w:rPr>
          <w:rFonts w:ascii="arial" w:eastAsia="arial" w:hAnsi="arial" w:cs="arial"/>
          <w:color w:val="000000"/>
          <w:sz w:val="20"/>
          <w:lang w:val="en-US" w:eastAsia="en-US" w:bidi="ar-SA"/>
        </w:rPr>
        <w:t>, etc. I would suggest a future care cost analysis by an individual certified in life care planning which should include allowances for serial OT assessments over time with contingencies for the appropriate supports being put into place as required to maintain function and independence. I already would consider Ms. Sarginson to be substantially disabled from most housekeeping tasks - most specifically those of a heavier nature involving the use of the right upper extremity.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Additionally, and although admitted to be outside his area of expertise, Dr. Sangha "felt there was a component of anxiety or depression that needs to be addressed. . . This issue when coupled with her own impairments continue to weigh on her emotionally. A comprehensive assessment with a psychologist with the implantation of strategies to cope with any issues identified is reasonable and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Sangha's report was written in February 2018 and he was cross-examined about Ms. Sarginson's condition since his last assessment of her. He agreed that there appeared to be some improvement, since he had written his report, in her overall physical condition, including her wrist. During cross-examination, Dr. Sangha testified that he was of the view that her back pain was traumatically induced and made worse by weight gain. He did not agree that she would likely have had problems with her back even without the accident because of her excess weight, lack of physical conditioning and degenerative condition of her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previously noted, although the defendant has admitted liability, the defendant defends Ms. Sarginson's claims for damages on the basis that they are excessive and (except for the wrist injury) the issues now affecting her are not causally connected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Ms. Sarginson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each of the injuries she sustained in the accident. In order to establish causation, Ms. Sarginson must prove on a balance of probabilities that but for the accident, she would not have suffered the injuries of which she now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The tortfeasor must take their victim as the tortfeasor finds the victim and is liable even if other causal factors for which the defendant is not responsible result in the victim's losses being more severe than they would be for the average person (known as the "thin-skull" principle). At the same time, the tortfeasor need not put the victim in a better position than the victim would have been in and need not compensate the victim for the effects of a pre-existing condition that the victim would have experienced in any event.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"but-for"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However, the defendant need not compensate the plaintiff for any debilitating effects of a pre-existing condition which the plaintiff would have experienced anyway (the crumbling skull rule):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Rabiee v. Rendleman</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2015 BCSC 595</w:t>
        </w:r>
      </w:hyperlink>
      <w:r>
        <w:rPr>
          <w:rFonts w:ascii="arial" w:eastAsia="arial" w:hAnsi="arial" w:cs="arial"/>
          <w:color w:val="000000"/>
          <w:sz w:val="20"/>
          <w:lang w:val="en-US" w:eastAsia="en-US" w:bidi="ar-SA"/>
        </w:rPr>
        <w:t>, the defendants took issue with the lack of objective evidence supporting the plaintiff's injuries. As such, Justice Sharma considered the standard of proof regarding subjective and objective evidence of injury and confirmed that the standard of proof remains unchanged,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I do not take these quotes to mean that a stricter standard of proof applies where the main evidence about injury comes from a plaintiff's subjective reports to doctors and testimony in court. The standard of proof does not change and it does not matter if the evidence is "objective" or "subjective". In fact, after considering the above quotation, the Court of Appeal 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[1983] B.C.J. No. 1490</w:t>
        </w:r>
      </w:hyperlink>
      <w:r>
        <w:rPr>
          <w:rFonts w:ascii="arial" w:eastAsia="arial" w:hAnsi="arial" w:cs="arial"/>
          <w:color w:val="000000"/>
          <w:sz w:val="20"/>
          <w:lang w:val="en-US" w:eastAsia="en-US" w:bidi="ar-SA"/>
        </w:rPr>
        <w:t xml:space="preserve"> (B.C. C.A.) clarified: "It is not the law that if a plaintiff cannot show objective evidence of continuing injury that he cannot recover. If the pain suffered by the plaintiff is real and continuing and resulted from the injuries suffered in the accident, the plaintiff is entitled to recover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The key consideration is whether the evidence, as a whole, establishes that the plaintiff's injuries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 balance of probabilities. I have concluded that Ms. Rabiee has met that burden. Thus, the fact that the evidence of her injuries is based largely on subjective reports does not detract from the application of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Justice Lambert summarized the principles to be applied in assessing claims of psychological injury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at paras. 12-13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It is important to understand what is established and what is not established by the decision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I propose to set out a number of principles extracted from the reasons of Mr. Justice Taylor, for the Court, in the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case. The first point is a preliminary point and appears in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at p. 133 under the heading "(a) The Background":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the pain, discomfort or weakness is "real" in the sense that the victim genuinely experiences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remaining ten points are drawn from the part of the reasons headed "(b) The Basic Principles" at pp. 134 to 137:</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his or her psychological problems have their cause in the defendant's unlawful act.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act if they arise from a desire on the plaintiff's part for such things as care, sympathy, relaxation or compensation.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wrongful act if the plaintiff could be expected to overcome them by his or her own inherent resources, or "will-power".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to end, their existence or continuation must be said to have a subjective, or internal, cause. (NOTE: I consider that this proposition must deal with the conscious mind, otherwise it seems to me to beg the question; see my first observation, later in this Part of these reasons.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court could not say whether the plaintiff really desired to be free of the psychological problems, the plaintiff would not have established his or her case on the critical issue of causation.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question of mitigation, or failure to mitigate, arises only after causation has been established.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ask whether a psychological condition such as "chronic, benign pain syndrome" is "compensable". Such a psychological condition may be compensable or it may not. The identification of the symptoms as "chronic benign pain syndrome" does not resolve the questions of legal liability or the question of assessment of damages.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medical practitioners can answer, as matters of expert opinion, the ultimate questions on which these cases often turn.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Justice Spencer, at trial in the Maslen case, put the overall test quite correctly in these words: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[C]hronic benign pain syndrome will attract damages . . . where the plaintiff's condition is caused by the defendant and is not something within her control to prevent. If it is true of a chronic benign pain syndrome, then it will be true also of other psychologically-caused suffering where the psychological mechanism, whatever it is, is beyond the plaintiff's power to control and was set in motion by the defendant's fault.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evidence of a "convincing" nature to overcome the improbability that pain will continue, in the absence of objective symptoms, well beyond the recovery period, but the plaintiff's own evidence, if consistent with the surrounding circumstances, may nevertheless suffice for the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 am sure Mr. Justice Taylor did not consider that the "basic" principles which he set out exhausted all the possibilities for the application of principle to the difficult problems in these cases. The general principles which apply in relation to causation in law will apply to psychological injury as they apply to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concept of "reasonable foreseeability" is subject to a qualification when the injury is psychiatric in nature. As Justice Bennett stated in </w:t>
      </w:r>
      <w:r>
        <w:rPr>
          <w:rFonts w:ascii="arial" w:eastAsia="arial" w:hAnsi="arial" w:cs="arial"/>
          <w:i/>
          <w:color w:val="000000"/>
          <w:sz w:val="20"/>
          <w:lang w:val="en-US" w:eastAsia="en-US" w:bidi="ar-SA"/>
        </w:rPr>
        <w:t>Hussack v. Chilliwack School District</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 where the psychiatric injury is consequential to the physical injury for which the defendant is responsible, the defendant is also responsible for the psychiatric injury even if this injury was unforeseeable.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agree with Ms. Sarginson's submission that the plaintiff need not show a recognizable psychiatric illness as a precondition to recovery for mental injury. As set out in </w:t>
      </w:r>
      <w:r>
        <w:rPr>
          <w:rFonts w:ascii="arial" w:eastAsia="arial" w:hAnsi="arial" w:cs="arial"/>
          <w:i/>
          <w:color w:val="000000"/>
          <w:sz w:val="20"/>
          <w:lang w:val="en-US" w:eastAsia="en-US" w:bidi="ar-SA"/>
        </w:rPr>
        <w:t>Saadati v. Moorhead</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xml:space="preserve"> at para. 2, a finding of "legally compensable mental injury need not rest, in whole or in part, on the claimant proving a recognized psychiatric illness". As set out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9, the psychological injury "must be serious and prolonged and rise above the ordinary annoyances, anxieties and fears that people living in society routinely, if sometimes reluctantly,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ASSESSMENT AND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Right wrist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have considered Dr. Sangha's evidence regarding Ms. Sarginson's wrist injury and subsequent surgeries. I am satisfied (and the defendant does not disagree), that the evidence establishes on a balance of probabilities that Ms. Sarginson suffered a significant injury to her right wrist. For reasons the defendant agrees are connected to the accident, the injury required four surgeries with recovery time needed after each surgery. Despite Dr. Sangha's opinion from February 2018 that Ms. Sarginson's improvement will be "essentially nil," I agree with the defendant that there has been some improvement in mobility and dexterity and that there is some basis for optimism for perhaps further improvement. That said, I accept Dr. Sangha's opinion that Ms. Sarginson has a "significant derangement at the right hand and wrist impacting basic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satisfied that although there has been improvement to her wrist, the evidence establishes, on a balance of probabilities, some ongoing physical limitations that will, more likely than not, be lifelong.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turn to the injuries relating to her neck and back. With respect to these injuries, little medical evidence was tendered. The defendant contends that Ms. Sarginson's current complaints regarding back and neck pain are related to her deconditioning. To that end, the defendant submits: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deconditioning in this case cannot be attributed to activity restrictions related to her wrist injury...the deconditioning is related to her decision to self-limit her activities, a decision which was not recommended, was unreasonable, and broke the chain of causation such that the limitations which flow from her deconditioned state can no longer be attributed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Sangha's evidence is the only medical evidence before me regarding causation and Ms. Sarginson's neck and back complaints. As stated previously in these Reasons, Dr. Sangha did not agree that Ms. Sarginson was likely to experience neck and back pain regardless of the accident - in part due to her weight. Dr. Sangha was comprehensively and skillfully cross-examined on this point; that is, the connection between Ms. Sarginson's self-imposed physical activity restrictions, her weight and her current neck and back pain. Dr. Sangha agreed that her weight did not help matters and in his view, her neck and back pain were traumatically induced, though made worse by weight gain. He maintained his opinion that her low back and cervical strain with chronic myofascial impairment were caused by the accident. Dr. Sangha testified that someone could be "fit but fat" and attributed at least some of Ms. Sarginson's deconditioning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difficulty with the evidence before me is that there was no evidence of Ms. Sarginson's body weight prior to the accident. Ms. Sarginson agreed during cross-examination that she was overweight at the time of the accident. However, she did not know her weight. She testified to having to purchase new clothes to fit her new size. However, this occurred some three years after the accident. I am simply unable to determine, on the evidence presented, the extent of any weight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am satisfied that the plaintiff has demonstrated, on a balance of probabilities, that she suffered neck and back pain, as described in Dr. Sangha's report. I accept Ms. Sarginson's explanation that she was focused on her broken wrist, not what she deemed to be "lesser" injuries, when she reported complaints to her treatment providers. Further, I am satisfied that the neck and back injury were not caused by deconditioning post-accident. Rather, it is more likely than not, based on the medical evidence presented and Ms. Sarginson's description of the progression of her injuries, that Ms. Sarginson, as a result of the accident, suffered from a strained neck with ongoing pain, based in the spinal column. She also suffered from a lower back strain with ongoing pain, also based in the spinal column.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wish to say a bit more about Ms. Sarginson's back pain and deconditioning. During cross-examination, Dr. Sangha agreed that if Ms. Sarginson did not experience back pain for three-four months and then it appeared, it may be that the pain was more attributable to deconditioning than the traumatic event. However, that is not the evidence of Ms. Sarginson. Although somewhat unclear, she testified that she was not focused on her back when she attended at the various healthcare providers. Rather, she was focused on the most serious injury - being her right arm. That said, she maintained during cross-examination (and she was cross-examined extensively on this point) that her back was symptomatic in the months and years following the accident - she did not experience a substantial pain-free period as Dr. Sangha assumed in his response to this line of questioning. Rather, Ms. Sarginson testified that the back pain came and went but was not constant. She testified that it became progressively worse as time went on - particularly around the time of the second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am also satisfied based on the evidence of Dr. Sangha, Ms. Sarginson and her daughter that she has suffered some deconditioning, as represented by weight gain and decreased tolerance for daily activity, as a result of the accident. This finding is not significant to my overall findings regarding the more serious wrist injury and to a lesser extent, the neck and back injuries. The finding of deconditioning and weight gain is, as Dr. Sangha testified, relevant perhaps to the lumbar injury (and less so for the cervical strain). It was evident during Ms. Sarginson's cross-examination that her self-imposed restrictions on physical activity were based on her erroneous belief that she was not to do anything until her wrist had healed. I listened carefully to Ms. Sarginson's explanation as to the basis for her belief and I accept her explanation. She appeared genuinely surprised by a medical record suggesting physical activity should commence shortly after the surgery - a medical record she had not seen before the trial commenced. Consistent with her explanation, she described an absolute fear of falling and reinjuring her wrist. Considering the history of multiple surgeries, infection, malunion, opioid allergic reaction and ongoing pain, this reaction was reasonable in the long-term. As for the early stages of recovery, Ms. Sarginson described an apparatus that was no conducive to significant movement. Put another way, Ms. Sarginson's cautious approach to recovery was reasonable in the circumstances presented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turn to the psychological injury alleged. In this regard, I am satisfied based on the evidence presented, that Ms. Sarginson has suffered a mild psychological injury as a result of the injuries she sustained in the accident. I say that particularly with respect to the complications that arose as a result of the surgeries that were required to repair her right wrist. The defendant agrees that the surgical complications and subsequent repairs were attributable to the accident. Ms. Sarginson described the anxiety and sadness she experienced as a result of ongoing complications. She also testified to feeling somewhat better after her counseling sessions. Albeit mild, I am satisfied on the evidence presented that it is more likely than not that Ms. Sarginson suffered a psychological injury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summary, I have found the accident caused Ms. Sarginson's wrist injury and the surgical complications (and prolonged recovery) that followed. I am also satisfied that the totality of the evidence presented established that the accident caused a mild injury to her neck and back and a mild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Ms. Sarginson seeks compensation for the injuries she suffered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for:</w:t>
      </w:r>
      <w:r>
        <w:rPr>
          <w:rFonts w:ascii="arial" w:eastAsia="arial" w:hAnsi="arial" w:cs="arial"/>
          <w:sz w:val="20"/>
          <w:lang w:val="en-US" w:eastAsia="en-US" w:bidi="ar-SA"/>
        </w:rPr>
        <w:cr/>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for pain and suffering;</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future care costs including costs associated with a potential earlier transition to assisted living;</w:t>
      </w:r>
    </w:p>
    <w:p>
      <w:pPr>
        <w:numPr>
          <w:numId w:val="1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In-trust claim for care provided by the plaintiff's spouse;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Compensation for the costs associated with remodeling an older home that the plaintiff and her spouse purchased after the accident;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opportunities associated with California vacation property and tutoring her grandson;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have found Ms. Sarginson's most significant injury to be (a) the injury to her right wrist, which entails the multiple surgical procedures thereafter and, (b) to a lesser extent, a mild injury to her neck and lower back and, (c) a mild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Regarding non-pecuniary damages awards, the case authorities make clear that any award is to compensate the injured party for pain, suffering, loss of enjoyment of life, and loss of amenities. The compensation awarded should be fair to all parties and fairness is measured against awards made in comparable cases. Though helpful, similar cases serve only as a rough guide. Of course,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Kirkpatrick J.A. outlined the factors the court should consider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non-exhaustive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proper approach to assessing injuries that depend on subjective reports of pain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by McEachern C.J., and was quoted with approval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at para. 2. In referring to one of his earlier decisions, McEachern C.J. wrote at paras. 397 and 399: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assessment of damages in a moderate or moderately severe whiplash injury is always difficult because plaintiffs, as in this case, are usually genuine, decent people who honestly try to be as objective and as factual as they can. Unfortunately, every injured person has a different understanding of his own complaints and injuries, and it falls to judges to translate injuries to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[Citing </w:t>
      </w:r>
      <w:r>
        <w:rPr>
          <w:rFonts w:ascii="arial" w:eastAsia="arial" w:hAnsi="arial" w:cs="arial"/>
          <w:i/>
          <w:color w:val="000000"/>
          <w:sz w:val="20"/>
          <w:lang w:val="en-US" w:eastAsia="en-US" w:bidi="ar-SA"/>
        </w:rPr>
        <w:t>Butler v. Blaylock et al.</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this case, Ms. Sarginson's primary complaints are not purely subjective. There is no doubt the most profound impact on her enjoyment of life is the wrist injury and the ongoing limitations related to her current condition primarily arising out of her wrist injury. Ms. Sarginson was in the early part of her retirement when the accident occurred. She was an active individual, who was clearly enjoying, as characterized by counsel, her "golden years". I have found that her prognosis for a full recovery is unlikely, although further treatment may provide some improvement. Ms. Sarginson has managed her condition in a manner that helps her carry on with her day to day activities. The impact of this injury has been significant and it has very much altered her once active existence. Because she is retired, her limitations are mostly evinced by her inability to attend to responsibilities around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When considering the extent and nature of her injuries, the impact on her enjoyment of life and her uncertain prognosis, counsel for Ms. Sarginson submits that $150,000 is a reasonable award for non-pecuniary damages. In support of this position, counsel relied on the following case authorities: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Dent v. Young</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2013 BCSC 1603</w:t>
        </w:r>
      </w:hyperlink>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Gabert v. Krist</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2018 BCSC 2109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Gabert</w:t>
      </w:r>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Fatin v. Watson</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2008 BCSC 306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Fatin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defendant submits that an award for non-pecuniary damages should be in the range of $80,000 - $85,000. In addition to </w:t>
      </w:r>
      <w:r>
        <w:rPr>
          <w:rFonts w:ascii="arial" w:eastAsia="arial" w:hAnsi="arial" w:cs="arial"/>
          <w:i/>
          <w:color w:val="000000"/>
          <w:sz w:val="20"/>
          <w:lang w:val="en-US" w:eastAsia="en-US" w:bidi="ar-SA"/>
        </w:rPr>
        <w:t>Fatin</w:t>
      </w:r>
      <w:r>
        <w:rPr>
          <w:rFonts w:ascii="arial" w:eastAsia="arial" w:hAnsi="arial" w:cs="arial"/>
          <w:color w:val="000000"/>
          <w:sz w:val="20"/>
          <w:lang w:val="en-US" w:eastAsia="en-US" w:bidi="ar-SA"/>
        </w:rPr>
        <w:t>, the defendant relied on the following authorities: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Bevacqua v. Yaworski</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2012 BCSC 880</w:t>
        </w:r>
      </w:hyperlink>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Burtwell v. McCaffrey</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2013 BCSC 886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Burtwell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As is typical in personal injury cases, the cases cited by both counsel are unique to each plaintiff. Except for </w:t>
      </w:r>
      <w:r>
        <w:rPr>
          <w:rFonts w:ascii="arial" w:eastAsia="arial" w:hAnsi="arial" w:cs="arial"/>
          <w:i/>
          <w:color w:val="000000"/>
          <w:sz w:val="20"/>
          <w:lang w:val="en-US" w:eastAsia="en-US" w:bidi="ar-SA"/>
        </w:rPr>
        <w:t>Fatin</w:t>
      </w:r>
      <w:r>
        <w:rPr>
          <w:rFonts w:ascii="arial" w:eastAsia="arial" w:hAnsi="arial" w:cs="arial"/>
          <w:color w:val="000000"/>
          <w:sz w:val="20"/>
          <w:lang w:val="en-US" w:eastAsia="en-US" w:bidi="ar-SA"/>
        </w:rPr>
        <w:t xml:space="preserve">, which I will address momentarily, the plaintiff's cases were of older plaintiffs, but whom presented with injuries more serious than those presented here. For example, the trial judge in </w:t>
      </w:r>
      <w:r>
        <w:rPr>
          <w:rFonts w:ascii="arial" w:eastAsia="arial" w:hAnsi="arial" w:cs="arial"/>
          <w:i/>
          <w:color w:val="000000"/>
          <w:sz w:val="20"/>
          <w:lang w:val="en-US" w:eastAsia="en-US" w:bidi="ar-SA"/>
        </w:rPr>
        <w:t>Gabert</w:t>
      </w:r>
      <w:r>
        <w:rPr>
          <w:rFonts w:ascii="arial" w:eastAsia="arial" w:hAnsi="arial" w:cs="arial"/>
          <w:color w:val="000000"/>
          <w:sz w:val="20"/>
          <w:lang w:val="en-US" w:eastAsia="en-US" w:bidi="ar-SA"/>
        </w:rPr>
        <w:t xml:space="preserve"> found the plaintiff was suffering from a variety of conditions, including tinnitus, fibromyalgia, and chronic fatigue syndrome, which manifested as chronic, debilitating pain and were life-altering.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Albeit somewhat less serious than the injuries I have found here, I consider </w:t>
      </w:r>
      <w:r>
        <w:rPr>
          <w:rFonts w:ascii="arial" w:eastAsia="arial" w:hAnsi="arial" w:cs="arial"/>
          <w:i/>
          <w:color w:val="000000"/>
          <w:sz w:val="20"/>
          <w:lang w:val="en-US" w:eastAsia="en-US" w:bidi="ar-SA"/>
        </w:rPr>
        <w:t>Fatin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Burtwell</w:t>
      </w:r>
      <w:r>
        <w:rPr>
          <w:rFonts w:ascii="arial" w:eastAsia="arial" w:hAnsi="arial" w:cs="arial"/>
          <w:color w:val="000000"/>
          <w:sz w:val="20"/>
          <w:lang w:val="en-US" w:eastAsia="en-US" w:bidi="ar-SA"/>
        </w:rPr>
        <w:t xml:space="preserve"> to be of assistance in assessing Ms. Sarginson's claim for non-pecuniary damages. In those cases, the trial judge awarded $80,000 and $85,000 respectively. With respect to </w:t>
      </w:r>
      <w:r>
        <w:rPr>
          <w:rFonts w:ascii="arial" w:eastAsia="arial" w:hAnsi="arial" w:cs="arial"/>
          <w:i/>
          <w:color w:val="000000"/>
          <w:sz w:val="20"/>
          <w:lang w:val="en-US" w:eastAsia="en-US" w:bidi="ar-SA"/>
        </w:rPr>
        <w:t>Burtwell</w:t>
      </w:r>
      <w:r>
        <w:rPr>
          <w:rFonts w:ascii="arial" w:eastAsia="arial" w:hAnsi="arial" w:cs="arial"/>
          <w:color w:val="000000"/>
          <w:sz w:val="20"/>
          <w:lang w:val="en-US" w:eastAsia="en-US" w:bidi="ar-SA"/>
        </w:rPr>
        <w:t xml:space="preserve">, the plaintiff had fewer surgeries than Ms. Sarginson; however, in addition to wrist surgery, she also required surgery for her shoulder three years after the accident. In </w:t>
      </w:r>
      <w:r>
        <w:rPr>
          <w:rFonts w:ascii="arial" w:eastAsia="arial" w:hAnsi="arial" w:cs="arial"/>
          <w:i/>
          <w:color w:val="000000"/>
          <w:sz w:val="20"/>
          <w:lang w:val="en-US" w:eastAsia="en-US" w:bidi="ar-SA"/>
        </w:rPr>
        <w:t>Fatin</w:t>
      </w:r>
      <w:r>
        <w:rPr>
          <w:rFonts w:ascii="arial" w:eastAsia="arial" w:hAnsi="arial" w:cs="arial"/>
          <w:color w:val="000000"/>
          <w:sz w:val="20"/>
          <w:lang w:val="en-US" w:eastAsia="en-US" w:bidi="ar-SA"/>
        </w:rPr>
        <w:t>, the plaintiff had undergone one surgical procedure for his wrist and the trial judge accepted that a further surgery was required after the trial and took that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Taking into account the authorities and findings of fact made, and adjusting </w:t>
      </w:r>
      <w:r>
        <w:rPr>
          <w:rFonts w:ascii="arial" w:eastAsia="arial" w:hAnsi="arial" w:cs="arial"/>
          <w:i/>
          <w:color w:val="000000"/>
          <w:sz w:val="20"/>
          <w:lang w:val="en-US" w:eastAsia="en-US" w:bidi="ar-SA"/>
        </w:rPr>
        <w:t>Burtwell</w:t>
      </w:r>
      <w:r>
        <w:rPr>
          <w:rFonts w:ascii="arial" w:eastAsia="arial" w:hAnsi="arial" w:cs="arial"/>
          <w:color w:val="000000"/>
          <w:sz w:val="20"/>
          <w:lang w:val="en-US" w:eastAsia="en-US" w:bidi="ar-SA"/>
        </w:rPr>
        <w:t xml:space="preserve"> for inflation, I am satisfied that $125,000 will properly compensate Ms. Sarginson for her pain and suffering and loss of past and future enjoyment of life, including the psychological features identified by Dr. Sangha. As explained more fully below, I have attempted as best as I am able, to ensure that the non-pecuniary award reflects the losses Ms. Sarginson described in her testimony, including the loss of her enjoyment of the California property and the loss she feels regarding her time spent with her grandson.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Ms. Sarginson is entitled to compensation for the cost of future care based on what is reasonably necessary to restore her to her pre-accident condition, insofar as that is possible. When full restoration cannot be achieved, the court must strive to ensure full compensation by ensuring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para. 172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(Guardian ad litem of) v. Low</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at para. 48; </w:t>
      </w:r>
      <w:r>
        <w:rPr>
          <w:rFonts w:ascii="arial" w:eastAsia="arial" w:hAnsi="arial" w:cs="arial"/>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at para. 55;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test for determining the appropriate award for the future care is objective, and must be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199;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However, the award may also be reduced or increased based on the prospect of improvement or deterioration in the plaintiff's condition. Each case falls to be determined on its particular facts: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 Again, assessing a future cost of care award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submits $431,822.82 represents the value of future care costs as set out more fully in the report of Lana Malinowski, an occupational therapist. Included in the assessment for future care cases is an assessment for the costs of early entry to long-term residential care for Ms. Sarginson ($289,542.72) and Mr. Nordquist ($60,480.00).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With reference to Dr. Sangha's report, Ms. Malinowski set out the impact of Ms. Sarginson's injuries on her day-to-day functioning and made recommendations accordingly. Ms. Malinsowksi reported that the recommendations were made "in order to restore the client to as close to her pre-injury level of function as is reasonably possible, maximize functional independence and participation in the areas of self-care, productivity, and leisure and minimize functional deterioration and medical complications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assess Ms. Malinowksi's itemized list in the paragraphs that follow. However, I wish first to address her assessment for the costs of assisted living. Before doing so, I address the defendant's evidence from a functional capacity assessor, Dr. Cooke. Dr. Cooke was asked for his opinion regarding Ms. Sarginson's current limitations, if any, as they arise from her injuries sustained in the accident. In particular, Dr. Cooke assessed whether Ms. Sarginson's current condition limited her recreational and housekeeping limitations as a result of the accident. He was of the opinion that they did with respect to housekeeping but not recreationally. In my view, Dr. Cooke exceeded his scope of expertise when he wrote that her limitations are based on deconditioning and not as a result of the injuries she sustained in the accident. His conclusion in that regard is inconsistent with my findings, based on the evidence, as set out above. I have thus relied on Dr. Cooke's report for the purpose of assessing future housekeeping requirements and not for the impact her injuries have had on her prior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 agrees that Ms. Sarginson is entitled to an award for future care costs of $9,000 (kinesiologist, housecleaning, seasonal yard work), which includes a rough adjustment for present value. Regarding future care costs for assisted living, the defendant submits that the medical evidence does not demonstrate a real and substantial possibility that Ms. Sarginson will require early institutionalization.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have reviewed the medical evidence regarding early entry to assisted living. The only medical opinion on this point is from Dr. Sangha. During cross-examination, Dr. Sangha conceded that Ms. Sarginson's condition had improved, albeit only slightly, since writing his report. He made this concession in the face of his report where he wrote "the likelihood of any further improvement in function is essentially nil." In my view, Dr. Sangha's acknowledgement of some improvement does not detract from his overall evidence regarding Ms. Sarginson's current functional capacity. I also note that Dr. Sangha recommends appropriate supports to counter "a material risk of earlier institutionalization if the appropriate supports are not put into place such as increasing attendant care and home modifications." I agree with the defendant that the medical evidence, particularly in light of Dr. Sangha's opinion that providing certain supports now will reduce the risk of earlier institutionalization, fails to establish the claim for early entry to assisted living as a result of the accident for either Ms. Sarginson or Mr. Nordquist.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Taking into account the slight improvement in Ms. Sarginson's presentation from the date of his report to the time of trial, I am satisfied that the medical evidence establishes an entitlement to the future care costs as set out in the table below and that these items are reasonable in the circumstances. This assessment is based on providing support to Ms. Sarginson in the manner recommended by Dr. Sangha at this stage of her life, including physical rehabilitation, physical training, housekeeping and assistance with yard work. I have also allowed Ms. Sarginson's claim for ongoing counseling to assist her in managing her mental health moving forward. She testified that her sessions with the psychologist, Dr. Harry Stefanakis, have been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my view, these supports will help to support her longer in her home rather than moving to assisted living. As stated previously, the medical evidence does not establish, to the extent necessary, the claim for early entry into assisted living. Finally, I have allowed, in part, Ms. Sarginson's claim for dog grooming. In my view, the amount claimed was not reasonable in the circumstances. However, based on her wrist restrictions and the position taken by the defendant, I have allowed for a modest amount for dog grooming.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Each of the items identified here will support Ms. Sarginson's ability to continue her life outside of assisted living. I am satisfied that Ms. Sarginson has established, on the medical evidence, the necessity of these specified items: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6" type="#_x0000_t75" style="width:414.75pt;height:250.5pt">
            <v:imagedata r:id="rId821"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did not present evidence from an economist or otherwise to allow for present value adjustments. I agree with the defendant that an adjustment is required for the items I have found to be medically justified. Considering the assessment for future care costs is not a precise accounting exercise, I find that Ms. Sarginson is entitled to an award of $42,000 for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In-trust claim for plaintiff's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Sarginson makes an in-trust claim for her spouse, Mr. Nordquist. She submits: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cost of $20.00/hr is a quantification that reflects the wage of a substitute caregiver for the services provided by her husband over and above what should reasonably be expected of him. At an average of 8 hours/day since the accident, this plaintiff submits an in-trust claim of her husband of $266,080.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 contends that there should be no award for an in-trust claim. Alternatively, the defendant submits that a nominal in-trust award be made for services Mr. Nordquist provided after each surgical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parties agree that the factors to be considered are as set out by Justice Smith in </w:t>
      </w:r>
      <w:r>
        <w:rPr>
          <w:rFonts w:ascii="arial" w:eastAsia="arial" w:hAnsi="arial" w:cs="arial"/>
          <w:i/>
          <w:color w:val="000000"/>
          <w:sz w:val="20"/>
          <w:lang w:val="en-US" w:eastAsia="en-US" w:bidi="ar-SA"/>
        </w:rPr>
        <w:t>Bystedt v. Bagdan</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 180, as follows:</w:t>
      </w:r>
      <w:r>
        <w:rPr>
          <w:rFonts w:ascii="arial" w:eastAsia="arial" w:hAnsi="arial" w:cs="arial"/>
          <w:sz w:val="20"/>
          <w:lang w:val="en-US" w:eastAsia="en-US" w:bidi="ar-SA"/>
        </w:rPr>
        <w:cr/>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(here, the normal care of an uninjured child);</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Ms. Sarginson submits that mathematical precision is not required to assess the value of this claim. In </w:t>
      </w:r>
      <w:r>
        <w:rPr>
          <w:rFonts w:ascii="arial" w:eastAsia="arial" w:hAnsi="arial" w:cs="arial"/>
          <w:i/>
          <w:color w:val="000000"/>
          <w:sz w:val="20"/>
          <w:lang w:val="en-US" w:eastAsia="en-US" w:bidi="ar-SA"/>
        </w:rPr>
        <w:t>Atker v. Nair</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2011 BCSC 1877</w:t>
        </w:r>
      </w:hyperlink>
      <w:r>
        <w:rPr>
          <w:rFonts w:ascii="arial" w:eastAsia="arial" w:hAnsi="arial" w:cs="arial"/>
          <w:color w:val="000000"/>
          <w:sz w:val="20"/>
          <w:lang w:val="en-US" w:eastAsia="en-US" w:bidi="ar-SA"/>
        </w:rPr>
        <w:t>, Justice Wedge awarded $5,000 in-trust to the plaintiff's sister-in-law for the care and services provided to the plaintiff following the collision. In so doing, she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I turn then to Ms. Atker's in-trust claim. I accept the evidence of Ms. Atker and her spouse that prior to the accident, Ms. Atker was responsible for the full spectrum of child care and house care duties together with her sister-in-law and did in fact fulfill all those duties before reporting for work for an eight hour shift each day. I also accept her evidence that following the accident, Ms. Atker's sister-in-law performed all of Ms. Atker's duties for the first two to three months. I accept that Ms. Atker continued to require her sister-in-law's assistance, albeit to a lesser extent, for a further four to five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It is open to the Court to observe that it would cost approximately $20 per hour to hire a domestic worker to perform those duties. I cannot calculate the in-trust claim with mathematical precision, but on the basis of the time frames involved, I am satisfied that an in-trust award of $5,000 is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James v. James</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2018 BCSC 603</w:t>
        </w:r>
      </w:hyperlink>
      <w:r>
        <w:rPr>
          <w:rFonts w:ascii="arial" w:eastAsia="arial" w:hAnsi="arial" w:cs="arial"/>
          <w:color w:val="000000"/>
          <w:sz w:val="20"/>
          <w:lang w:val="en-US" w:eastAsia="en-US" w:bidi="ar-SA"/>
        </w:rPr>
        <w:t xml:space="preserve"> at paras. 148-149, wherein Justice Betton confirms that the in-trust award for past care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am satisfied that Ms. Sarginson is entitled to a nominal amount to compensate her spouse. This reflects Mr. Nordquist's housekeeping and care provided for a reasonable time after each of the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am satisfied that because of the accident, Mr. Nordquist performed services and incurred costs to care for his spouse and continued to do so following each of the four necessary surgeries. As a part of that responsibility, and in addition to the other services he was providing, Mr. Nordquist was required to provide extra housekeeping, yard work and care over and above that which would normally be required in a marriage. I do not accept that Mr. Nordquist spent 8 hours per day on these additional tasks. That number is extraordinary and is not proven on the evidence tendered.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Although I cannot calculate the in-trust claim with mathematical precision, I accept that Ms. Sarginson would likely have provided greater contribution to the household, including their move to the Abbotsford home, yard work, gardening and transportation. Estimating the cost associated with housekeeping, yard maintenance, moving and alternative methods of transportation, and although not calculated with mathematical precision, an award of $15,000</w:t>
      </w:r>
      <w:bookmarkStart w:id="175" w:name="Backward_fnref_fnr-3_0"/>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175"/>
      <w:r>
        <w:rPr>
          <w:rFonts w:ascii="arial" w:eastAsia="arial" w:hAnsi="arial" w:cs="arial"/>
          <w:color w:val="000000"/>
          <w:sz w:val="20"/>
          <w:lang w:val="en-US" w:eastAsia="en-US" w:bidi="ar-SA"/>
        </w:rPr>
        <w:t xml:space="preserve"> is reasonable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Claims Characterized as "Lost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this category, Ms. Sarginson submits that she is entitled to damages for:</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loss of opportunity in the amount of $50,000 - $100,000 connected to her inability to assist with the renovations and landscaping of the home they purchased after the accident;</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restricted ability to use the California vacation home after the accident in the amount of $10,000; and</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"lost tutoring opportunity" to regularly teach her grandson in the amount of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say at the outset that I am not satisfied that there is sufficient evidence before me to establish an entitlement to the awards sought. Except for Ms. Sarginson's testimony and some documents relating to the renovations of the home, there is no evidence before me to determine reasonableness of this elderly couple "upsizing" their residence (after the accident) and expecting (even absent the accident) to be able to perform the nature of the work described. I am not satisfied that their prior experience of installing laminate flooring, a small fence, holiday decorations, painting and planting multiple rose bushes, is sufficient to establish, on the evidence before me, that Ms. Sarginson and Mr. Nordquist had the skill and ability to perform the renovations they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Similarly, I am not satisfied that there is sufficient evidence to prove the claim relating to the California property or the claim for loss of opportunity to tutor her grandchild. Rather, I have attempted to reflect these losses in the overall non-pecuniary award I have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seeks $39,424.48 for special damages she has incurred since the accident. The defendant takes the position that she is entitled to $8,727.39 for special damages relating to some of the physical rehabilitation expenses, counseling, transportation, some medications and apparatus and some of the pet grooming. I agree with the defendant that the mileage for the Californian trip is not recoverable nor is the claim for labour relating to the renovations of the new house. Because of the state of the evidence regarding weight gain, I allow for 50% of the clothing replacement cost. I have reviewed the evidence regarding the items claimed and have awarded special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750"/>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Claim</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Amount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Physiotherapy/Rehab</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$473. 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Personal Training</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$964. 95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Massage/Acupuncture</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$3,191. 25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Counselling</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$2,700. 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Parking for medical appointments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$259. 25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Mileage for medical appointments at $0.</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$1991. 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40/km</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Mileage for California trips at $0. 40/km</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Pharmaceuticals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$277. 30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Medical Apparatus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$271. 97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Miscellaneous Medical</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$155. 95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Adapted household items</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$330. 93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Pet Grooming</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$696. 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Clothing</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$800. 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Labour</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$12,111. 70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VII.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summary,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Non-Pecuniary Damages</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Future Cost of Care</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In-trust claim for spouse</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Special Damages</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$12,111. 70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$194,111. 70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VIII.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If the parties are unable to agree on costs, they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thank counsel for their helpful written submissions provided prior to the commencement of the closing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 WINTERINGHAM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57" style="position:absolute;z-index:25183027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76"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176"/>
      <w:r>
        <w:rPr>
          <w:rFonts w:ascii="arial" w:eastAsia="arial" w:hAnsi="arial" w:cs="arial"/>
          <w:sz w:val="20"/>
          <w:lang w:val="en-US" w:eastAsia="en-US" w:bidi="ar-SA"/>
        </w:rPr>
        <w:tab/>
      </w:r>
      <w:r>
        <w:rPr>
          <w:rFonts w:ascii="arial" w:eastAsia="arial" w:hAnsi="arial" w:cs="arial"/>
          <w:color w:val="6D6E71"/>
          <w:sz w:val="18"/>
          <w:lang w:val="en-US" w:eastAsia="en-US" w:bidi="ar-SA"/>
        </w:rPr>
        <w:t>The action against the defendant Balaban Borka was discontinued.</w:t>
      </w:r>
    </w:p>
    <w:p>
      <w:pPr>
        <w:spacing w:before="120" w:after="20" w:line="240" w:lineRule="atLeast"/>
        <w:ind w:left="720" w:hanging="360"/>
        <w:jc w:val="both"/>
        <w:rPr>
          <w:rFonts w:ascii="arial" w:eastAsia="arial" w:hAnsi="arial" w:cs="arial"/>
          <w:sz w:val="20"/>
          <w:lang w:val="en-US" w:eastAsia="en-US" w:bidi="ar-SA"/>
        </w:rPr>
      </w:pPr>
      <w:bookmarkStart w:id="177" w:name="Forward_fnref_fnr-2_0"/>
      <w:hyperlink w:anchor="Backward_fnref_fnr-2" w:history="1">
        <w:r>
          <w:rPr>
            <w:rFonts w:ascii="arial" w:eastAsia="arial" w:hAnsi="arial" w:cs="arial"/>
            <w:b/>
            <w:color w:val="BE161D"/>
            <w:sz w:val="18"/>
            <w:shd w:val="clear" w:color="auto" w:fill="FFFFFF"/>
            <w:lang w:val="en-US" w:eastAsia="en-US" w:bidi="ar-SA"/>
          </w:rPr>
          <w:t>2</w:t>
        </w:r>
      </w:hyperlink>
      <w:bookmarkEnd w:id="177"/>
      <w:r>
        <w:rPr>
          <w:rFonts w:ascii="arial" w:eastAsia="arial" w:hAnsi="arial" w:cs="arial"/>
          <w:sz w:val="20"/>
          <w:lang w:val="en-US" w:eastAsia="en-US" w:bidi="ar-SA"/>
        </w:rPr>
        <w:tab/>
      </w:r>
      <w:r>
        <w:rPr>
          <w:rFonts w:ascii="arial" w:eastAsia="arial" w:hAnsi="arial" w:cs="arial"/>
          <w:color w:val="6D6E71"/>
          <w:sz w:val="18"/>
          <w:lang w:val="en-US" w:eastAsia="en-US" w:bidi="ar-SA"/>
        </w:rPr>
        <w:t>As stated previously, Mr. Nordquist is married to Ms. Sarginson. He is also the defendant and admitted liability for the accident. Counsel raised a concern regarding the conduct of a pre-trial interview in circumstances where Mr. Nordquist is an adverse witness. To address this objection, counsel suggested his evidence be disregarded. I have relied on his testimony only where it is corroborated by other evidence.</w:t>
      </w:r>
    </w:p>
    <w:p>
      <w:pPr>
        <w:spacing w:before="120" w:after="20" w:line="240" w:lineRule="atLeast"/>
        <w:ind w:left="720" w:hanging="360"/>
        <w:jc w:val="both"/>
        <w:rPr>
          <w:rFonts w:ascii="arial" w:eastAsia="arial" w:hAnsi="arial" w:cs="arial"/>
          <w:sz w:val="20"/>
          <w:lang w:val="en-US" w:eastAsia="en-US" w:bidi="ar-SA"/>
        </w:rPr>
      </w:pPr>
      <w:bookmarkStart w:id="178" w:name="Forward_fnref_fnr-3_0"/>
      <w:hyperlink w:anchor="Backward_fnref_fnr-3" w:history="1">
        <w:r>
          <w:rPr>
            <w:rFonts w:ascii="arial" w:eastAsia="arial" w:hAnsi="arial" w:cs="arial"/>
            <w:b/>
            <w:color w:val="BE161D"/>
            <w:sz w:val="18"/>
            <w:shd w:val="clear" w:color="auto" w:fill="FFFFFF"/>
            <w:lang w:val="en-US" w:eastAsia="en-US" w:bidi="ar-SA"/>
          </w:rPr>
          <w:t>3</w:t>
        </w:r>
      </w:hyperlink>
      <w:bookmarkEnd w:id="178"/>
      <w:r>
        <w:rPr>
          <w:rFonts w:ascii="arial" w:eastAsia="arial" w:hAnsi="arial" w:cs="arial"/>
          <w:sz w:val="20"/>
          <w:lang w:val="en-US" w:eastAsia="en-US" w:bidi="ar-SA"/>
        </w:rPr>
        <w:tab/>
      </w:r>
      <w:r>
        <w:rPr>
          <w:rFonts w:ascii="arial" w:eastAsia="arial" w:hAnsi="arial" w:cs="arial"/>
          <w:color w:val="6D6E71"/>
          <w:sz w:val="18"/>
          <w:lang w:val="en-US" w:eastAsia="en-US" w:bidi="ar-SA"/>
        </w:rPr>
        <w:t>This figure is based in part on an estimate of house-keeping expenses: calculated at $20.00 / hour for four hours of care per day for six weeks following each surgery totaling $13,440 and yard maintenance (partial) over four years since the accident: $2,000.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Smith v. Canada (Attorney General), [2004] B.C.J. No. 2469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22 - 26, March 29 - April 2, April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5 - 8, 19 - 23, and 26 - 27,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S025326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2469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818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337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 Smith, B. Tim and T. Alfred, plaintiffs, and City of New Westminster,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(179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Supplementary reasons for judgment were released by the Court October 14, 2004. See [2004] B.C.J. No. 2470.]</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9" w:name="Keywords_20"/>
      <w:bookmarkEnd w:id="179"/>
      <w:r>
        <w:rPr>
          <w:rFonts w:ascii="arial" w:eastAsia="arial" w:hAnsi="arial" w:cs="arial"/>
          <w:b/>
          <w:color w:val="000000"/>
          <w:sz w:val="20"/>
          <w:lang w:val="en-US" w:eastAsia="en-US" w:bidi="ar-SA"/>
        </w:rPr>
        <w:t>Police — Actions against police — Torts — Duty of care, particular relationships — Claims against public officials, authorities or boards — Police officers.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0" w:name="Case Summary_19"/>
            <w:bookmarkEnd w:id="1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family against the police services for breach of fiduciary duty in connection with the witness protection program. While the police services acknowledged that it had agreed to provide the family with protection, it denied that it had a fiduciary relationship with the family. The parent's 18-year-old son was executed by a crime group. The mother had information crucial to the investigation. She and the rest of the family voiced their concerns regarding their safety. The police services agreed the concerns were real and serious. They were also aware of the pressure being placed on the family not to cooperate with police. Although the police services was unfamiliar with the provincial and federal witness protection programs, they agreed to provide protection in return for sworn statements from the family members. When the RCMP refused the family's application, the police services provided protection through the provincial program. The family had difficulty adapting to the program. Despite being told not to, they disclosed their locations to family and friends. The father had also contacted, Gill, a high profile Indo-Canadian in B.C. to complain about the family's treatment. When they were relocated to Winnipeg, the father contacted the Manitoba Department of Vital Statistics. In addition, the youngest son had ongoing contact with the head of the crime group suspected of murdering his brother. There were problems from the beginning because of the police services inexperience with the program and their failure to adequately assess the family's suitability for the program. However, on a number of occasions the police services had gone above and beyond in order to accommodate the family. The family claimed the police services had breached their fiduciary duty by failing to warn them of the limitations of their ability to place the family in the federal witness protection program.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1" w:name="Holdings of Court_16"/>
            <w:bookmarkEnd w:id="18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police services had entered into a fiduciary relationship with the family however, they had not breached their fiduciary duty. The fiduciary relationship was established as a private law relationship directly with the family. By agreeing to provide them with witness protection in return for their assistance in the criminal investigation, the police services became the recipient of their trust and confidence and had the sole discretion to affect their interests. While some of the family's complaints may have provided some basis for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negligent misrepresentation, they did not constitute evidence of dishonesty or disloyalty toward the family and thus a breach of the fiduciary duty. It was the family's own actions that had materially affected their vulnerability and increased their risk of potential harm.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2" w:name="Legislation Cited_9"/>
      <w:bookmarkEnd w:id="1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0"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3(a),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Witness Protection Program Act, </w:t>
      </w:r>
      <w:hyperlink r:id="rId832" w:history="1">
        <w:r>
          <w:rPr>
            <w:rFonts w:ascii="arial" w:eastAsia="arial" w:hAnsi="arial" w:cs="arial"/>
            <w:i/>
            <w:color w:val="0077CC"/>
            <w:sz w:val="20"/>
            <w:u w:val="single"/>
            <w:shd w:val="clear" w:color="auto" w:fill="FFFFFF"/>
            <w:lang w:val="en-US" w:eastAsia="en-US" w:bidi="ar-SA"/>
          </w:rPr>
          <w:t>S.C. 1996, c. 15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3" w:name="Counsel_32"/>
      <w:bookmarkEnd w:id="1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M. Dunn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J. Yardly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4" w:name="Judgment_32"/>
      <w:bookmarkEnd w:id="184"/>
      <w:r>
        <w:pict>
          <v:line id="_x0000_s1162" style="position:absolute;z-index:25183129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Corrigenda were released by the Court July 13 and October 8, 2004. The corrections have been made to the text and the Corrigenda are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5" w:name="D.M. SMITH J."/>
            <w:bookmarkEnd w:id="185"/>
            <w:r>
              <w:rPr>
                <w:rFonts w:ascii="arial" w:eastAsia="arial" w:hAnsi="arial" w:cs="arial"/>
                <w:b/>
                <w:color w:val="000000"/>
                <w:sz w:val="30"/>
                <w:lang w:val="en-US" w:eastAsia="en-US" w:bidi="ar-SA"/>
              </w:rPr>
              <w:t>D.M. SMITH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 Smith, B. Tim, and T. Alfred, are pseudonyms for the father, mother, and younger brother, respectively, of an 18-year-old young man ("Derek") who was executed by members of an Indo-Canadian crime group on September 19, 1998. At the request of his mother, who had critical information regarding her eldest son's murder, the City of New Westminster's police force, New Westminster Police Services ("NWPS"), agreed to provide the family with witness protection in exchange for their sworn video and audio taped statements ("KGB statements") regarding Derek's murder ("the Agreement"). Each of the plaintiffs provided KGB statements and in exchange NWPS provided the plaintiffs with witness protection until August 30, 1999. The family's youngest son ("C. Winslow") was also a party to the Agreement but left the witness protection program and has since abandoned any claims made on his behalf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September 12, 2002, the plaintiffs commenced a damages action for breach of contract and breach of fiduciary duty. Initially the action included claims against the Attorney General of Canada, the Attorney General of British Columbia, the City of Vancouver, the City of New Westminster and Her Majesty the Queen in Right of the Province of British Columbia. However, all claims except those against the City of New Westminster have since been dismissed. See Smith et al. v. Attorney General of Canada et al., 2003 BCSC 1844.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claims against NWPS involve allegations that NWPS failed to comply with the terms of the Agreement and that it breached a fiduciary duty owed to them upon their entering the witness protection program. In that regard, the plaintiffs claim NWPS failed to act in their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Specifically, the plaintiffs allege that NWPS promised to do the following:</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arrange for new identities through name changes and new SIN numbers;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 in full their existing debts at September 18, 1998 (estimated at $70,000);</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relocate them to a place of their choice in Canada, the U.S.A., New Zealand or Australia;</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 all reasonable expenses for their relocation so they could re-establish themselves in circumstances similar to those in which they had previously been living;</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 for their medical and dental costs, including counselling fees for any relocation adjustment and grief over the trauma of Derek's death;</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 the costs of private schooling for T. Alfred and C. Winslow;</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assume all obligations with respect to their rental accommodation in Richmond;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 for and provide police protection for their attendance at Derek's funeral, six-month and one-year prayer services in accordance with the Hindu faith;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 for and provide police protection for occasional visits to B.C. with extended family and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each seek non-pecuniary damages for emotional and psychological pain, past income loss, loss of future earning capacity, payment of pre-existing and post-acquired debts incurred before and after Derek's death, aggravated damages and solicitor-client costs. They have calculated the value of their collective claims at over a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While NWPS acknowledges that it agreed to provide the plaintiffs with witness protection, it denies the terms of the Agreement or the promises as alleged by the plaintiffs. It further denies that it had a fiduciary relationship with the plaintiffs or that it breached a fiduciary duty owed to them. In the event it is found to have breached a fiduciary duty owed to the plaintiffs, it denies the plaintiffs suffered any attendant losses from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conclusion of the trial, the plaintiffs abandoned their damages claim for breach of contract and acknowledged the evidence did not support that claim. While there was evidence of an oral agreement with NWPS for witness protection in exchange for the plaintiffs' KGB statements, there was no evidence of an agreement that included the specific terms alleged by the plaintiffs at the material time. The plaintiffs maintain, however, that NWPS made the alleged promises after they entered into the Agreement and that it failed to fulfil those promises. These allegations form the basis for their damages claim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NWPS raised a limitation defence with respect to the damages claim for breach of fiduciary duty. It submitted that while s. 3(5) of the Limitation Act, </w:t>
      </w:r>
      <w:hyperlink r:id="rId7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provides for a six-year limitation period for a breach of fiduciary duty claim, the heart of this claim was based on an allegation of breach of contract, which is subject to a two-year limitation period pursuant to s. 3(a) of the Limitation Act and therefore statute-barred. Relying on Kemp v. Metzner </w:t>
      </w:r>
      <w:hyperlink r:id="rId833" w:history="1">
        <w:r>
          <w:rPr>
            <w:rFonts w:ascii="arial" w:eastAsia="arial" w:hAnsi="arial" w:cs="arial"/>
            <w:i/>
            <w:color w:val="0077CC"/>
            <w:sz w:val="20"/>
            <w:u w:val="single"/>
            <w:shd w:val="clear" w:color="auto" w:fill="FFFFFF"/>
            <w:lang w:val="en-US" w:eastAsia="en-US" w:bidi="ar-SA"/>
          </w:rPr>
          <w:t>(2000), 78 B.C.L.R. (3d) 187</w:t>
        </w:r>
      </w:hyperlink>
      <w:r>
        <w:rPr>
          <w:rFonts w:ascii="arial" w:eastAsia="arial" w:hAnsi="arial" w:cs="arial"/>
          <w:color w:val="000000"/>
          <w:sz w:val="20"/>
          <w:lang w:val="en-US" w:eastAsia="en-US" w:bidi="ar-SA"/>
        </w:rPr>
        <w:t xml:space="preserve"> (C.A.), </w:t>
      </w:r>
      <w:hyperlink r:id="rId833" w:history="1">
        <w:r>
          <w:rPr>
            <w:rFonts w:ascii="arial" w:eastAsia="arial" w:hAnsi="arial" w:cs="arial"/>
            <w:i/>
            <w:color w:val="0077CC"/>
            <w:sz w:val="20"/>
            <w:u w:val="single"/>
            <w:shd w:val="clear" w:color="auto" w:fill="FFFFFF"/>
            <w:lang w:val="en-US" w:eastAsia="en-US" w:bidi="ar-SA"/>
          </w:rPr>
          <w:t>2000 BCCA 462</w:t>
        </w:r>
      </w:hyperlink>
      <w:r>
        <w:rPr>
          <w:rFonts w:ascii="arial" w:eastAsia="arial" w:hAnsi="arial" w:cs="arial"/>
          <w:color w:val="000000"/>
          <w:sz w:val="20"/>
          <w:lang w:val="en-US" w:eastAsia="en-US" w:bidi="ar-SA"/>
        </w:rPr>
        <w:t>, counsel for the defendant submitted that, in this case, the limitation period for the plaintiffs' breach of fiduciary duty claim was reduced to two years because of a "melding" of the pleadings for that claim with those alleging breach of contract. I have concluded, however, that the pleadings for the breach of fiduciary duty claim include allegations that are sufficiently independent of those relating to the breach of contract claim and are therefore subject to a six-year limitation period and not statute-barred.</w:t>
      </w:r>
      <w:r>
        <w:rPr>
          <w:rFonts w:ascii="arial" w:eastAsia="arial" w:hAnsi="arial" w:cs="arial"/>
          <w:sz w:val="20"/>
          <w:lang w:val="en-US" w:eastAsia="en-US" w:bidi="ar-SA"/>
        </w:rPr>
        <w:cr/>
      </w:r>
    </w:p>
    <w:p>
      <w:pPr>
        <w:numPr>
          <w:numId w:val="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issues to be determined in regard to the breach of fiduciary duty claim may be summarized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 fiduciary relationship exist between the plaintiffs and NWPS;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fiduciary relationship existed between the parties, did NWPS breach its fiduciary duty to the plaintiffs;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NWPS breached its fiduciary duty to the plaintiffs, did the plaintiffs suffer any damages as a result of that breach.</w:t>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 Smith, age 46, was born in Fiji and immigrated to Canada in 1973. He is a devout Hindu who participated extensively in religious functions associated with his faith. Ms Tim, age 46, was born and raised in northern Saskatchewan. The parties met in Alberta in 1977 and lived together in a spousal relationship from 1977 until their marriage in 1988. They had three sons, Derek, born November 11, 1978, T. Alfred, born August 21, 1980, and C. Winslow, born May 7, 1984. Ms Tim had a special bond with Derek.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1995, the family moved to Richmond, B.C. They lived in a five-bedroom home which they rented for $1,500 a month from a company in which Mr. Smith had a 49% interest and his brother a 51% interest. The company has owned and operated an auto body business in the Lower Mainland since 1993. The business was established by Mr. Smith in partnership with his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Smith is a certified auto body mechanic and painter. By 1998, he was earning a gross annual salary of $60,000 from the business. Additional income from the business was split for tax purposes with other family members, including Ms Tim and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result of a business dispute with his brother in April, 1998, Mr. Smith was fired from his employment at the auto body business. He has not worked since that date except for a few weeks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C. Winslow started grade one, Ms Tim worked part-time as a cashier in a pharmacy and in 1993 was hired by Canada Safeway as a cashier. By 1998, she was earning a gross annual employment income of about $10,000. She has not worked since her son's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time of Derek's murder, the family was experiencing economic, marital and personal difficulties. They had rent arrears of about $7,500 and outstanding debts of about $70,000. While their estimated monthly expenses were $6,000, only Ms Tim had employment income, which was insufficient to meet the family's expenses. In January, 1998, Mr. Smith's interest in the auto body business was valued at about $400,000 but it remained tied up in the shareholder's dispute with his brother, which is currently the subject matter of a court action. Prior to Derek's death, Mr. Smith and Derek had been looking into the purchase of another auto body business in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Smith and Ms Tim had a history of marital difficulties. They had separated briefly on two occasions. Mr. Smith's long work hours and time away from home for religious activities had created difficulties in their relationship. Mr. Smith's family was not accepting of Ms Tim's family background. Similarly, Mr. Smith did not have a close relationship with Ms Tim's family. On occasion the couple's disputes involved domestic violence that required the attendance of police. An incident in Washington, U.S.A., resulted in Mr. Smith being criminally charged with spousal assault. The matter was scheduled to proceed to trial in November, 1998, but was stayed after Derek's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Both parties had health issues. In the 1980's, Ms Tim took an overdose of medication in an attempt to gain attention from Mr. Smith. In 1987, Mr. Smith was diagnosed with diabetes. He was also diagnosed with high blood pressure and high cholesterol which he controls through medication. Occasionally, he has suffered chest pains brought on by stress from both home and work. He is extremely anxious about his health because of his family's history of heart disease and his father's premature death from the disease. He also has a significant history of depression for which he was hospitalized in 1988 due to suicidal ideation. He told one of his treating doctors that there was no time in his life that he felt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Smith and Ms Tim's children were also experiencing difficulties before Derek's death. They were friendly with the three sons of a neighbouring family: Manny, Bal and Kelly Buttar. The six boys frequently visited one another in their respective homes. Mr. Smith suspected that Derek was involved in trafficking drugs with one or more of the Buttar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Buttar brothers were involved in criminal activities and had a reputation for violence and intimidation. They were known to have used such extreme tactics as aggravated assault, forcible confinement, threats with weapons, extortion and murder. In May, 1998, Kelly Buttar, had been granted bail pending his trial on criminal charges. In June, 1998, Bal Buttar had been released from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Bal Buttar was very unpredictable and had a violent temper. He was considered the most dangerous of the three Buttar brothers. Bal and Kelly Buttar were closely associated with the Bindy Johal crime group, which was believed to have been responsible for the murders of a number of young Indo-Canadian men in the Lower Mainland. Bal Buttar was Bindy Johal's bodyguard and main "enforcer". Following Bindy Johal's murder in December, 1998, it was believed that Manny Buttar assumed control of the crime group, using Kelly Buttar as his main operator. Kelly was Derek's closest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Derek was employed at his father and uncle's auto body business until his detention on a criminal charge in Spring 1998. He was the primary suspect in a robbery of the Safeway store where Ms Tim was employed. However, in early September the charge was stayed and he was released from custody subject to a 10:00 p.m. curfew. Following his release, he continued his association with the Buttar brothers and in particular Kelly Buttar.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 Winslow, the couple's youngest son, had serious behavioral problems. In his teens, he was diagnosed as having attention deficit/hyperactivity disorder. He would become violent when angry and was expelled from school for his aggressive and violent behaviour. He was repeatedly involved in fights with his brothers and other persons in the community. He reacted violently to those who showed him disrespect. He had a police history of numerous incidents. He was friends with Kelly Buttar and idealized Paul Khela who also associated with the Buttar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the family was relocated, C. Winslow returned to the Lower Mainland on several occasions and continued to associate with Mr. Khela. Mr. Khela had assumed control of the Bindy Johal crime group from Manny Buttar. The Khela crime group was suspected in several Lower Mainland murders and had been the target of weapons seizures by the police. Recently, Mr. Khela was convicted of first degree murder.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August, 2002, C. Winslow stayed at Mr. Khela's residence in Richmond. It is believed that Mr. Kehla funded C. Winslow's return to Vancouver in December, 2002, to attend his wedding.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 Alfred described the Buttar brothers as friends but denied any involvement in their criminal activities. He did however, have an outstanding criminal charge at the time of his brother's death, which was subsequently stayed. His high school records also indicated that he was failing academically. He had been training with a professional wrestler and showed talent, discipline and a commitment to the sport. However, the extent of his ability and his dream of becoming a professional wrestler, a goal that few reach, was still unknown.</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evening of September 18, 1998, Derek was out with Kelly Buttar and some of his friends. He had not returned home for his 10:00 p.m. curfew. Mr. Smith and Ms Tim had an argument earlier in the evening and each had gone out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Shortly after 10:00 p.m. Mr. Smith arrived home. Neither Ms Tim nor Derek was home. Mr. Smith phoned Derek's cell phone which was answered by an Indo-Canadian male. At first Mr. Smith thought the voice was that of Manny Buttar but in his final KGB statement on September 29, 1998, he revised his opinion and believed it was that of Bal Buttar. He spoke briefly with Derek who said that he would be home in 10 or 15 minutes. Mr. Smith was concerned about Derek's whereabouts and went out to look for him. Ms Tim arrived home shortly thereafter. She too was concerned that Derek was not home. She called him several times on his cell phone and told him to come home. At midnight one of Derek's friends came to the door and was surprised that Derek was not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Tim went to bed, but in the early morning hours of September 19, 1998, around 2:30-2:35 a.m., she was wakened by a noise. She noticed that Derek was still not home. She called his cell phone which came on automatically. She heard people noise in the background. She said hello and asked if Derek was there but received no reply. She heard a voice in the background that she recognized as Bal Buttar. She then heard Derek's voice, which sounded distressed. She heard Derek say, "Oh my God", followed by Bal Buttar's voice ordering him to "Get out". The cell phone then went dead. Ms Tim tried to phone Derek back but could only reach the cell phone's recorded message. She drove to the Buttar residence but the house was dark. She returned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Mr. Smith arrived home Ms Tim pretended to be asleep in bed. She did not tell Mr. Smith about the cell phone call until the morning. Mr. Smith spent that day searching for his son. He spoke with Mrs. Buttar who told him that she would "pray for his son's soul". By evening the family knew something was seriously wrong and they reported their son missing to the Richmond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about midnight, two members of the Richmond RCMP arrived at the plaintiffs' home. They advised the family that Derek's body had been discovered at about 7:00 a.m that morning underneath the Queensborough Bridge in the City of New Westminster. He had been shot twice in the head, the victim of an execution style shooting. NWPS concluded that he had been murdered shortly after Ms Tim's call to his cell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No criminal charges have been laid in regard to Derek's murder but at the time NWPS had four suspects: Bal Buttar, the primary suspect, who was himself a victim of an attempted murder and is now a blind quadriplegic; Kelly Buttar, who was murdered in 2001; Manny Buttar, who is no longer a suspect and whose whereabouts are unknown; and a fourth suspect, believed to have been with Bal Buttar at the time of the murder, and who has since been murdered. Although most of the suspects are now either deceased or incapacitated, at the time the plaintiffs were considered to be at a very high risk for future violence and/or intimidation.</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20 - October 2,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agreed to be taken to the NWPS office to be interviewed. They arrived at the police station at about 3:00 a.m. on Sunday, September 20, 1998. They were distraught, shaken and fearful for their personal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Family members and friends met them at the NWPS police station. They urged them not to talk to police but to return home. However, both Ms Tim and Mr. Smith wanted to assist the police in finding their son's killer(s). Mr. Smith had a reputation for being deferential to authority and was often criticized within his community for that deference.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Smith and Ms Tim's recollection of events and conversations with NWPS were often generalized and vague. T. Alfred admittedly had little recollection of his dealings with NWPS. In comparison, the evidence of the police officers who dealt with the plaintiffs was largely based on contemporaneous and detailed notes that had been made at the time of the events. In that regard, their evidence that was corroborated by the notes was more reliable than that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first met with Staff Sergeant Kelly at the NWPS detachment. He encouraged them to assist the police in the investigation of Derek's death. He told them that no one from the Indo-Canadian community had previously come forward to assist the police. He urged them not to return home but to wait for the criminal investigators to arrive so that they could be interviewed.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Detective Pope, the lead investigator into Derek's murder, arrived shortly after. He understood that Ms Tim had information critical to the investigation and he sought to interview her in that regard. Before agreeing to the interview, Ms Tim asked that her family be given witness protection. She was reassured by officer Pope that it would be provided and her family would be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Smith also expressed concern about the family's safety and asked for a 24/7 armed police presence at their home. While NWPS perceived the threat to the plaintiffs' safety as real and serious, and accepted that the family needed protection, it believed that it would be too dangerous for the plaintiffs to return home. In its view, the best protection it could provide the family would be in a nearby "safe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Officers Kelly and Pope reassured the family that NWPS would ensure their personal safety. However, they also advised them that as criminal investigators neither had any personal knowledge or experience with witness protection. Officer Pope told the plaintiffs he did not know the details of the witness protection program but that NWPS had police officers who did. He told them that it was important for the investigation team to keep itself at arms length from any discussions with the plaintiffs regarding benefits they might receive through the witness protection program, so that if the matter went to trial the officers would not be perceived as buying the plaintiffs' evidence. He advised Ms Tim that NWPS had witness protection experts who would review with them the details of the witness protection program. On that understanding, Ms Tim gave officer Pope her first KGB statement in the early morning of September 20,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interview lasted from 4:00 a.m. to 5:20 a.m. Later that morning Mr. Smith and T. Alfred were interviewed by other NWPS police officers. Officer Pope took KGB statements from Mr. Smith and T. Alfred on September 23, 1998, and a further KGB statement from Mr. Smith on September 29,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Tim and Mr. Smith initially claimed that officer Pope, along with other members of NWPS, made the above-noted specific promises to them before they agreed to provide their KGB statements. Mr. Smith admitted that neither he nor Ms Tim wrote down any of promises they alleged were made by NWPS.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details of who made the alleged promises and when they were made were vague. At the conclusion of the trial, the plaintiffs acknowledged that, based on the known timeline of events, NWPS could not have made the alleged promises to them before Ms Tim gave her first KGB statement on September 20, 1998, and therefore they could not have been included in the terms of the Agreement. In particular, officer Pope was unaware of the details of the RCMP witness protection program and there was no opportunity for such a discussion to have occurred between the plaintiffs' arrival at the station at 3:00 a.m. and Ms Tim's KGB statement at 4:00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family remained in the care of NWPS for about a week. Throughout this period, officer Pope offered the plaintiffs his sympathy and condolences, told them what NWPS would do in order to find the killer(s) of their son, and reassured them generally that they would be protected. He interviewed Ms Tim and Mr. Smith on two further occasions. While Ms Tim had valuable information for the investigation, he found Mr. Smith to be evasive, unfocussed, and often rambling.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Over the next several days the plaintiffs remained at a nearby hotel with 24/7 armed protection. Periodically, they attended at the police station for further questioning. A key to the plaintiffs' home was obtained from Mr. Smith and arrangements were made for some of the family's personal belongings to be retrieved.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Smith stated that all of the alleged promises were made by officer Pope before he gave him the key to his house. However, both he and Ms Tim also acknowledged that officers Kelly and Pope only gave them general assurances regarding their safety and referred them to NWPS's experts in witness protection for the details. Those officers did not meet the plaintiffs until September 24,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Staff Sergeant Stenerson and Constable Keenan were introduced to the plaintiffs as witness protection experts although their experience in the field was limited. Officer Stenerson had had some minor involvement in the relocation of a witness a few years earlier. Constable Keenan had no prior experience. NWPS had no formal witness protection policy or program and none of its officers had any formal training in the field. While generally they were aware of the RCMP witness protection program, they were unaware of the criteria for admission into the program and the manner in which applications for admission were processed.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Officer Keenan made arrangements with the family for a viewing of Derek's body on September 25, 1998, and for attendance at the funeral and spreading of ashes at White Rock beach on September 26, 1998. Police protection was provided for both occasions. NWPS did not have the resources to provide police protection for the customary 13-day religious ceremony after the funeral. The plaintiffs were advised that NWPS believed their lives would be in danger if they attended without police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On September 25, 1998, officers Stenerson and Keenan met with Constable Mann of the RCMP "E" Division, Source Witness Protection Unit, in order to obtain information regarding the RCMP witness protection program. Officer Mann advised them that the Witness Protection Program Act, </w:t>
      </w:r>
      <w:hyperlink r:id="rId832" w:history="1">
        <w:r>
          <w:rPr>
            <w:rFonts w:ascii="arial" w:eastAsia="arial" w:hAnsi="arial" w:cs="arial"/>
            <w:i/>
            <w:color w:val="0077CC"/>
            <w:sz w:val="20"/>
            <w:u w:val="single"/>
            <w:shd w:val="clear" w:color="auto" w:fill="FFFFFF"/>
            <w:lang w:val="en-US" w:eastAsia="en-US" w:bidi="ar-SA"/>
          </w:rPr>
          <w:t>S.C. 1996, c. 15</w:t>
        </w:r>
      </w:hyperlink>
      <w:r>
        <w:rPr>
          <w:rFonts w:ascii="arial" w:eastAsia="arial" w:hAnsi="arial" w:cs="arial"/>
          <w:color w:val="000000"/>
          <w:sz w:val="20"/>
          <w:lang w:val="en-US" w:eastAsia="en-US" w:bidi="ar-SA"/>
        </w:rPr>
        <w:t>, created a national witness protection program ("the federal WPP") that is administered by the Commissioner of the RCMP through the Ministry of the Solicitor General of Canada. The Commissioner of the RCMP has the authority to admit persons into the federal WPP upon receipt of a recommendation from a law enforcement agency, information regarding the personal history of the witness, and an agreement with the witness setting out the obligations of the parties. The statutory factors that must be considered in reviewing the application include: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risk to the security of the witness;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danger to the community if the witness is admitted into the program;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inquiry, investigation or prosecution involving the witness and the importance of the witness in the matter;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value of the information or evidence given or agreed to be given or of the participation by the witness;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of the witness being able to adjust to the program, having regard to the witness's maturity, judgment and other personal characteristics and the family relationships of the witness;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maintaining the witness in the program;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alternate methods of protecting the witness without admitting the witness to the program;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factors as the Commissioner deems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Officer Mann advised officers Stenerson and Keenan the plaintiffs would have to make application for entry into the federal WPP and, if accepted, their relocation would be handled by the RCMP. He cautioned them that not all applications were approved and that if accepted the plaintiffs' debt would have to be cleared before the family would be relocated. If the debt remained, he stated, creditors would follow the plaintiffs to their new location. Officer Mann was of the view the plaintiffs' threat level would not extend outside of B.C. and he suggested that NWPS consider temporarily relocating the plaintiffs outside the province while their applications were being considered. The process was estimated to take about two to three weeks. At the conclusion of the meeting, officer Mann agreed to speak with the family and a meeting was arranged for September 29,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information regarding the federal WPP was not immediately relayed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Derek's funeral service on September 26, 1998, the Buttar family was present. The plaintiffs were upset by their attendance as they suspected that Bal Buttar had been involved in their son's death. T. Alfred became very upset when Bal Buttar hugged him so tightly that he felt he could not breathe.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After the funeral, officers Stenerson and Keenan attended with Mr. Smith and his brother at White Rock beach for the spreading of Derek's ashes. Ms. Tim was not present. After the ceremony, Mr. Smith raised the issue of the family's ongoing police protection with NWPS.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Smith advised officers Stenerson and Keenan that he was thinking of leaving the protection of NWPS so the family could attend the 13-day prayer meeting. He explained to them that the prayer meeting was an important religious ceremony in his faith. Officer Stenerson reiterated to Mr. Smith that NWPS believed there existed a real and serious threat to the family from which they needed protection. However, he said that it was their choice whether to remain in witness protection. Mr. Smith's brother also impressed upon Mr. Smith the importance of Mr. Smith providing protection for his family and that the religious issues would sort themselves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During this discussion, officer Stenerson advised Mr. Smith that NWPS could only recommend the family for the federal WPP but that it was the RCMP's decision whether to accept their applications. If accepted, officer Stenerson said it was likely the family would be moved. At the end of this conversation, Mr. Smith agreed to keep the family in witness protection with NWPS for the time, but said he would review that decision on a day-by-day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Smith had no recollection of this conversation. Both Mr. Smith and Ms Tim said they did not understand the difference between the NWPS and the RCMP. In their minds both were the same police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September 27, 1998, officers Stenerson and Keenan took the plaintiffs to Burnaby Mountain Park for some fresh air and exercise. At the park they reviewed with Mr. Smith and Ms Tim four options: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relocation of the family to another province through the federal WPP, which would be under strict guidelines and usually for a six-month period, with the option of leaving at any time;</w:t>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moving the family out of the province and staying with relatives;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returning the family to their home and installing a panic alarm; and,</w:t>
      </w:r>
    </w:p>
    <w:p>
      <w:pPr>
        <w:numPr>
          <w:numId w:val="1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returning the family to their home and the family carrying on their lives 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Smith and Ms Tim said before they decided to apply to the federal WPP they wanted to speak with the investigating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Neither Mr. Smith nor Ms Tim had any recollection of this conversation on Burnaby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September 29, 1998, officer Mann met with the plaintiffs to inform them of the details of the federal WPP. He advised them they would have to apply for admission into the federal WPP and that only the RCMP could provide new identities and SIN numbers. He said that persons accepted into the federal WPP ("protectees") were subject to a contract with the RCMP, which had consequences if breached. He further advised them that protectees had to maintain their own security and follow the directions of their handlers in the community to which they were relocated. He warned the plaintiffs that pressures of the federal WPP would increase over time and that many had difficulty adapting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Neither Mr. Smith nor Ms Tim had any recollection of this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September 30, 1998, officers Stenerson and Keenan met with Mr. Smith's brother. He offered to pay for the cost of relocating the family to either the U.S.A. or Fiji where the plaintiffs had family. Mr. Smith and Ms Tim had concerns about the offer and requested some time to think it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following day they decided to apply for admission into the federal WPP. They also agreed to be temporarily relocated to Edmonton, Alberta, while their applications were being considered. On October 2, 1998, they flew to Edmonton with officers Stenerson and Keenan. They never did return to their Richmond home.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Edmonton relocation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NWPS anticipated the plaintiffs' Edmonton relocation would only be for two or three weeks while their applications were being processed. In fact, the plaintiffs remained in Edmonton until November 11, 1998. During this period, the family was on a weekly budget of $1,400 for living expenses, which included the cost of their hotel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Upon their arrival in Edmonton, the plaintiffs were met by Constable Tereposky of the Edmonton Police Services. He had been selected to be the family's "handler" in Edmonton. He gave them his card and told them to call him if they had any questions or concerns. He also advised them to call 911 only if they had a life or death emergency. To ensure their anonymity and to maintain their security, he cautioned them against contacting friends and family and warned them about the call display feature on most phones that identifies the caller's phone number and location. In that regard, officer Keenan gave Ms Tim a calling card which blocks the call display feature. She also provided them with her pager number if they needed to contact her for any reason. Officer Tereposky further suggested the family respond to any questions about their stay in Edmonton by saying they were on vacation. He made it clear they were not to tell anyone they were in witness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October 7, 1998, officer Keenan called Mr. Smith regarding the family's choice of community for relocation. He advised her that the family would prefer Calgary or Toronto. However, NWPS did not consider either of those locations to be suitable. It believed the suspect crime group might relocate to Calgary and that Toronto also posed some risk. After further research, the plaintiffs chose xxx for their relocation.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Officer Keenan prepared and submitted the plaintiffs' applications. She anticipated they would be approved even though no arrangements had been made for the plaintiffs to clear their debt. She assumed they would be relocated so long as they were able to make the monthly payments on their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During this time, Mr. Smith's sister died. She had resided in Seattle. Arrangements were made for Mr. Smith to attend her funeral service on October 9, 1998, and return to Edmonton the same day. Officers Stenerson and Keenan met him in Seattle and remained close by him throughout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Arrangements were also made for T. Alfred to return to B.C. for a visit with his friends on his birthday, October 21, 1998. Officer Pope took that opportunity to further question T. Alfred, believing that he might have more information regarding the circumstances of Derek's death. During the visit, officers Stenerson and Keenan provided police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While in Edmonton, the plaintiffs had difficulties adjusting to the guidelines given to them for their security. On several occasions they breached officer Tereposky's verbal instructions. Ms Tim phoned her family in Saskatchewan, Mr. Smith phoned his family in B.C. as well as a family friend, and the boys phoned their friends. Each of them disclosed their new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 Alfred's and C. Winslow's behaviour was becoming uncontrollable. They had serious fights in the hotel room. C. Winslow went missing and Mr. Smith called 911 after unsuccessfully trying to contact officer Tereposky. The Emergency Response Team would not attend without him providing his name so he advised them that the family was in witness protection. A few hours later C. Winslow called his parents from the West Edmonton Mall. The family was eventually evicted from the hotel over the boys fighting, which included loud swearing, throwing objects about the room, punching a hole in the wall, and breaking a coffee table. NWPS was left to pay the repair bill for the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October 20, 1998, officer Keenan received a fax from Ms Tim. It listed a number of requests and concerns. In addition to wanting to return to B.C. for one last visit with their family, Ms Tim wrote: "Please advise us which payments you have made or will make, and are pending, as many creditors are in a process of locating our whereabouts." She also asked about the proposed RCMP relocation, how certain expenses would be paid, when the relocation would occur, whether they would be living in a similar home to that which they had in Richmond, and whether they would have transportation as they had left their car in B.C. Officer Keenan did not reply to Ms Tim's fax but instead referred it to officer Mann who, with his partner, travelled to Edmonton on October 28, 1998, to interview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During the interview, officer Mann and his partner reviewed each point listed by Ms Tim in her fax of October 20, 1998. They answered all of the family's questions. They reiterated that the federal WPP would not pay the family's debt, which they said had to be cleared before the family could be relocated or the security of their move would be impacted by creditors following them. Mr. Smith suggested that he and Ms Tim would try to obtain jobs in order to continue the monthly payments on their debt. He said the family had been struggling financially before Derek's death and had been living off money borrowed from friends. He denied any difficulty with depression. The officers also advised them that protectees were responsible for re-establishing themselves and "getting on with life"; that relocations were generally only signed for a six-month period; and that protectees were expected to follow the directions of their handlers and not contact people from their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Smith and Ms Tim were given the opportunity to ask questions and make comments during the interview. However, they never asked about NWPS's alleged promises to pay their debt, provide private schooling for their children, or relocate the family to anywhere in Canada, the U.S.A., Australia or New Zealand. Ms Tim said they did not raise these matters as they were confident they already had such an agreement with NWPS.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Neither Mr. Smith nor Ms Tim recalled much of this conversation. They did recall that it started by one of the officers telling them that the federal WPP "was not a free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At the end of the interview, officer Mann advised the plaintiffs that he was not optimistic about the success of their applications because they had already compromised their security by advising 911 they were in witness protection, they had disclosed their relocation to family and friends, and the parents apparently could not control their children's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 few days later, the plaintiffs' applications for admission into the federal WPP were formally rejected. The RCMP had decided the plaintiffs would not be good candidates because of the family's inability to clear its debt, the fractured and dysfunctional nature of the family unit, and the anticipated difficulties the family would have in adjusting to a new community and obtaining employment. There were further concerns that if Mr. Smith's health deteriorated and he was unable to work, the plaintiffs would not be able to support themselves in the lifestyle to which they had become accustomed.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NWPS was surprised by the RCMP's rejection of the plaintiffs' applications. It asked the RCMP to reconsider its decision but it declined to do so. Faced with what it believed was an ongoing threat to the plaintiffs' personal safety, NWPS made the decision to assume responsibility for administration of the plaintiffs'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November 3, 1998, officers Stenerson and Keenan met with the plaintiffs in Edmonton. They advised them that their applications for the federal WPP had been rejected and the reasons for the rejection. They discussed the problem of the family's debt and how it might be consolidated. They also discussed a proposal that NWPS would apply for funding from the provincial government and on its own facilitate the family's relocation ("the provincial WPP"). At the conclusion of the meeting, the plaintiffs reluctantly agreed to pursue this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Neither Mr. Smith nor Ms Tim recalled the meeting of November 3,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provincial WPP is an informal program that is administered by the provincial Ministry of the Attorney General ("the Ministry"). It funds applicants involved with municipal police services cases. Applications for funding must be made jointly by the Chief Constable of the municipal police force involved and the Regional Crown responsible for prosecuting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Officer Keenan obtained a copy of the Ministry's policing policy and procedure for the provincial WPP. The policy provided for limited funding in the form of conditional grants for selected cases being investigated by a municipal police force. It excluded cases funded through the federal WPP and those requiring changes of identity and SIN numbers, which could only be done by the RCMP. Certain costs were expressly excluded: living expenses above what the witness has been accustomed to; a benefit that could be interpreted as an incentive to give evidence; routine police guarding; overtime; escorting costs; and costs incurred by a witness after breaching a protection agreement. Applicants had to be assessed for their maturity, judgment, other personal characteristics and family relationships, as well as the likelihood of their being able to adjust to protective requirements. Employment prospects for applicants at their new location also had to be canvassed.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While the plaintiffs were awaiting funding approval from the Ministry, they were evicted from their Edmonton hotel and had to be moved. Calgary was not an option. Nor was Saskatchewan where Ms Tim's family resided and with whom Mr. Smith did not have a good relationship. NWPS made the unilateral decision to relocate the family to Winnipeg, Manitoba, even though it was not a location of the plaintiffs' choice. Winnipeg was chosen for its relative ease of access to the plaintiffs in the event criminal charges were laid and NWPS needed to consult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funding application with the Ministry included relocation of the family to Winnipeg under a six-month Protection Agreement, from November 11, 1998, to May 11, 1999. At the end of that period, the plaintiffs were expected to be self-sufficient. The proposed budget for the family included $350 per week for living expenses, $200 per month for utilities, $100 per month for car allowance, up to $960 for counselling services, and a monthly housing allowance of up to $1,500. The budget was based on a similar budget provided for by the federal WPP. NWPS adopted the federal WPP standard, which required protectees to be maintained in similar circumstances from which they came. Although the family would be receiving less than it had in Edmonton, it was anticipated that a permanent relocation would permit them to normalize their lifestyle. They would be able to obtain monthly rental accommodation and eat at home, thereby reducing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Letters of recommendation for the plaintiffs' admission into the provincial WPP were obtained from the Chief Constable of NWPS and Regional Crown. The Ministry agreed to fund the six-month relocation of the family to Winnipeg.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Protection Agreements were drafted for each plaintiff based on a pro forma sample agreement officer Keenan obtained from the RCMP. Although not disclosed to the plaintiffs, officer Keenan also arranged to have documents prepared for the plaintiffs' signatures in the event they chose not to sign the Protection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Neither officer Stenerson nor officer Keenan asked the Ministry to clear the plaintiffs' debt. From his previous experience, officer Stenerson understood that a protectee's debt would not be paid if he or she had assets of value that could be liquidated to clear the debt. Mr. Smith's interest in the auto body business had substantial value, albeit tied up. Similarly, officer Keenan had been advised by officer Mann that a protectee's assets had to be liquidated to clear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Once funding approval was obtained from the Ministry, arrangements were made with Constable Williams of the Winnipeg Police Services ("WPS") to act as the plaintiffs' handler. Officer Williams secured hotel accommodation for the plaintiffs, made inquiries regarding medical and dental coverage as well as psychological counselling for the family, and arranged for a lawyer to be available to the plaintiffs if they wished to consult with one in regard to signing the Protection Agreements.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Winnipeg relocation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November 11, 1998, the family was flown to Winnipeg. It was a difficult day for them being Derek's birth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Upon their arrival they were met by officers Stenerson and Keenan. The family was transported to a hotel and given a copy of the Protection Agreement for their review over night. A meeting was scheduled for 10:00 a.m. the following morning at the hotel. Officer Keenan's notes indicated the Protection Agreements had to be signed by November 13, 1998, the day she and officer Stenerson were scheduled to return to the Lower Mainland although she denied they were under any deadline to have them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Smith and Ms Tim had no recollection of receiving a copy of the Protection Agreement in advance of the November 12, 1998, meeting. They were also unhappy with their accommodation which was all that was available in Winnipeg at the time due to the Grey Cup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Officer Williams and Constable Bell, also from the WPS, were in attendance at the November 12, 1998 meeting, along with officers Stenerson and Keenan. Although Mr. Smith had complained of a toothache, he advised officer Stenerson that he wished to proceed with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meeting lasted almost two hours. Officer Stenerson did most of the talking while officer Keenan took notes. The evidence as to what occurred during the meeting was conflicting.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Smith and Ms Tim said their children were with them throughout the meeting and were not allowed to leave the room, even though they repeatedly asked the children to be excused in order to facilitate a fuller and more frank discussion. Mr. Smith complained about their relocation to Winnipeg which was not a place of their choosing. They asked if their debts would be paid and were advised they would not. They asked whether the monthly $200 allocated for utilities was sufficient and officers Williams and Bell assured them it would be. They expressed concern that they would receive enough funding for housing comparable to what they had in Richmond. They discussed the possibility of the family returning to B.C. for the six-month and one-year prayer services, but were advised that those requests would have to be reassessed at the time. They said they repeatedly asked for a lawyer but were refused because Remembrance Day midweek made the weekend a long one for most law firms. They said they were intimidated by a comment volunteered by officer Bell that NWPS's Protection Agreement was a generous one because WPS puts their witnesses on a bus for Vancouver and tells them to knock on welfare's door. They said they asked to have some time to consider the Protection Agreements but were refused because officers Stenerson and Keenan said they were expected to return to Vancouver the following day with the signed agreements. They said they were told they would not be assisted in setting up a bank account, renting a car, or looking for a home in a safe neighbourhood if they did not sign the Protection Agreements. In short, the plaintiffs said they were coerced into signing the Protection Agreements and felt they had no other choice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evidence of officers Stenerson and Keenan regarding this meeting differed significantly from that of the plaintiffs and was largely based on officer Keenan's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Officer Stenerson said that at the outset of the meeting the children were excused from the room. He then read out to Mr. Smith and Ms Tim the draft Protection Agreement, clause by clause, to ensure they understood it. He said the plaintiffs had questions about the clauses that required them to be solely responsible for the payment of their debt, the $200 monthly allocation for utilities, and the family's relocation to Winnipeg. Officer Stenerson also discussed the parents' inability to control their children's behaviour. Mr. Smith and Ms Tim asked him to speak directly to the boys and he agreed to do so. Officer Stenerson offered to arrange for the plaintiffs to consult with a lawyer but they declined. He acknowledged the comment made by officer Bell although officer Keenan had not recorded it in her notes. She initially said she did not recall the comment, but that on reflection she vaguely remembered it. She said she did not record it because she thought it was not offered in a serious manner and had been intended only as a joke. She also denied the plaintiffs were told they had to sign the Protection Agreements that day because the officers had to return to the Lower Mainland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Officers Williams and Bell, who also took notes of the meeting, corroborated the evidence of officers Stenerson and Keenan. In particular, they said the children were excused from the room and brought in only after Mr. Smith and Ms Tim agreed to sign the Protection Agreements. They stated that no pressure was put on the plaintiffs to sign the Protection Agreements and they were not aware of any deadline to do so. Neither recalled officer Bell's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After the discussion, officer Stenerson said the children were brought into the room. He said that Mr. Smith declined his offer to review each clause of the draft Protection Agreement with the children. When asked, T. Alfred confirmed with officer Stenerson that his father had disclosed the family's location to family and friends and had asked them for their opinion on the proposed move to Winnipeg. The plaintiffs were again advised that disclosure of their location could impact their security and that it was considered a breach of the Protection Agreements. Officer Stenerson chastised the boys about their unacceptable behaviour and warned C. Winslow about returning to B.C. At the conclusion of the meeting each plaintiff signed their copy of the Protection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Following the meeting the plaintiffs were taken to a bank to open an account. Arrangements were made for them to rent a car for the week. The family was also taken on a tour of a neighbourhood comparable to the one in which they had previously 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Within a short time, the plaintiffs found a home to rent for $800 per month and gradually settled in to the community. NWPS agreed to have them sign a five-month lease, which would end in April, 1999. Officer Keenan said they could use her name as a reference. The family's furniture arrived from B.C. Although the Ministry refused a request to fund the purchase of a car, Mr. Smith's brother provided the family with money to purchase one. Officer Keenan obtained a letter of reference from Mr. Smith's brother to assist Mr. Smith and Ms Tim in their search for employment, although he advised officer Keenan that he did not want to be contacted by prospective employers. C. Winslow appeared to be adjusting to his new school and became involved in the school basketball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During this period, neither Mr. Smith nor Ms Tim raised with NWPS any of the promises they alleged were made to them regarding payment of their debt, the changes of identity and SIN numbers, and the private schooling for their children. They said they expected NWPS would comply with the alleged promises at some future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Problems resurfaced in January, 1999. Neither Mr. Smith nor Ms Tim was happy with the move to Winnipeg because of its harsh winter climate. Neither had obtained employment. It was suggested to Ms Tim that she needed to improve her computer skills and in that regard she enrolled in a course. She advised both officer Keenan and officer Williams that Mr. Smith refused to look for work. Mr. Smith said he was reluctant to disclose his name or SIN number to potential employers. They had made no payments on their debt and became alarmed when a creditor tracked them to their home in Winnipeg. Both Mr. Smith and Ms Tim attended counselling sessions with a psychologist to address grief and marital issues. Both were diagnosed with depression over Derek's death and believed to be unable to work. The children refused to attend for counselling and continued to fight with one another. T. Alfred did not return to school. He remained in his room and became withdrawn. C. Winslow had difficulty making friends. Both children said they wanted to go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Smith's behaviour became increasingly more erratic. He became very possessive of Ms Tim and was critical of any time she spent away from the home. Ms Tim thought he had become paranoid and mentally unstable. Following an argument, Mr. Smith withdrew all of the money from the family's joint bank account (about $700), moved into a hotel, and told Ms Tim that he was returning to B.C. Ms Tim phoned officer Williams over the incident. She complained that Mr. Smith was becoming paranoid but that she felt safe in Winnipeg. When the family's rent cheque bounced, Ms Tim phoned officer Keenan in a panic.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couple reconciled a short while later and Mr. Smith returned the balance of the money to the joint bank account. However, NWPS had to make up the shortfall to secure Ms Tim's rent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After the incident, NWPS decided to terminate Mr. Smith from the provincial WPP based on the cumulative effect of his breaches of the Protection Agreement. Those breaches included his previous disclosure of the family's location to members of his family and a friend, his refusal to obtain employment, and his removal of the family money from the joint bank account. NWPS was of the view that Mr. Smith would not adjust to any witness protection program and believed he had the potential to negatively impact the security of his family. As Ms Tim would be the primary witness if criminal charges over Derek's murder were proceeded with, Mr. Smith's lack of cooperation in such circumstances was not considered critical.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January 26, 1999, officer Keenan flew to Winnipeg for the purpose of terminating Mr. Smith from the provincial WPP. Officer Keenan had drafted a document for his signature based on a precedent she had obtained from officer Mann ("the Termination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Officers Williams and Bell attended the meeting at the plaintiffs' home along with officer Keenan. It was a heated meeting in which angry comments were exchanged. At the conclusion of the meeting Mr. Smith refused to sign the Termination Notice but was served with a copy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main outcome of Mr. Smith's Termination Notice was that the City of New Westminster would no longer consider itself potentially liable for any harm that he might suffer as a result of being in a witness protection program administered by NWPS. He would continue to reside with the family, which in turn would continue to receive the same amount of funding agreed to in the Protection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Smith said he continued to look for employment and at officer Keenan's request provided business cards of the places that he applied to, which she later checked on. It was unclear why this request was made after Mr. Smith had been served with the Termination Notice. Mr. Smith said he continued to refuse to provide his SIN number to any potential employer and obtained no offers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February, 1999, Ms Tim contacted officer Keenan to ask if the family could attend Derek's six-month prayer ceremony in B.C. NWPS refused her request as it was believed the family would still be at risk if it returned to B.C. Ms Tim did not ask NWPS to comply with any of the other promises she alleged it had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An updated threat assessment on February 15, 1999, indicated that if criminal charges were laid against one or more of the Buttar brothers the threat level for violence or intimation against the plaintiffs could become extremely high in B.C. Based on this threat assessment, NWPS advised Ms Tim that it could not provide the plaintiffs 24/7 police protection if they chose to attend the ceremony.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February, 1999, the plaintiffs' long distance telephone service was disconnected due to lack of payment. Officer Keenan advised Ms Tim that the Protection Agreements would not be extended upon their expiry on May 11, 1999, and that NWPS would not provide additional monies to cover the family's long-distance phone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Numerous letters were exchanged between the plaintiffs and NWPS over complaints from the plaintiffs. The plaintiffs also contacted a number of politicians, including the mayor of New Westminster, the Premier's office, and the Prime Minister's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March 2, 1999, an incident occurred that further alarmed the plaintiffs. After a high-speed police chase, two men from B.C. were arrested near the plaintiffs' neighbourhood. They were found to be carrying weapons and charged with drug trafficking. The plaintiffs thought they were targeting the family but a police investigation determined the incident unrelated to the plaintiffs' situation. Despite this explanation, the plaintiffs continued to be suspicious about the incident and remained concerned about their personal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Smith wrote to the Manitoba Vital Statistics Department requesting a name change for the family. He advised them that his family was in a witness protection program and required a name change for security reasons. The department contacted NWPS regarding the application because of its "unusual information". The application was subsequently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couple's treating psychologist described their responses to events as erratic and desperate. She recommended that Mr. Smith return to work as she thought it would give him something to do and provide some direction for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plaintiffs retained a lawyer to communicate their complaints with the lawyer for NWPS.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light of the escalating nature of the plaintiffs' complaints, NWPS held a meeting on March 23, 1999, in which they discussed how to address the plaintiffs' concerns. They acknowledged a responsibility to ensure the plaintiffs' continuing safety and decided they had to first assure Mr. Smith that his perception of the threat to the family was exaggerated and that the family was safe, although still at risk in B.C. They ultimately decided they had to assist the family in relocating to a place of its choice, acknowledging that Winnipeg had not been such a place. Officers Stenerson and Keenan arranged to meet with the plaintiffs on March 24, 1999, to discuss this proposal, which would be funded by the City of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An articling student from the office of the plaintiffs' lawyer was present during this meeting. Mr. Smith was very confrontational and expressed his anger over what had transpired since the family's involvement with NWPS. Officer Stenerson refused to respond to Mr. Smith's anger. Instead, he reviewed the reasons for the RCMP's rejection of their applications for admission into the federal WPP, NWPS's reasons for terminating Mr. Smith from the provincial WPP, and the contents of the February 15, 1999, updated threat assessment on the family's risk in B.C. He presented the City of New Westminster's proposal that included a final relocation of the family to xxx, and an extension of the Protection Agreements for Ms Tim and the boys for a further three and a half months. He said that the City of New Westminster refused to include Mr. Smith in its proposed extension agreement but agreed to pay for his move with the family to xxx. There was no discussion of the plaintiffs receiving new identities, new SIN numbers, or private schooling for the boys. After the meeting, the plaintiffs' lawyer contacted the lawyer for NWPS and apologized for Mr. Smith's confrontational attitude during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Smith and Ms Tim had little recollection of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Negotiations continued between the parties' lawyers through an exchange of correspondence. NWPS revised its offer and agreed to relocate the family, including Mr. Smith, to xxx, and extend funding of $2,000 a month, including accommodation, to August 30, 1999, provided the plaintiffs signed a waiver and release against NWPS and the City of New Westminster. During these negotiations, the plaintiffs fired their lawyer. However, they eventually accepted NWPS's final offer ("the Extension Agreements"). They never did sign a waiver and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At the expiration of the rental lease on their Winnipeg home, the plaintiffs moved into a motel. On April 20, 1999, they were moved to xxx. In their wake, they left an outstanding gas bill of $1,177 and an outstanding repair bill for damage to the leased residence of $1,023. Both accounts were paid by NWPS.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xxx relocation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Upon their arrival in xxx, the plaintiffs stayed at a motel while waiting for their furnishings to arrive. Within a week, they were evicted for failing to pay their hotel bill of $1,388. The invoice was forwarded to NWPS for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Eventually they found a house to their liking in an upscale neighbourhood and entered into a one year lease. However, their monthly rent was $2,000, which was the total amount allotted for all of their monthly living expenses in the Extension Agreements. Their explanation for choosing that home was that they wanted one that was similar to the one they had rented in Richmond. They were unable to make their lease payments and after six months were facing the bailiff at their door. A frantic call to Ms Tim's family in Saskatchewan and Mr. Smith's brother provided money to pay the arrears of rent and save the family from eviction. However, they were forced to give their notice on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plaintiffs moved to a more modest location at a lower rent where they continue to reside. They are unhappy with their reduced living conditions, which they say are dirty and in a bad neighbourhood occupied by criminals.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Tim returned to school and completed her grade 12 equivalency. In 2000, she started a four-year program in xxx and is currently enrolled in the third year of that program. She is progressing slowly towards her degree although she has struggled with some of her courses. She received a student loan for her first year but is now funded by the Department of Indian and Northern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Summer 2000, Mr. Smith obtained employment at an auto body shop. The work involved labouring tasks. After about six weeks he quit his employment. His reasons for quitting were vague but seem to include complaints about the demeaning nature of the work, his emotionally distraught state, and his refusal to disclose his SIN number for fear of being identified. His treating psychologist, in a consultation report of June 20, 2000 to his family doctor, stated that there was an escalation of Mr. Smith's depression with suicidal thoughts and feelings to the point that he recommended that Mr. Smith immediately stop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Currently, Mr. Smith is occupied with pursuing his complaints about the family's treatment by NWPS. In this regard, in May, 1999, he phoned and left a message on the answering machine of Peter Gill, a high profile Indo-Canadian in B.C. who has gained some notoriety.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June, 1999, Mr. Smith returned to B.C. to arrange a meeting with the Chief Constable of NWPS. The family was desperate for money. The Chief Constable was not available at that time. While in Vancouver, Mr. Smith looked for employment. He received an offer to work at an auto body shop for $60,000 per annum plus bonus. The job entailed similar responsibilities to the position he held at his own auto body shop. Mr. Smith accepted the position but did not advise NWPS of his changed circumstances. After accepting the job he changed his mind and returned to xxx.</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Post-relocation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On June 21, 1999, Mr. Smith was involved in a motor vehicle accident while attempting to turn left at an intersection. He admits that he was largely at fault for the accident in which he sustained significant injuries to his head, jaw, neck, shoulder, upper and lower back, left leg and kidney. He received treatment for these injuries which provided some temporary relief. He claims that his injuries prevented him from working, created feelings in him of guilt, affected his sleep, caused him nightmares, ringing in his ears and dizziness, as well as further worry over the safety of his family. He commenced a damages action, not using a pseudonym, which has yet to be concluded. At his Examination for Discovery in the action, he claimed he had received some job offers in Winnipeg which he did not accept because he thought the family's stay in Winnipeg might be temporary and because he was receiving $45,000 [per annum] from the police while in the witness protection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About a year after the accident, Mr. Smith received a retroactive lump sum disability payment of $19,200. Since then he has been in receipt of a net monthly disability allowance of $1,600. This is his only source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the Summer of 1999, the plaintiffs returned to Vancouver, on their own accord, for Derek's one-year prayer service. On August 31, 1999, they met with the Chief Constable and other members of NWPS. The purpose of the meeting was to obtain an update on the criminal investigation and to plead their case for extending the Extension Agreements funded by the City of New Westminster. At the conclusion of the meeting, NWPS declined to offer any further financial assistance to the family. It calculated that between September 20, 1998 and August 30, 1999, a total of $92,220 had been spent on the plaintiffs'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early October, 2000, officer Pope contacted the plaintiffs regarding a disclosure order that had been made by the court in an unrelated murder trial. The order required the Crown to disclose to the accused the contents of an affidavit that was used to obtain a wiretap order pursuant to Part 6 of the Criminal Code. The wiretap authorization was used to intercept the telephone conversations of a number of suspects in murders about the Lower Mainland. The affidavit contained the information given by Ms Tim to NWPS regarding her telephone call to Derek's cell phone on the night of his murder.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NWPS investigation into Derek's murder had become part of a larger Joint Forces Operation ("JFO") involving several law enforcement jurisdictions investigating a number of Indo-Canadian murders in the Lower Mainland. The JFO was overseen by the Vancouver Police Department ("VPD"). After the disclosure order was made, officer Pope assisted in editing the affidavit to prevent disclosure of the identities of the confidential informants, which included Ms Tim. Although defence counsel in the case confirmed that he did not disclose any of the information in the affidavit to his client, officer Pope felt a moral obligation to contact the plaintiffs and advise them of the disclosure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Smith was alarmed by the news. He borrowed funds to travel to B.C. to speak with officer Pope. Officer Pope apologized to Mr. Smith for this turn of events but assured him that the family's identity had not been disclosed. He also told Mr. Smith that there was nothing further he could do for him and that he would have to take the matter up with the VPD. Mr. Smith attempted to speak with someone in the VPD but his calls were not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On May 29, 2001, Mr. Smith was the operator of a motor vehicle that was rear-ended. Ms Tim was a front seat passenger in the vehicle. Both were injured in the accident. Mr. Smith suffered neck and back injuries in the second accident which exacerbated the injuries he had sustained in the 1999 motor vehicle accident. He continues to suffer ongoing pain in his neck, right side and shoulder, and back, along with stiffness. He also experiences nightmares, depression, ringing in his ears and dizziness. He states the pain is getting worse to the point where he has been diagnosed with chronic pain disorder, major depression, and Post-Traumatic Stress Disorder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Smith has advised the numerous doctors, mental health professionals and rehabilitation specialists in xxx that most of his current physical and emotional difficulties were caused by the 1999 motor vehicle accident. Other factors he has mentioned include the death of his son and his relocation. He has rarely, if at all, mentioned NWPS's treatment of him as a contributing factor to his current problems. His explanation for this omission is that he did not want to disclose his circumstances to his doctors in order to protect the safety of his family. He did, however, disclose the family's reasons for relocation to xxx to his treating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Psychological testing of Mr. Smith shows an underlying personality disorder with dependent and passive-aggressive traits. He was found to have psychotic symptoms, including thought disorder, disordered affect, personality decomposition and possibly hallucinations. Overall, he presented as having chronic maladjustment problems with a poor ability to cope with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Smith also has a tendency to exaggerate or embellish his recollection of events. It was suggested that this manner of responding to questions is an aspect of his personality and not intentional. However, when pressed at trial to provide direct answers to the questions he was 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Tim has also experienced ongoing difficulties since the death of her son. She too was injured in the accident of May 29, 2001. She suffered a soft tissue injury and has been diagnosed with a complex chronic myofascial pain syndrome. Her inability to maintain her active lifestyle caused her to gain some weight and added to her ongoing depression over the death of her son. The prognosis for a full recovery from her injuries, to the point where she could return to full-time employment, is not optimistic.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xxx, a registered psychologist, was retained by the plaintiffs to conduct assessments of each of them. He determined there was a chronic level of conflict within the family, which pre-existed Derek's death, and which provided very fertile grounds for the seeds of discontent that the plaintiffs were manifesting. He noted that Ms Tim had a tendency to minimize signs of distress that pre-existed Derek's death (identified as "white-black" thinking) and that Mr. Smith was not particularly insightful about his problems. He also found that both adults suffered from depression and remained emotionally labile over the death of their son. In his opinion, both Mr. Smith and Ms Tim suffer from PTSD over the circumstances in which Derek died. He attributed the cause of their dysfunction in part to the circumstances of the family's frequent relocations. He concluded that both were unlikely to return to normal functioning or the competitive job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xxx, a registered psychologist, was retained by the defendant to conduct assessments of each of the plaintiffs. He agreed with Dr. xxx's conclusions. In his opinion, neither Mr. Smith nor Ms Tim was malingering but he was unable to identify the cause of their ongoing psychological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xxx, the psychiatrist who works with Dr. xxx, conducted diagnostic assessments of the plaintiffs in order to identify the causes of the plaintiffs' ongoing psychological dysfunction. He concluded that the causes of Mr. Smith's and Ms Tim's dysfunctional nature were multiple and in large part pre-existed their son's death. In his opinion, the trauma of Derek's death exacerbated their previously conflicted relationship. He identified numerous stresses in their lives, as well as their personalities and background, as sources or causes of their present dysfunctional circumstances. He did not find their ongoing conflict with NWPS as one of those sources. He disagreed with Dr. xxx that either Mr. Smith or Ms Tim suffered from PTSD from the death of their son as neither had directly witnessed his murder. In his opinion, their symptoms did not meet the criteria for PTSD as defined in the DSM-IV diagnostic manual for the American Psychiatric Association. He attributed the several PTSD symptoms which they did exhibit to the impact of the motor vehicle accidents in which they were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 Alfred has fared marginally better than his parents. He did not return to school but in May, 2001, successfully completed his GED grade 12 equivalency. That summer he obtained part-time employment as a computer data entry clerk for 13 weeks and received gross earnings of $3,943.06. He also worked for two weeks at a call centre. Since leaving Richmond, he has not acquired any friends and has become very withdrawn. He admits that he has lost interest in his future. He is not seeking work but prefers to spend his time working out at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xxx agreed that T. Alfred's three-month summer employment represented sufficient time and commitment at a job to reflect an ability to work outside the family home on a consistent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March, 2003, a third threat assessment regarding the plaintiffs' personal safety was prepared by the Delta Police Services. It concluded that the risk associated to the plaintiffs was low because all of the suspects in Derek's murder were either dead or incapacitated, that the Khela crime group which had taken over from Manny Buttar was destabilized as a result of a number of arrests (and now conviction of Paul Khela), and there was no movement toward charge approval or arrests relating to Derek's murder and therefore no reason for the crime group to take action against potential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This information was never passed on to the plaintiffs.</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plaintiffs claim NWPS breached a fiduciary duty owed to them by failing to warn them of the limitations of their ability to place the family in the federal WPP. They further claim NWPS failed to fulfil the specific promises they alleged were made to them after the Agreement was reached, and in particular failed to provide the family with a lifestyle and living conditions similar to that which they enjoyed in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three step analysis for identifying a fiduciary relationship was first set out by Wilson J. in her dissent in Frame v. Smith, </w:t>
      </w:r>
      <w:hyperlink r:id="rId834"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136, adopted by the Supreme Court of Canada in Norberg v. Wynrib, </w:t>
      </w:r>
      <w:hyperlink r:id="rId803"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and restated by the court in Hodgkinson v. Simms, </w:t>
      </w:r>
      <w:hyperlink r:id="rId835"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At [paragraph] 30 it identified the following characteristics of a fiduciary relationship that could give rise to a fiduciary duty:</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a scope for the exercise of some discretion or power;</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While certain categories of relationships are presumed fiduciary (e.g., trustees, executors, administrators, solicitors, directors), it is the characteristics of the relationship and not the category in which it falls, that will determine if the relationship is a fiduciary one: Hodgkinson v. Simms, supra, at [paragraph]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equitable concept of a fiduciary duty is to be distinguished from causes of action that arise in contract and tort. This important difference was noted by McLachlin C.J.C. in Norberg v. Wynrib, supra, at [paragraph]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the parties are taken to be independent and equal actors, concerned primarily with their own self-interest. Consequently, the law seeks a balance between enforcing obligations by awarding compensation when those obligations are breached, and preserving optimum freedom for those involved in the relationship in question. The essence of a fiduciary relationship, by contrast, is that one party exercises power on behalf of another and pledges himself or herself to act in the best interests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difficulty in determining if a fiduciary duty exists was discussed by Saunders J.A. in Linder v. Williams, </w:t>
      </w:r>
      <w:hyperlink r:id="rId836" w:history="1">
        <w:r>
          <w:rPr>
            <w:rFonts w:ascii="arial" w:eastAsia="arial" w:hAnsi="arial" w:cs="arial"/>
            <w:i/>
            <w:color w:val="0077CC"/>
            <w:sz w:val="20"/>
            <w:u w:val="single"/>
            <w:shd w:val="clear" w:color="auto" w:fill="FFFFFF"/>
            <w:lang w:val="en-US" w:eastAsia="en-US" w:bidi="ar-SA"/>
          </w:rPr>
          <w:t>[2004] B.C.J. No. 871</w:t>
        </w:r>
      </w:hyperlink>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2004 BCCA 243</w:t>
        </w:r>
      </w:hyperlink>
      <w:r>
        <w:rPr>
          <w:rFonts w:ascii="arial" w:eastAsia="arial" w:hAnsi="arial" w:cs="arial"/>
          <w:color w:val="000000"/>
          <w:sz w:val="20"/>
          <w:lang w:val="en-US" w:eastAsia="en-US" w:bidi="ar-SA"/>
        </w:rPr>
        <w:t>. At [paragraph]7-8 she made the following remarks: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7 ... the concept of a fiduciary duty is difficult to attach to a principle. Not easily analyzed in theory, it has tended to be a duty which is recognized when it is seen.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8 The existence of a fiduciary duty depends upon the nature of the relationship, not the occupation of the person said to be a fiduciary, and is consonant with trust, loyalty and confidence. The existence or not of a fiduciary obligation is, therefore, intimately tied to an appreciation of the evidence, and apart from apparent misstatements of principle or conclusions adrift from the evidence, a trial judge's decision as to whether a fiduciary obligation exists is not one with which the Court will lightly interfere.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At [paragraph] 10, she added a cautionary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Perhaps one of the consequences of greater form having been given to this area of law ... is that claims are frequently made now for breach of fiduciary duty where the case really lies in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A police service, which is an agent of the Crown, has a public law duty that is derived from statutory authority. The obligations imposed by its public law duty are of an administrative or legislative nature. They are not equitable obligations and therefore cannot create fiduciary obligations. Fiduciary obligations will only be imposed upon the Crown or its agents in the context of a private law relationship that extends beyond a public law duty and arises from a relationship of discretionary power and trust. It is the nature of the private law relationship with the individual seeking to impose the fiduciary obligation that will be scrutinized in order to determine if the parties were in a fiduciary relationship. See Guerin v. Canada, </w:t>
      </w:r>
      <w:hyperlink r:id="rId837"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and, K.L.B. v. British Columbia, </w:t>
      </w:r>
      <w:hyperlink r:id="rId838" w:history="1">
        <w:r>
          <w:rPr>
            <w:rFonts w:ascii="arial" w:eastAsia="arial" w:hAnsi="arial" w:cs="arial"/>
            <w:i/>
            <w:color w:val="0077CC"/>
            <w:sz w:val="20"/>
            <w:u w:val="single"/>
            <w:shd w:val="clear" w:color="auto" w:fill="FFFFFF"/>
            <w:lang w:val="en-US" w:eastAsia="en-US" w:bidi="ar-SA"/>
          </w:rPr>
          <w:t>[2003] 2 S.C.R. 403</w:t>
        </w:r>
      </w:hyperlink>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Concern about extending the concept of a fiduciary duty to a variety of non-traditional relationships was discussed by Southin J. in Giradet v. Crease &amp; Co. </w:t>
      </w:r>
      <w:hyperlink r:id="rId839" w:history="1">
        <w:r>
          <w:rPr>
            <w:rFonts w:ascii="arial" w:eastAsia="arial" w:hAnsi="arial" w:cs="arial"/>
            <w:i/>
            <w:color w:val="0077CC"/>
            <w:sz w:val="20"/>
            <w:u w:val="single"/>
            <w:shd w:val="clear" w:color="auto" w:fill="FFFFFF"/>
            <w:lang w:val="en-US" w:eastAsia="en-US" w:bidi="ar-SA"/>
          </w:rPr>
          <w:t>(1987), 11 B.C.L.R. (2d) 361</w:t>
        </w:r>
      </w:hyperlink>
      <w:r>
        <w:rPr>
          <w:rFonts w:ascii="arial" w:eastAsia="arial" w:hAnsi="arial" w:cs="arial"/>
          <w:color w:val="000000"/>
          <w:sz w:val="20"/>
          <w:lang w:val="en-US" w:eastAsia="en-US" w:bidi="ar-SA"/>
        </w:rPr>
        <w:t xml:space="preserve"> (S.C.) at 362: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 "fiduciary" is flung around now as if it applied to all breaches of duty by solicitors, directors of companies and so forth. But "fiduciary" comes from the Latin "fiducia" meaning "trust". Thus, the adjective, "fiduciary" means of or pertaining to a trustee or trusteeship. ... I make this point because an allegation of breach of fiduciary duty carries with it the stench of dishonesty - if not deceit, then of constructive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A.(C.) v. C.(J.W.) </w:t>
      </w:r>
      <w:hyperlink r:id="rId840"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(C.A.), McEachern C.J.B.C. (as he then was) also addressed the scope of a fiduciary duty at [paragraph] 74 and [paragraph] 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74 The law relating to fiduciary duty arose out of the responsibility assumed by everyone who undertakes to act for another to act honestly and loyally, and not to profit personally from that responsibility except, of course, for proper remuneration.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76 Without doubt, there are many differences between the consequences of a breach of fiduciary duty and the more traditional basis for liability such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After reviewing a number of Supreme Court of Canada decisions, he commented on the concern about the ever-widening application of the principles of fiduciary duty being extended to relationships that are not marked by dishonesty or intentional disloyalty. At [paragraph] 83-85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83 With this in mind, I note that in all of the above cases except Guerin, the defendants personally failed to discharge a legal duty for their own benefit. In Lac, </w:t>
      </w:r>
      <w:hyperlink r:id="rId841"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the defendants betrayed their proposed partner; in Canson the lawyer failed to discharge the "flip" to his client; in Norberg the physician betrayed his patient; in M(K) v. M(H), </w:t>
      </w:r>
      <w:hyperlink r:id="rId842"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xml:space="preserve">, a father violated his daughter; and in Hodgkinson, the advisor failed to disclose his personal interest. In each of these cases the defendant was guilty of something more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battery.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84 Thus, only in Guerin was the defendant held to have breached a fiduciary duty without personal wrongdoing beyond possible carelessness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Guerin may be regarded as a case where a fiduciary disobeyed the instructions of a beneficiary, although even on that basis, there was no personal advantage accruing to the fiduciary. Guerin, however, was a special case where the aboriginal right in question was said to be unique. In that respect Guerin is obviously a case that should be confined to its particular facts and we should not be timid just because one case does not fit a useful pattern. Experience, rather than logic, governs the development of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85 Applying this approach, I conclude that it would be a principled approach to confine recovery based upon fiduciary duties to cases of the kind where, in addition to other usual requirements such as vulnerability and the existence of a discretion, the defendant personally takes advantage of a relationship of trust or confidence for his or her direct or indirect personal advantage. This excludes from the reach of fiduciary duties many cases that can be resolved upon a tort or contract analysis, has the advantage of greater certainty, and also protects honest persons doing their business in difficult circumstances from the shame and stigma of disloyalty or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A.(C.) v. (J.W.), supra, was applied by Lowry J. (now J.A.) in H.(J.) v. British Columbia, </w:t>
      </w:r>
      <w:hyperlink r:id="rId843" w:history="1">
        <w:r>
          <w:rPr>
            <w:rFonts w:ascii="arial" w:eastAsia="arial" w:hAnsi="arial" w:cs="arial"/>
            <w:i/>
            <w:color w:val="0077CC"/>
            <w:sz w:val="20"/>
            <w:u w:val="single"/>
            <w:shd w:val="clear" w:color="auto" w:fill="FFFFFF"/>
            <w:lang w:val="en-US" w:eastAsia="en-US" w:bidi="ar-SA"/>
          </w:rPr>
          <w:t>[1998] B.C.J. No. 2926</w:t>
        </w:r>
      </w:hyperlink>
      <w:r>
        <w:rPr>
          <w:rFonts w:ascii="arial" w:eastAsia="arial" w:hAnsi="arial" w:cs="arial"/>
          <w:color w:val="000000"/>
          <w:sz w:val="20"/>
          <w:lang w:val="en-US" w:eastAsia="en-US" w:bidi="ar-SA"/>
        </w:rPr>
        <w:t xml:space="preserve"> (S.C.). At [paragraph] 37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also clear that the existence of a fiduciary relationship does not mean that any and all wrongdoing on the part of the fiduciary that may adversely affect the interests of the beneficiary amounts to the breach of a fiduciary duty. As P.M. Finn explains in "The Fiduciary Principle" in T.G. Youdan, ed., Equity, Fiduciaries and Trusts, (Toronto: Carswell, 1989) 1 at 28, where there is no issue of disloyalty involved in a fiduciary relationship, such matters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are actionable through the primary bodies of law that govern the relationship. As he says, if a fiduciary's liability was to be determined by whether or not the beneficiary's interests had in fact been served, "much of the law of trusts, of agency and companies would, for example, be rendered superfluous. The law of torts and contracts would be displaced from their now accepted role in many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These concerns about the scope of a fiduciary obligation were acknowledged in E.D.G. v. Hammer, </w:t>
      </w:r>
      <w:hyperlink r:id="rId844" w:history="1">
        <w:r>
          <w:rPr>
            <w:rFonts w:ascii="arial" w:eastAsia="arial" w:hAnsi="arial" w:cs="arial"/>
            <w:i/>
            <w:color w:val="0077CC"/>
            <w:sz w:val="20"/>
            <w:u w:val="single"/>
            <w:shd w:val="clear" w:color="auto" w:fill="FFFFFF"/>
            <w:lang w:val="en-US" w:eastAsia="en-US" w:bidi="ar-SA"/>
          </w:rPr>
          <w:t>[2003] 2 S.C.R. 459</w:t>
        </w:r>
      </w:hyperlink>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 where McLachlin C.J.C., for the majority, observed at [paragraph]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Fiduciary obligations are not obligations to guarantee a certain outcome for the vulnerable party, regardless of fault. They do not hold the fiduciary to a certain type of outcome, exposing the fiduciary to liability whenever the vulnerable party is harmed by one of the fiduciary's employees. Rather, they hold the fiduciary to a certain type of conduct. As Ryan J.A. held in A.(C.) v. C.(J.W.) </w:t>
      </w:r>
      <w:hyperlink r:id="rId840"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(C.A.), at para. 154, "A fiduciary is not a guarantor." A fiduciary "does not breach his or her duties by simply failing to obtain the best result for the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Similarly, in considering the scope of a fiduciary duty in the private law context arising from a relationship of discretionary power and trust, McLachlin C.J.C., in K.L.B., supra, for the majority, stated at [paragraph]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Returning to the facts of this case, there is no evidence that the government put its own interests ahead of those of the children or committed acts that harmed the children in a way that amounted to betrayal of trust or disloyalty. The worst that can be said of the Superintendent is that he, along with the social workers, failed properly to assess whether the children's needs and problems could be met in the designated foster homes; failed to discuss the limits of acceptable discipline with the foster parents; and failed to conduct frequent visits to the homes given that they were overplaced and had a documented history of risk (trial judgment, at paras. 74). The essence of the Superintendent's misconduct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not disloyalty or breach of trust. There is no suggestion but that he was serving anyone's interest but that of the children. His fault was not disloyalty, but failure to take sufficient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turn now to an application of this principled approach, to determine if, in the circumstances of this case, NWPS breached a fiduciary duty to the plaintiffs.</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a fiduciary relationship exist between the plaintiffs and NWPS?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When the plaintiffs arrived at NWPS in the early morning hours of September 20, 1998, they were distraught, shaken and fearful for their personal safety. They were met by family and friends who encouraged them not to cooperate with the police and to return home. Within their community there was a practice of not cooperating with criminal investigations. NWPS was aware of that fact and was eager to have the plaintiffs' assistance in the criminal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Both Ms Tim and Mr. Smith voiced their concerns regarding the family's personal safety. NWPS agreed those concerns were real and serious. That determination was confirmed by the September 19, 1998 threat assessment. Officers Kelly and Pope were also aware of the pressure being placed on the plaintiffs not to cooperate with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It was in this context that the Agreement was made, although NWPS was unfamiliar with the requirements for providing witness protection. It had no information regarding the plaintiffs' personal history, their interpersonal relationships or maturity, or their financial circumstances, in order to assess their ability to adapt to a witness protection program. Rather, NWPS was focussed on obtaining Ms Tim's critical information, which was essential to the criminal investigation into Derek's murder.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By agreeing to provide the plaintiffs with witness protection in return for their assistance in the criminal investigation, NWPS became the recipient of the plaintiffs' trust and confidence and had the sole discretion to affect their interests. Although the plaintiffs could have withdrawn from NWPS control at any time, the practicalities of the bargain they had made effectively precluded them from that option. Once they agreed to assist the police, they were subject to a real and serious risk of intimidation, physical harm, or even death. As such, they became vulnerable to the discretion and control of NWPS to ensure their personal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these circumstances, I am satisfied NWPS entered into a fiduciary relationship with the plaintiffs when it agreed to provide them with witness protection in return for their KGB statements. This relationship was not included in NWPS's public law duty, but was established as a private law relationship directly with the plaintiffs.</w:t>
      </w:r>
      <w:r>
        <w:rPr>
          <w:rFonts w:ascii="arial" w:eastAsia="arial" w:hAnsi="arial" w:cs="arial"/>
          <w:sz w:val="20"/>
          <w:lang w:val="en-US" w:eastAsia="en-US" w:bidi="ar-SA"/>
        </w:rPr>
        <w:cr/>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NWPS breach its fiduciary duty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Fiduciary obligations are shaped by the demands of the situation. The requirement that a fiduciary act in good faith for the best interests of the beneficiary must be viewed in the context of the circumstances in which the fiduciary obligations arose. Breach of a fiduciary obligation will generally require evidence of dishonesty or disloyalty to the beneficiary's interests, by the fiduciary placing its personal interests ahead of those of the beneficiary in a way that results in harm to the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At the outset, the plaintiffs wanted to assist NWPS in its investigation but were concerned about their personal safety given their knowledge about the violence associated with the Buttar brothers. NWPS recognized the existence of a real and serious threat to the plaintiffs if they became involved in the criminal investigation. Acting on that understanding, they agreed to provide the plaintiffs with witness protection in exchange for their KGB statements. The Agreement was quickly reached with Ms Tim before either of the parties had the opportunity to become knowledgeable about the requirements of the federal WPP.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NWPS's lack of knowledge and experience in witness protection made it difficult for it to fulfil the Agreement after the RCMP rejected the plaintiffs' applications. However, in spite of this set-back it took immediate steps to secure funding from the provincial Ministry to relocate the plaintiffs for a six-month term. The policy guidelines for the provincial WPP were comparable to the federal WPP except for the ability to implement changes of identity and SIN numbers, which remained exclusively within the jurisdiction of the RCMP. Moreover, after the Winnipeg relocation failed and the Protection Agreements expired, NWPS assumed responsibility for the plaintiffs' continuing security needs by obtaining additional funding from the City of New Westminster for a further three and a half months in order to relocate and establish the plaintiffs in xxx, a place of their choosing.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hindsight, it is unlikely the plaintiffs could have adapted to any witness protection program. There were multiple causes for this failure that included a number of pre-existing factors: the fractured and dysfunctional nature of their family unit, their individual psychological make-up, their continuing depression over Derek's tragic and traumatic death, and their inability to manage their finances. They failed to heed the warnings they were given about the difficulties they would encounter in a witness protection program and they created unrealistic and impossible expectations for any such program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While under the protection of NWPS, on at least three occasions, September 26, 29 and October 28, 1998, they ignored information they were given regarding the need for the RCMP to approve their applications before they could be admitted into the federal WPP and that only the RCMP could authorize a change of identity or SIN number. When they were subsequently funded for relocation through the provincial WPP, they found it impossible to follow the basic requirement that they not disclose to anyone but their "handler" that they were in witness protection. Instead, they disclosed their locations to family, friends and police officers who were not their handler, Mr. Smith advised the Manitoba Department of Vital Statistics as well as numerous lawyers and politicians across the country about the family's circumstances, they used their real names in court proceedings commenced to obtain compensation for injuries sustained in two subsequent motor vehicle accidents, and C. Winslow continued to be in communication with Paul Khela who had connections to the crime group that was involved in Derek's murder. Mr. Smith even left a message for Peter Gill to contact him. These actions make Mr. Smith's concern about disclosing his SIN number to potential employers pale in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plaintiffs were repeatedly told that neither the federal nor provincial WPP would cover their debt as Mr. Smith had an asset valued at about $400,000. They were advised that unless the debt was paid creditors would follow them to their new location. While in Edmonton, Mr. Smith and Ms Tim volunteered to address that issue by obtaining jobs so they could maintain their monthly debt payments. When they failed to secure employment and reinstate their monthly payments, not surprisingly, a creditor tracked them to Winnipeg.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Smith's primary explanation for not obtaining employment was his fear of reprisals if he disclosed his SIN number to any potential employer. However, the family's relocation to Winnipeg and xxx were chosen because of their safe distance from Vancouver and the improbability the crime group would follow them to those communities. Ms Tim said it was her choice to return to school rather than obtain employment. T. Alfred followed his parents' example and chose to spend his time at the gym although he has the ability to work outside the home. The medical evidence indicated that Mr. Smith and Ms Tim's continuing depression over the circumstances of their son's death, and the significant impact of their injuries from the subsequent motor vehicle accidents, were also material factors that contributed to their inability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plaintiffs' pre-existing financial difficulties have followed them. Their financial circumstances were deteriorating rapidly in September, 1998, to the extent that they were borrowing from their family to meet their expenses. After they were admitted into the provincial WPP they were still unable to manage their financial affairs within the budget they were given, which was comparable to that provided in the federal WPP. Many of the decisions they made on how to allocate their limited funds were problematic. In each community to which they were relocated they left a trail of debts. In xxx, the family rented accommodation it clearly could not afford on its budget and created a situation where, after six months, they were facing eviction. Following a marital dispute, Mr. Smith withdrew all of the monies from the family's joint bank account thereby jeopardizing the family's ability to meet its rent payment. Although the plaintiffs believed they were entitled to more than they were receiving, based on a gross annual of income of $60,000 that Mr. Smith was earning before he was fired from his employment in April, 1998, that claim ignored the reality of the family's deteriorating financial situation before September, 1998. This avoidance of reality was also evident in Mr. Smith's claim during his Examination for Discovery regarding the 1999 motor vehicle accident that he did not seek employment in Winnipeg because the family was receiving $45,000 while in the provincial WPP. Moreover, there was no independent evidence to support the plaintiffs' claims regarding the specific promises they alleged were made by NWPS, which appeared to be more of a wish list than a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short, the plaintiffs have made little effort to "get on with their lives" in a positive and constructive manner. They have sought to blame their continuing troubles on NWPS, the only remaining available target, rather than face their own inability to do what was necessary to meet that objective. They were warned by officer Mann that the pressures of the witness protection program would only increase over time and those pressures have clearly proven to be insurmountable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Admittedly, NWPS would likely handle any future case requiring witness protection differently. Its inexperience in this field resulted in a failure to assess the plaintiffs' ability to adapt to a witness protection program before assuming responsibility for their protection. It also resulted in delays while they obtained information regarding the federal and provincial WPPs and in communicating that information to the plaintiffs. The decision to relocate the plaintiffs to Winnipeg, a community not of their choosing, was also problematic. While I accept the police officers' evidence as to what occurred at the November 12, 1998 meeting, I also accept the plaintiffs' feelings that they were under some pressure to sign the Protection Agreements when they found themselves in a new community, not of their choosing, with no other resources available to them. NWPS also provided no assistance to the plaintiffs regarding their need to liquidate Mr. Smith's interest in the auto body business in order to pay the family's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While arguably these complaints might have provided some basis for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possibly negligent misrepresentation, both of which were statute-barred when this action was commenced, in my view they do not constitute evidence of dishonesty or disloyalty toward the plaintiffs or evidence that NWPS placed its interests above those of the plaintiffs. Indeed, on numerous occasions NWPS went beyond its obligations under the Agreement: it arranged for Mr. Smith to attend his sister's funeral; it transported T. Alfred back to B.C. to visit his friends on his birthday; it paid the plaintiffs' unapproved expenditures they left behind in each community; it maintained the plaintiffs' funding level as provided for in the Extension Agreement even after Mr. Smith was terminated from the provincial WPP; it arranged references for Mr. Smith in his employment search; it advised the plaintiffs of the disclosure order regarding the affidavit filed in support of a Part 6 wiretap authorization that had been made in an unrelated murder trial and assisted with the editing of the affidavit to ensure Ms Tim's confidentiality; and, at the request of Mr. Smith and Ms Tim, had officer Stenerson speak directly to T. Alfred and C. Winslow regarding the serious consequences of their misbehaviour.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Most significantly, C. Winslow's ongoing contact with Paul Khela, Mr. Smith's call to Peter Gill, and his disclosure of the family's circumstances to the Manitoba Department of Vital Statistics, had the potential to significantly breach the family's security. Although the plaintiffs were vulnerable to NWPS's exercise of its discretion and power while they were subject to the Protection and Extension Agreements, it was their own actions that materially affected their vulnerability and increased their risk of potential harm.</w:t>
      </w:r>
      <w:r>
        <w:rPr>
          <w:rFonts w:ascii="arial" w:eastAsia="arial" w:hAnsi="arial" w:cs="arial"/>
          <w:sz w:val="20"/>
          <w:lang w:val="en-US" w:eastAsia="en-US" w:bidi="ar-SA"/>
        </w:rPr>
        <w:cr/>
      </w:r>
    </w:p>
    <w:p>
      <w:pPr>
        <w:numPr>
          <w:numId w:val="2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summary, I am of the view that NWPS did not take advantage of its fiduciary relationship with the plaintiffs or their vulnerability, but endeavoured to assist the plaintiffs. It was never dishonest or disloyal to the plaintiffs' interests. It conducted itself in a manner that consistently placed the plaintiffs' interests above its own, to its financial detriment. In short, it tried to do its best for the plaintiffs in a difficult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Accordingly, I am satisfied that NWPS did not breach its fiduciary duty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the result,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Subject to submissions, I am of the view that in the circumstances of this case each party should bear its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SMITH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July 13,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issued to refer to the Reasons for Judgment of June 21,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trial dates are not correct. The above noted trial dates are correct.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October 8,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76, paragraph 176, the third sentence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conducted itself in a manner that consistently placed the plaintiffs' interest above its own, to its financial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word "matter" being changed to "manner".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5"/>
          <w:headerReference w:type="default" r:id="rId846"/>
          <w:footerReference w:type="even" r:id="rId847"/>
          <w:footerReference w:type="default" r:id="rId848"/>
          <w:headerReference w:type="first" r:id="rId849"/>
          <w:footerReference w:type="first" r:id="rId8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1" w:history="1">
        <w:r>
          <w:rPr>
            <w:rFonts w:ascii="arial" w:eastAsia="arial" w:hAnsi="arial" w:cs="arial"/>
            <w:b/>
            <w:bCs/>
            <w:i/>
            <w:color w:val="0077CC"/>
            <w:kern w:val="32"/>
            <w:sz w:val="28"/>
            <w:szCs w:val="32"/>
            <w:u w:val="single"/>
            <w:shd w:val="clear" w:color="auto" w:fill="FFFFFF"/>
            <w:lang w:val="en-US" w:eastAsia="en-US" w:bidi="ar-SA"/>
          </w:rPr>
          <w:t>Van Duzen v. Lecovin, [2004] B.C.J. No. 2206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23 - 25 and 27, March 1 - 5,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9 - 10, June 7 - 10, and July 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S012928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2206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1333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135 A.C.W.S. (3d) 947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Allan Van Duzen, plaintiff, and Gerald J. Lecovin,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6" w:name="Keywords_21"/>
      <w:bookmarkEnd w:id="186"/>
      <w:r>
        <w:rPr>
          <w:rFonts w:ascii="arial" w:eastAsia="arial" w:hAnsi="arial" w:cs="arial"/>
          <w:b/>
          <w:color w:val="000000"/>
          <w:sz w:val="20"/>
          <w:lang w:val="en-US" w:eastAsia="en-US" w:bidi="ar-SA"/>
        </w:rPr>
        <w:t xml:space="preserve">Barristers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Considerations in determining liability — Particular negligent acts — Lack of full disclosure — Negligent advice — Failure to inform or advise client — Wrong procedure — Re mentally incompetent client — Re conduct of trial — Defence — Prevailing standard of practice.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7" w:name="Case Summary_20"/>
            <w:bookmarkEnd w:id="1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Van Duzen, against his former solicitor, Lecovin,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contract. Counterclaim by the solicitor for payment of his account for services rendered. The solicitor had been practicing family law for over 30 years. Van Duzen brought an action against his wife. The trial of the family law issues took 28 days and involved the identification and valuation of assets, the issue of spousal support and a possible unequal division of assets. The wife was awarded 60 per cent of the assets and spousal support. The trial judge made adverse findings of credibility against Van Duzen. The judge found that he had not responded to requests for discovery and was not candid about his financial status. The wife was awarded increased costs against him. Van Duzen had been referred to a psychiatrist who reported that Van Duzen was suffering from depression and alcohol dependency and had attempted suicide. As a result of his disabilities, Van Duzen alleged that he became confused and forgetful, which affected the judge's assessment of his credibility. He alleged that the solicitor agreed with his wife's counsel that if the wife did not present any medical evidence concerning her own mental condition, he would not present medical evidence. Van Duzen alleged that the solicitor was negligent in his prosecution of the action. He argued that the solicitor failed to prepare him for examination for discovery and trial, failed to prepare himself for trial, and failed to ensure that Van Duzen made appropriate disclosure. He also argued that the solicitor failed to call witnesses to support his position that he owed significant debts to creditors that constituted family debts. The solicitor argued that there were no witnesses available that could have assisted Van Duzen's case and that Van Duzen had not suffered from any mental disability before the end of trial. He claimed to have properly prepared Van Duzen. The solicitor argued that Van Duzen had agreed not to call his medical expert in the circumstances. He argued that he was instructed not to call the creditors as witnesses.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8" w:name="Holdings of Court_17"/>
            <w:bookmarkEnd w:id="18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Counterclaim allowed. Van Duzen had failed to prove that the solicitor was negligent in failing to detect that he had psychological impairment. The only conduct of the defendant that fell below the applicable standard of care was his failure to advise the plaintiff that the psychiatric evidence could be used in defending his wife's counterclaims for reapportionment of family assets and for spousal support, on the ground that his future ability to work was impaired. The evidence was incapable of supporting the allegation that the solicitor did not adequately prepare Van Duzen for trial or establish a proper relationship with opposing counsel. There was insufficient evidence to suggest that Van Duzen was exhibiting symptoms of memory or cognitive impairment during his communications with the solicitor. Van Duzen was not given the opportunity to present his claim for spousal support on the basis of an inability to work but would likely not have instructed the solicitor to do so, as he was attempting to present the image of being in control. It was unlikely that the medical evidence would have affected the judge's findings of credibility. Van Duzen instructed the solicitor not to call the witnesses. The solicitor met the standard of care of a reasonably competent family law practitioner.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9" w:name="Legislation Cited_10"/>
      <w:bookmarkEnd w:id="1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5"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Order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Income Tax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0" w:name="Counsel_33"/>
      <w:bookmarkEnd w:id="19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 Muir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1" w:name="Judgment_33"/>
      <w:bookmarkEnd w:id="191"/>
      <w:r>
        <w:pict>
          <v:line id="_x0000_s1167" style="position:absolute;z-index:251832320" from="0,12pt" to="512pt,12pt" strokecolor="#009ddb" strokeweight="1.5pt">
            <v:stroke linestyle="single"/>
          </v:line>
        </w:pict>
      </w:r>
    </w:p>
    <w:p>
      <w:p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INDEX</w:t>
            </w:r>
          </w:p>
        </w:tc>
        <w:tc>
          <w:tcPr>
            <w:tcW w:w="512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PARAGRAPH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NOS.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CLAIM AND THE COUNTERCLAIM</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PARTIES</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169"/>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EVENTS WHICH PRECIPITATED THIS TRIAL</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OVERVIEW OF THE TRIAL</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169"/>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HISTORY AND RESULTS OF THE FAMILY LAW</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LITIGATION</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12-24</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483"/>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THE ALLEGATIONS OF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AND BREACH OF</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CONTRACT</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6483"/>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ALLEGED CONSEQUENCES OF THE DEFENDANT'S</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CONDUCT</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DEFENCE TO THE ALLEGATIONS</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27-28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LAW</w:t>
            </w:r>
          </w:p>
        </w:tc>
        <w:tc>
          <w:tcPr>
            <w:tcW w:w="47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29-41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692"/>
        <w:gridCol w:w="209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SUMMARY DISPOSITION OF SOME OF THE ALLEGATIONS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5960"/>
        <w:gridCol w:w="941"/>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WAS THE DEFENDANT NEGLIGENT IN FAILING TO</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CALL MEDICAL EVIDENCE AT THE TRIAL?</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w:t>
            </w:r>
          </w:p>
        </w:tc>
        <w:tc>
          <w:tcPr>
            <w:tcW w:w="215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4705"/>
        <w:gridCol w:w="1568"/>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MEDICAL EVIDENCE THAT WAS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AVAILABLE - DR. MATRICK</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44-48</w:t>
            </w:r>
          </w:p>
        </w:tc>
        <w:tc>
          <w:tcPr>
            <w:tcW w:w="215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5124"/>
        <w:gridCol w:w="1150"/>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OPINIONS AND TRIAL TESTIMONY OF</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MILES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49-56</w:t>
            </w:r>
          </w:p>
        </w:tc>
        <w:tc>
          <w:tcPr>
            <w:tcW w:w="215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4915"/>
        <w:gridCol w:w="1359"/>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TRIAL TESTIMONY OF DR. MATRICK</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57-60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4287"/>
        <w:gridCol w:w="198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EVIDENCE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61-74</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4705"/>
        <w:gridCol w:w="1568"/>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EVIDENCE OF GORDON TURRIFF</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75-84</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4601"/>
        <w:gridCol w:w="1673"/>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EVIDENCE OF CAROL LITTLE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85-86</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4287"/>
        <w:gridCol w:w="198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DEFENDANT'S EVIDENCE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87-98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4809"/>
        <w:gridCol w:w="1464"/>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EVIDENCE OF DOROTHY SMITH</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4392"/>
        <w:gridCol w:w="1882"/>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EVIDENCE OF MARK LECOVIN</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100-102</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973"/>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FINDINGS OF FACT</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103-109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437"/>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CONCLUSIONS AS TO THE FIRST ALLEGATION</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110-118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437"/>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ALLEGED CONSEQUENCES OF THE FAILURE</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CALL MEDICAL EVIDENCE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119-130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855"/>
        <w:gridCol w:w="21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CREDIBILITY IN THIS TRIAL</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IN FAILING TO CALL WITNESSES TO CONFIRM THE PLAINTIFF'S TESTIMONY ABOUT ALLEGED FAMILY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4287"/>
        <w:gridCol w:w="198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CASE FOR THE PLAINTIFF</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132-133</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660"/>
        <w:gridCol w:w="2614"/>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DEFENCE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134</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3346"/>
        <w:gridCol w:w="292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EVIDENCE</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135-138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4705"/>
        <w:gridCol w:w="1568"/>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FINDINGS OF FACT AND CONCLUSIONS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139-141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IN FAILING TO CALL A WITNESS TO PROVE THAT THE PLAINTIFF WAS NOT THE OWNER OF EXODUS OFFSHORE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3346"/>
        <w:gridCol w:w="292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EVIDENCE</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142-146</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4705"/>
        <w:gridCol w:w="1568"/>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FINDINGS OF FACT AND CONCLUSIONS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147-151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IN FAILING TO CALL AN ACCOUNTANT AND A STOCK MARKET EXPERT AS WITNESSES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3346"/>
        <w:gridCol w:w="292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EVIDENCE</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152-156</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869"/>
        <w:gridCol w:w="2405"/>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FINDINGS OF FACT</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157</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4287"/>
        <w:gridCol w:w="198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REASONING AND CONCLUSIONS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158-169</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NEGLIGENT IN FAILING TO EFFECTIVELY CROSS-EXAMINE THE TWO STOCK MARKET WITNESSES CALLED BY THE PLAINTIFF'S WIFE, AND IN FAILING TO REQUIRE THE ATTENDANCE OF JOHN HALEY FOR CROSS-EXAMINATION ON 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4915"/>
        <w:gridCol w:w="1359"/>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EVIDENCE AT THE FAMILY LAW TRIAL</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170-173</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4287"/>
        <w:gridCol w:w="198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EVIDENCE AT THIS TRIAL</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174-178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4705"/>
        <w:gridCol w:w="1568"/>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FINDINGS OF FACT AND CONCLUSIONS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179-181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332"/>
        <w:gridCol w:w="1569"/>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ALLEGED EFFECT OF THE DEFENDANT'S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OMISSIONS ON THE TRIAL RESULT AND THE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POST-TRIAL EXPENSES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182-186</w:t>
            </w:r>
          </w:p>
        </w:tc>
        <w:tc>
          <w:tcPr>
            <w:tcW w:w="215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018"/>
        <w:gridCol w:w="30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SUMMARY OF ESSENTIAL CONCLUSIONS</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187-188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4392"/>
        <w:gridCol w:w="1882"/>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POSITIONS OF THE PARTIES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189-191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3555"/>
        <w:gridCol w:w="2718"/>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ISSUE</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192</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3346"/>
        <w:gridCol w:w="292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EVIDENCE</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193-195</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869"/>
        <w:gridCol w:w="2405"/>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FINDING OF FACT</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196</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4705"/>
        <w:gridCol w:w="1568"/>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CONSIDERATION OF ARGUMENTS AS TO</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TRIAL RESULT</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197-203</w:t>
            </w:r>
          </w:p>
        </w:tc>
        <w:tc>
          <w:tcPr>
            <w:tcW w:w="215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3346"/>
        <w:gridCol w:w="292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CONCLUSIONS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204-207</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2" w:name="HALFYARD J._0"/>
            <w:bookmarkEnd w:id="192"/>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 AND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trial, the plaintiff John Van Duzen claims damages from his former lawyer Gerald Lecovin, on the grounds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The plaintiff alleges that the defendant was negligent (and in breach of his retainer) in his prosecution of the plaintiff's family law action against his wife, and in his defence of the counterclaim made by the plaintiff's wife in that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counterclaims for payment of the balance of his account for services, in the amount of $51,237.12.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now 63 years of age. He has been a businessman throughout most of his working life. He and his wife married in the 1960s. They have three adult daughters and nine grandchildren. They separated on or about January 22, 1997, on his wife's initiative.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is a lawyer who has practiced law in Vancouver for many years. He has practiced mainly in the field of family law, since about 1965.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EVENTS WHICH PRECIPITATED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Most of the facts leading up to this litigation are not in dispute, and I would summarize them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retained the defendant to represent him, in April 1997. The defendant commenced an action by the plaintiff against his wife, in July 1997. The trial of that action was held before Madam Justice Lynn Smith, and occupied 10 days commencing on May 10, 1999 and ending on December 10, 1999. Reasons for judgment were filed on August 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discharged the defendant within a day or two after he read the reasons for judgment. He retained new counsel and an appeal was filed on September 6, 2000, but was later abandoned on a date which is uncertain. The plaintiff's wife applied to the trial judge seeking an order that the plaintiff be required to pay her special costs of the action. On May 16, 2001, L. Smith, J. gave oral reasons for judgment in which she refused to award special costs, but did order that the plaintiff pay increased costs to his wife. The plaintiff had retained a second new counsel, Mr. Turriff, to defend against the application for special costs, and Mr. Turriff commenced the present action on behalf of the plaintiff, on May 24,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OVERVIEW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trial occupied 16 days. The plaintiff represented himself throughout the trial. He testified, and called four other witnesses, namely: Dr. James Miles (a psychiatrist), Gordon Turriff (his former lawyer), John Haley (an accountant) and Sean Iles. By agreement, the evidence of Carol Little was given by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For the defendant, Ms. Muir called four witnesses, including the defendant, Dr. Lawrence Matrick (a psychiatrist), Dorothy Smith (the defendant's former secretary) and Mark Lecovin (the defendant's son and a practising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Unavoidably, the documentary exhibits were voluminous.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sought leave to present the evidence of two further witnesses by way of affidavit. The admission of this evidence is objected to, and I will deal with this issue in connection with the plaintiff's complaint against the defendant's method of proving alleged family debts at the trial of the family law action. It was agreed that the plaintiff could present the evidence of Peggy English by way of affidavit, but only a letter from Ms. English was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HISTORY AND RESULTS OF THE FAMILY LAW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his action against his wife, the plaintiff sought an equal division of the family assets and the family debts. His wife counterclaimed for re-apportionment of the family assets in her favour. She claimed that the family assets owned by the plaintiff were more extensive and of greater value than asserted by her husband, and she contended that most of the debts that he claimed, were not family debts. Mrs. Van Duzen also sought spousal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family law litigation, there were a number of pre-trial applications made by the plaintiff's wife, relating to disclosure of financial information, the occupation and sale of the family home, and possession of contents of the family home. The plaintiff made pre-trial applications seeking exclusive occupancy of the former matrimonial home, and an order for sale of a boat which was a family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main issues at the trial before L. Smith, J. were: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identification and valuation of the family assets;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identification and valuation of the family debts;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should be an unequal division of the family assets in favour of the plaintiff's wife;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should be required to pay spousal maintenance to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Van Duzen achieved the greater measure of success on the first two issues, and was also awarded 60% of the net family assets remaining after the deduction of some debts that were found to be family debts. She was awarded spousal support of $400 per month commencing on August 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trial judge valued the family assets at $611,794.40 gross, the family debts at $83,467.62, and the net family assets at $528,326.97. The wife's 60% share was $316,996.18, and the plaintiff's 40% share was $211,330.78. The family home was by far the largest single asset, and was initially valued at $436,000 by the trial judge. (It was later sold for $480,700.)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However, the trial judge made adjustments to reflect her findings as to the respective values of the family assets that had been received by the plaintiff and his wife before the trial. The ultimate effect of these findings was that the plaintiff's 40% share was reduced by a further amount of about $118,000, so as to decrease his share from about $211,000 to about $92,500. The trial judge found that the plaintiff's wife's share of the net family assets was $435,740.02. The court awarded costs to the plaintiff's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trial judge made numerous adverse credibility findings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August 4, 2000, an article about the plaintiff was published by "Stockwatch", which appears to be a bulletin distributed to a fairly large audience of readers. This article recounted the results of the plaintiff's family law trial, and included summaries of and quotes from the reasons for judgment. Interpretive comments were also included, beginning with the title: "Solucorp's Van Duzen tells tall tales in court." Many of the trial judge's negative comments and adverse credibility findings concerning the plaintiff were mentioned, even the plaintiff's extra-marital affair. The article appeared to be calculated to cast the plaintiff in the worst possible light, to attack his character, and to humiliate him publicly. Understandably, the plaintiff was both shocked and infuriated by the Stockwatch article. It may well be that the rules that have developed to place limits on the publication of reasons for judgment in family cases, are designed to prevent this kind of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May 16, 2001, L. Smith J. gave oral reasons for judgment on the application of the plaintiff's wife for special costs. She found that the plaintiff's conduct was reprehensible in two respects, namely:</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Mr. Van Duzen was basically unresponsive to the demands for discovery of documents and made it extraordinarily difficult for his wife's counsel to obtain the information necessary to develop a picture of his financial situation."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not candid in his testimony at trial with respect to many financial issues. He failed to reveal certain income and assets until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Despite that finding, L. Smith J. decided that increased costs, and not special costs, should be ordered. One of the two reasons for this decision is set out in para. 19 of the reasons, which I reproduce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First, the evidence produced by the plaintiff at this hearing shows that there were some mitigating circumstances regarding his failure to provide documents and information. It does not follow that I accept that alcoholism or depression provides an excuse or that persons suffering from those conditions are therefore incapable of acting in bad faith and should not be responsible for their actions. What I do accept is that there may have been personal disorganization and poor memory on Mr. Van Duzen's part, such that some or a large amount of his non-disclosure may not have been wilful and may, indeed, have been unavoidable."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evidence on the hearing of the costs application showed that the plaintiff's wife was claiming more than $145,000 as special costs, whereas costs at scale 3 would have been just over $34,000. L. Smith J. ordered increased costs, at 50% of special costs. She also awarded Mrs. Van Duzen costs of the application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November 19, 2001, the plaintiff and his wife each made applications to L. Smith J., which she decided on December 21, 2001, and included the following:</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Van Duzen sought to set aside assignments made by the plaintiff to his two new lawyers, of his interest in the judgment and in the proceeds of the sale of the former matrimonial home, as being fraudulent preferences. This application was dismissed.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wife applied for an order that her costs be paid from the plaintiff's share of the proceeds of the sale of the former family home, and that arrears of maintenance in the amount of $4,200 also be paid from that source. Those applications were also dismissed.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wife asked that 60% of the property tax arrears (i.e., over $7,900) be paid to her from the plaintiff's share of the proceeds of sale of the matrimonial home. That application was granted.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wife applied to vary the order made January 8, 2001, requiring that one-quarter of the net proceeds of the sale of the matrimonial home be paid into court pending disposition of the appeal or further order, so as to permit payment out of that money to the parties. That application was granted in part, and the order was varied so as to require only $50,000 to be held in court.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applied for an order to cancel spousal support and to cancel the arrears under the order requiring him to pay spousal support. The court suspended payment of the spousal support, refused to cancel the arrears of $4,200, but suspended payment of the arrears, all until further order of the court.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sought compensation for work and materials he expended in repairing the matrimonial home, in preparation for sale, in the amount of about $6,100. The court ordered reimbursement for about $2,660 for materials, and ordered that the plaintiff's wife be compensated for $267 for an appraisal.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counsel sought an order that the plaintiff's share of the proceeds of sale of the matrimonial home was secured in favour of his lawyer's firm by his assignment, in priority to the claims of his wife. That order was granted. Counsel also sought an order that the unpaid fees and disbursements owed by the plaintiff be paid to his counsel's firm from his share of the proceeds of sale of the family home. That order was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By June 2002, the plaintiff and his wife had negotiated a settlement of all outstanding issues. Mrs. Van Duzen abandoned her judgment for costs. It was also agreed that the plaintiff's obligation to pay spousal support would be cancelled, and that the arrears would also be cancelled. An agreement was reached as to the distribution of the $118,000 paid into court from the proceeds of the sale of the family home. A further term of the settlement was that the plaintiff's wife would pay him (independent of the trial judgment) the sum of $10,000, characterized as spousal support. That sum exceeded by far, the amount of spousal support that the plaintiff had paid to his wife since August 1st,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paragraph 9 of his statement of claim, the plaintiff alleges that the defendant was negligent, and in breach of contract, by reason of numerous omissions. In my view, the allegations may be summarized into the following main categories: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adequately prepare the plaintiff for testifying on examination for discovery and at the trial.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adequately prepare himself for the trial.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ensure that the plaintiff made full and timely disclosure of all documents that were relevant to the plaintiff's financial circumstances.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advise the plaintiff that he might be penalized in costs, if he did not make full and timely disclosure of relevant financial information.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establish and maintain a suitable professional relationship with counsel for the plaintiff's wife.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introduce medical evidence at the trial, to prove that the plaintiff was suffering from depression and other impairments to his mental capacity.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call witnesses at the trial who were creditors of the plaintiff and who would have confirmed the plaintiff's trial testimony that the plaintiff owed substantial debts to them.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call any witness at the trial to confirm the plaintiff's trial testimony that he did not own any interest in Exodus Offshore Inc. ("Exodus").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call stock market and accounting experts as witnesses at the trial, which evidence would have confirmed, clarified and expanded upon the plaintiff's trial testimony relating to his various securities transactions and shareholdings, the nature of stock options, the fluctuations in the stock market, and the plaintiff's failure to report "windfall" earnings on his income tax return.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effectively cross-examine the two "stock market" witnesses called by his wife at the trial, and failed to require the attendance of John Haley for cross-examination on 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ALLEGED CONSEQUENCES OF THE DEFENDANT'S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alleges that the consequences of the said omissions of the defendant were as follows (my paraphrasing):</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failure to establish a good working relationship with counsel for the plaintiff's wife, caused unnecessary conflict and court applications.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failure to make full and timely disclosure of the plaintiff's financial affairs, and his failure to advise the plaintiff of the potential cost consequences of such non-disclosure, caused the trial judge to order the plaintiff to pay increased costs to his wife.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failure to properly or adequately prepare the plaintiff or himself for trial, caused or aggravated the plaintiff's poor performance as a witness.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failure to call medical evidence relating to the plaintiff's impaired mental capacity caused the trial judge to conclude that the plaintiff was not a credible witness, and this adverse finding in turn caused the trial judge to decide all the important issues against him.</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failure to call creditors of the plaintiff as witnesses at the trial, caused the trial judge to find that the value of the family debts was much lower than their actual value.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failure to call any witness at the trial to prove that the plaintiff was not the owner of Exodus, caused the trial judge to reject the plaintiff's denial and explanation on that issue.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failure to call stock market and accounting experts as witnesses at the trial (and his failure to effectively cross-examine his wife's "stock market" witnesses) caused the trial judge to reject the plaintiff's evidence and to make errors in deciding the value of the plaintiff's securities trading accounts at the critical dates, and the value of the shares and options held by the plaintiff in Milagro Minerals Inc. at the time of trial.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failure to cross-examine John Haley on his affidavit contributed to the trial judge's rejection of the plaintiff's evidence concerning the omission of the "windfall profit" from the plaintiff's income tax returns.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said omissions, the defendant failed to achieve a satisfactory result for the plaintiff at the trial of the family law action, which caused the plaintiff to incur significant legal fees and disbursements for the services of two new lawyers to conduct post-trial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DEFENCE TO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defence to these allegations of the plaintiff may be summarized as follows (again, my paraphrasing):</w:t>
      </w:r>
      <w:r>
        <w:rPr>
          <w:rFonts w:ascii="arial" w:eastAsia="arial" w:hAnsi="arial" w:cs="arial"/>
          <w:sz w:val="20"/>
          <w:lang w:val="en-US" w:eastAsia="en-US" w:bidi="ar-SA"/>
        </w:rPr>
        <w:cr/>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admits that he did not call any medical evidence at the trial relating to the plaintiff's mental health, but says that the plaintiff was not suffering from any significant mental impairment before the end of the trial. In the alternative, the defendant says that he did not know and could not reasonably have known that the plaintiff was suffering from such mental impairment.</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admits that he did not call any financial or accounting expert at the trial, but says that no such expert was available who could have assisted the plaintiff's case at the trial.</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admits that he did not call any creditors of the plaintiff to testify at the trial as to the debts owed to them by the plaintiff, but says that the plaintiff instructed him not to call two of his creditors, and the defendant considered it unnecessary to call them or any other creditor on the issue of family debts.</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admits that he did not call any witness at the trial to confirm the plaintiff's testimony that he did not own any interest in Exodus Offshore Inc., but says that no reliable witness was available to give that evidence at the trial.</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admits that he did not require John Haley for cross-examination on his affidavit, but says that he did not do so because, in his judgment, he could not have caused Mr. Haley to change or qualify his evidence.</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denies that he failed to:</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 plaintiff made full and timely disclosure of his financial information;</w:t>
      </w:r>
    </w:p>
    <w:p>
      <w:pPr>
        <w:numPr>
          <w:numId w:val="1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the plaintiff that full disclosure was necessary;</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adequately prepare the plaintiff for his examination for discovery or for the trial;</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adequately prepare himself for the trial;</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and maintain a proper professional relationship with counsel for the plaintiff's wife;</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effectively cross-examine the "stock market" witnesses;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achieve a satisfactory result for the plaintiff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also denies that any of his alleged omissions (admitted or otherwise) caused any of the consequences alleged by the plaintiff. Finally, the defendant denies that the plaintiff suffered any loss as a consequence of any of the omissions complained of, even assuming such omission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law, barristers and solicitors (lawyers) owe a duty to each of their clients, to conduct the client's case with a reasonable degree of skill and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standard of care set by law is that degree of legal knowledge, skill and care that would be possessed and exercised by a reasonably competent lawyer, in the preparation for and performance of the task which is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An error made by a lawyer in the exercise of judgment will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unless the error constitutes a marked departure from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If a lawyer breaches the legal standard of care, and if the lawyer's conduct causes a loss to his or her client, then the client may maintain an action against the lawyer, in contract or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have extracted these general propositions of law from previously-decided cases, including: Central Trust v. Rafuse </w:t>
      </w:r>
      <w:hyperlink r:id="rId852"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(para. 58); Ormindale Holdings Ltd. v. Ray, Wolfe et al </w:t>
      </w:r>
      <w:hyperlink r:id="rId853" w:history="1">
        <w:r>
          <w:rPr>
            <w:rFonts w:ascii="arial" w:eastAsia="arial" w:hAnsi="arial" w:cs="arial"/>
            <w:i/>
            <w:color w:val="0077CC"/>
            <w:sz w:val="20"/>
            <w:u w:val="single"/>
            <w:shd w:val="clear" w:color="auto" w:fill="FFFFFF"/>
            <w:lang w:val="en-US" w:eastAsia="en-US" w:bidi="ar-SA"/>
          </w:rPr>
          <w:t>(1982) 36 B.C.L.R. 378</w:t>
        </w:r>
      </w:hyperlink>
      <w:r>
        <w:rPr>
          <w:rFonts w:ascii="arial" w:eastAsia="arial" w:hAnsi="arial" w:cs="arial"/>
          <w:color w:val="000000"/>
          <w:sz w:val="20"/>
          <w:lang w:val="en-US" w:eastAsia="en-US" w:bidi="ar-SA"/>
        </w:rPr>
        <w:t xml:space="preserve"> (per Taylor J. at 387); Wenn v. Goyer et al, </w:t>
      </w:r>
      <w:hyperlink r:id="rId854" w:history="1">
        <w:r>
          <w:rPr>
            <w:rFonts w:ascii="arial" w:eastAsia="arial" w:hAnsi="arial" w:cs="arial"/>
            <w:i/>
            <w:color w:val="0077CC"/>
            <w:sz w:val="20"/>
            <w:u w:val="single"/>
            <w:shd w:val="clear" w:color="auto" w:fill="FFFFFF"/>
            <w:lang w:val="en-US" w:eastAsia="en-US" w:bidi="ar-SA"/>
          </w:rPr>
          <w:t>[1986] B.C.J. No. 822</w:t>
        </w:r>
      </w:hyperlink>
      <w:r>
        <w:rPr>
          <w:rFonts w:ascii="arial" w:eastAsia="arial" w:hAnsi="arial" w:cs="arial"/>
          <w:color w:val="000000"/>
          <w:sz w:val="20"/>
          <w:lang w:val="en-US" w:eastAsia="en-US" w:bidi="ar-SA"/>
        </w:rPr>
        <w:t xml:space="preserve">, a decision of McKay J., October 16, 1986, Vancouver Registry No. C844017; Graybriar Industries Ltd. v. Davis &amp; Co. </w:t>
      </w:r>
      <w:hyperlink r:id="rId855" w:history="1">
        <w:r>
          <w:rPr>
            <w:rFonts w:ascii="arial" w:eastAsia="arial" w:hAnsi="arial" w:cs="arial"/>
            <w:i/>
            <w:color w:val="0077CC"/>
            <w:sz w:val="20"/>
            <w:u w:val="single"/>
            <w:shd w:val="clear" w:color="auto" w:fill="FFFFFF"/>
            <w:lang w:val="en-US" w:eastAsia="en-US" w:bidi="ar-SA"/>
          </w:rPr>
          <w:t>(1990) 46 B.C.L.R. (2d) 164</w:t>
        </w:r>
      </w:hyperlink>
      <w:r>
        <w:rPr>
          <w:rFonts w:ascii="arial" w:eastAsia="arial" w:hAnsi="arial" w:cs="arial"/>
          <w:color w:val="000000"/>
          <w:sz w:val="20"/>
          <w:lang w:val="en-US" w:eastAsia="en-US" w:bidi="ar-SA"/>
        </w:rPr>
        <w:t xml:space="preserve"> (per Thackray J. at 181), affirmed </w:t>
      </w:r>
      <w:hyperlink r:id="rId856" w:history="1">
        <w:r>
          <w:rPr>
            <w:rFonts w:ascii="arial" w:eastAsia="arial" w:hAnsi="arial" w:cs="arial"/>
            <w:i/>
            <w:color w:val="0077CC"/>
            <w:sz w:val="20"/>
            <w:u w:val="single"/>
            <w:shd w:val="clear" w:color="auto" w:fill="FFFFFF"/>
            <w:lang w:val="en-US" w:eastAsia="en-US" w:bidi="ar-SA"/>
          </w:rPr>
          <w:t>(1992) 72 B.C.L.R. (2d) 190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It follows that, in order to succeed on a claim based on lawyer's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conduct of litigation, a plaintiff must prove the following essential elements, on the balance of probabilities:</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that the defendant committed an act or omission in the conduct of litigation (on behalf of the plaintiff) that fell below the standard of care required by law;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that the plaintiff suffered some loss as a result of the said conduct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standard of care required of a barrister and solicitor in a family law proceeding is the standard of a reasonably competent family law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opinion, the test for determining whether the requisite standard of care was met in this case, may be stated as follows: Would a lawyer who possessed reasonable knowledge of family law, and who had reasonable ability to use that knowledge in the practice of family law litigation, have done what the defendant omitted to do, or have avoided doing what the defendant did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relevant act or omission to be examined is of course the act or omission complained of by the plaintiff. In this case, all of the plaintiff's complaints relate to omissions.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If the plaintiff establishes that the defendant's conduct fell below the legal standard of care, then it must still be proved that the defendant's said conduct caused a loss to the plaintiff, in the sense that it was at least a material contributing cause of the loss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this case, the plaintiff alleges that the defendant's omissions caused the trial judge to make findings of fact which were adverse to him, and that these findings in turn caused the trial judge to decide the issues in his wife's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Most of the plaintiff's complaints relate to the defendant's failure to call witnesses to give evidence on particular issues at the family law trial. In my opinion, there can be no dispute that such an omission is capable in law of amounting to barrister's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think that this type of omission is analogous to a failure to interview an important witness (such as an eyewitness to a motor vehicle accident), and a failure to properly assess a statement made by an important witness before advising a client. See Fawell v. Atkins et al </w:t>
      </w:r>
      <w:hyperlink r:id="rId857" w:history="1">
        <w:r>
          <w:rPr>
            <w:rFonts w:ascii="arial" w:eastAsia="arial" w:hAnsi="arial" w:cs="arial"/>
            <w:i/>
            <w:color w:val="0077CC"/>
            <w:sz w:val="20"/>
            <w:u w:val="single"/>
            <w:shd w:val="clear" w:color="auto" w:fill="FFFFFF"/>
            <w:lang w:val="en-US" w:eastAsia="en-US" w:bidi="ar-SA"/>
          </w:rPr>
          <w:t>(1981) 28 B.C.L.R. 32</w:t>
        </w:r>
      </w:hyperlink>
      <w:r>
        <w:rPr>
          <w:rFonts w:ascii="arial" w:eastAsia="arial" w:hAnsi="arial" w:cs="arial"/>
          <w:color w:val="000000"/>
          <w:sz w:val="20"/>
          <w:lang w:val="en-US" w:eastAsia="en-US" w:bidi="ar-SA"/>
        </w:rPr>
        <w:t xml:space="preserve"> (Verchere J.); Griffin v. Kingsmill, [2001] E.W.J. No. 2721, [2001] E.W.C.A. Civ. 934 (Eng.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did not call a lawyer to give expert opinion evidence relating to the issues of the applicable standard of care, and whether the defendant's conduct fell below the standard of care. Although generally desirable, in my view such expert evidence is not essential to the plaintiff's case. See Graybriar Industries Ltd. v. Davis &amp; Co., supra, at p. 179; Plattig v. Hart </w:t>
      </w:r>
      <w:hyperlink r:id="rId858" w:history="1">
        <w:r>
          <w:rPr>
            <w:rFonts w:ascii="arial" w:eastAsia="arial" w:hAnsi="arial" w:cs="arial"/>
            <w:i/>
            <w:color w:val="0077CC"/>
            <w:sz w:val="20"/>
            <w:u w:val="single"/>
            <w:shd w:val="clear" w:color="auto" w:fill="FFFFFF"/>
            <w:lang w:val="en-US" w:eastAsia="en-US" w:bidi="ar-SA"/>
          </w:rPr>
          <w:t>[2002] B.C.J. No. 2516</w:t>
        </w:r>
      </w:hyperlink>
      <w:r>
        <w:rPr>
          <w:rFonts w:ascii="arial" w:eastAsia="arial" w:hAnsi="arial" w:cs="arial"/>
          <w:color w:val="000000"/>
          <w:sz w:val="20"/>
          <w:lang w:val="en-US" w:eastAsia="en-US" w:bidi="ar-SA"/>
        </w:rPr>
        <w:t xml:space="preserve"> (per Allan J. at para.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DISPOSITION OF SOME OF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find that several of the plaintiff's allegations may be disposed of without detailed consideration. These are the allegations that the defendant failed to adequately prepare the plaintiff or himself for discovery and trial; that the defendant failed to establish and maintain a suitable relationship with counsel for the plaintiff's wife, and that the defendant failed to ensure that the plaintiff made proper disclosure of his financial affairs (or advise the plaintiff of the potential cost consequences of such failure). In my opinion, even if I accepted the plaintiff's evidence and rejected the defendant's evidence relating to these matters, the evidence would be incapable of supporting any finding that the alleged omissions occurred. There are five remaining allegations that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DEFENDANT NEGLIGENT IN FAILING TO CALL MEDICAL EVIDENCE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allegation formed the major part of the plaintiff's case. An extensive review of the evidence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EVIDENCE THAT WAS AVAILABLE - DR. MATRICK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admittedly failed to call medical evidence concerning the plaintiff's mental health. The evidence that was available consisted of the opinion of Dr. Lawrence Matrick, an experienced and competent psychiatrist, and the clinical notes of Dr. Matrick. In his report to the defendant dated November 2, 1998, Dr. Matrick stated that the plaintiff had been referred to him by his family physician, and that he had seen the plaintiff on ten occasions between March 12, 1997 and October 28, 1998. In a letter dated February 9, 2001, to the plaintiff's new counsel, Dr. Matrick reported that he had seen the plaintiff on seven additional occasions between November 3, 1998 and February 16,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his report of November 2, 1998, Dr. Matrick expressed the following findings and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that first consultation, and on subsequent consultations, I found him to be overly depressed with episodes of despair, tearfulness, emotional lability and active thoughts of suicide."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my initial consultation, it was quite clear that Mr. Van Duzen was suffering from a dual psychiatric disorder. That is to say, he was suffering from a major depression and also he had a history of alcohol dependence, but there was a long standing depression, of the dysthymic type. I encouraged him to continue with his alcohol treatment program [i.e. with Alcoholics Anonymous] but because of his severe anxiety, I also prescribed a tension reliever to be taken at bedtime and during the day if necessary. In view of the serious thoughts of suicide, I suggested that he could always go back to the Lions Gate Hospital on an emergency basis if necessary. Quite soon after, he accepted a prescription for a major antidepressant, Zoloft, in increasing dosage for the treatment of his serious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Van Duzen's depression gradually subsided with psychotherapy, medical intervention, including medication and antidepressants, plus supportive therapy, suggestions and recommendations towards a practical reconciliation with his wife. ... as the months went on, he reluctantly accepted the fact that there would be a divorce."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last saw him on October 7th, and the 28th, 1998, he expressed some hope and optimism about his own personal future because of the A.A. program and his own personal development and growth. However, he was still tearful, sad and despondent about the constant criticism from his wife and the periodic rejection from his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for Mr. Van Duzen's alcohol dependence is excellent, in view of his high motivation and enrolment in the alcohol treatment program. Similarly, the prognosis for his immediate depression is also very hopeful because of his involvement in psychiatric treatment and the increased insight that he has developed. However, he has been emotionally scarred from early childhood with the long history of family, and then marital abuse which has sensitized him and he may again succumb to depression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p. 4 of his report dated November 2, 1998, Dr. Matrick stated that he had reviewed the clinical report prepared by Clair Hawes, Registered Psychologist, who had been seeing the plaintiff's wife, and noted that she had diagnosed Mrs. Van Duzen as suffering from a dysthymic mood disorder and having a dependent personality disorder. Dr. Matrick then offered the opinion that Clair Hawes may have been mistaken in attributing the cause of Mrs. Van Duzen's condition to be an abusive relationship with the plaintiff. Dr. Matrick concluded his report with this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therefore, it is quite clear that the individuals in this relationship have both suffered over the years but the prognosis for their personal and independent growth and development is excellent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Matrick's clinical note of November 3, 1998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serious attempt at suicide by carbon monoxide when dog ill and he lay down with dog in garage and alcoholism and turned car on. Woke up fortunately."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Matrick's letter to the plaintiff's new counsel dated February 9, 2001, includes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Van Duzen was suffering from a major depressive disorder and alcohol dependence in January 1997. When I saw him again, on re-referral from his family physician, on October 7, 1998, I again found him to be suffering from anxiety and depression but this was not of the major depressive disorder type but he fell into the category of an adjustment disorder with anxiety and depression. On October 7, 1998, he was not suffering from the major depressive disorder but he was still suffering from mixed anxiety and depression of the adjustment disorder type."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significant symptomatology of an adjustment disorder centres around mixed anxiety and depression but the adjustment disorder is not of major proportion but it is of significant psychiatric proportion and is the result of identifiable psycho-social stress or stressors which are incapacitating."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major symptomatology of such an adjustment disorder centres around symptoms of generalized anxiety with restlessness, difficulty in concentration, irritability, sleep disturbance, worry, apprehension, fear and physical anxiety manifestations. The depressive manifestations are still apparent but are not of major degree like the major depressive episode. Nevertheless, the depressive symptoms can be incapacitating and disabling with a general sense of sadness, despair, episodes of crying, emotional instability and thoughts of suicide."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did not require medication at that point but he assured me that he was continuing with the alcohol treatment program. I saw him on October 28, 1998, and he was again under stress and anxiety and generally feeling quite depressed.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him on November 3, 1998, and he again presented with symptoms of anxiety and depression and at that point had overwhelming nightmares and memories of his serious attempt at suicide by carbon monoxide poisoning and heavy alcohol intoxication. On November 4, 1998, he was again anxious and under stress because of employment difficulties and family dysfunction. He was very depressed but he did not have any active thoughts of suicide and he was still involved in the A.A.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November 15, 1998, I found him again to be very anxious about the court situation and the rejection from his children. He was depressed about the situation but he assured me that he was physically active and involved in the A.A. program. On December 15, 1998, he was feeling some improvement in regards to his depression but he was still anxious and under stress and at that point he was on an antidepressant Wellbutrin, which he also agreed to take for smoking cessation.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January 18, 1999, he was expressing symptoms of anxiety, anger, frustration, despair and aggravation because of the legal situation and his rejection with the family dysfunction. Similar symptoms were developing when I saw him on February 15, 1999. Symptoms centred around stress, tension, anger and sadness but again he assured me he was receiving considerable support from his A.A. group. At that point, he was not taking medication and there was some improvement in regards to his depression. When I last saw him on February 16, 1999, he was not taking any medication at that point. I thought that there was considerable improvement but he remained anxious, stressed, tense, angry, sad but he was free of major symptomatology and he assured me that he would continue with the A.A.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individuals who suffer from alcoholism may be in a program, it is well recognized that they continue to suffer many of the clinical symptoms even though they are not drinking. Such symptoms centre around indecisiveness, forgetfulness with diminished concentration and lack of focus."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Van Duzen has been very compliant in regards to treatment in respect to psychotherapy and the alcohol treatment program. He is a very courageous individual who weathered the severe psychological storms of a major depressive disorder including a serious attempt at suicide. Thereafter, he was very resolute in following through with the alcohol treatment program and dealing with the continuing anxieties and low grade depressive symptomatology thereafter."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OPINIONS AND TRIAL TESTIMONY OF DR. MILES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did not see any psychiatrist after his last visit with Dr. Matrick on February 16, 1999, until he saw Dr. James Miles, an experienced and competent psychiatrist, on February 16, 2001. In his report to Mr. Turriff dated October 27, 2001, Dr. Miles said that he had seen the plaintiff on 26 occasions between February 16 and October 25, 2001. Dr. Miles' said report includes the following findings and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conclusion regarding Mr. Van Duzen's condition is that he suffers from a substance induced persisting amnestic disorder - 291.1 - alcohol; - 292 - 83 - carbon monoxide."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"Over the 8 months I have been seeing him he has had periodic depressive symptoms. These have not responded well to several trials of anti-depressant medication. His memory defect is the problem that bothers him the most."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It is my opinion that, because of the considerable duration of John's memory defects, the prognosis is likely to be poor."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4"/>
        <w:gridCol w:w="313"/>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Van Duzen's disability certainly affects his daily activities. His impaired memory makes it very difficult for him to do things such as cooking safely, remembering appointments, remembering the sequence of personal hygiene, and interferes with virtually every daily activity."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His condition unfortunately affects his ability to work in a very major way. It is indeed difficult to think about a job that John could work at unless it was one that was very simple and repetitive. Considering his former ability to work at a very high level in his particular field, the loss is a very major 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is difficult to know whether or not he will benefit further from his participation in the rehabilitation program. He has certainly shown some modest improvement to date, but I would expect that further gains will be harder to achieve."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it is unrealistic and certainly not in Mr. Van Duzen's interest to entertain the likelihood of improvement sufficient to enable him to work. He may be able to do some quite simple repetitive job but his ability to work in any occupation requiring the use of memory would be extremely unlikely."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Miles referred the plaintiff for a neuro-psychological assessment by the neuro-rehab team at Lions Gate Hospital. The referral was on May 30, 2001, and the plaintiff was assessed on June 22 and July 19, 2001. The consultation report of Dr. Margaret Kendrick, Registered Psychologist, is dated July 27, 2001. Dr. Kendrick's report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results of the assessment revealed the following:</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Van Duzen's current intellectual functioning is in the low average range. This is estimated to be below a pre-morbid level in the high average range. Further analysis revealed that his verbal abilities (average) are significantly stronger than his non-verbal abilities (borderline range).</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of attention, concentration and memory produced results in the extremely low to borderline range. Analysis of retention revealed there was loss of information over time on auditory tasks (consistent with patient self-report). Initial acquisition of visual information was very low, suggesting a problem in attention and/or visual-spatial organization. However, the limited visual information that was acquired was retained over time. Mr. Van Duzen showed little ability to learn information over time.</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Verbal fluency was mildly impaired. Word finding difficulties were observed in the assessment and also reported by his friend.</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and psycho-motor speed were slow, and reading, colour-naming, resistance to distraction, higher level planning, and problem solving were also impaired.</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Scores on a standardized measure of mood, personality, and psychopathology were valid and indicated a number of problematic personality traits as well as elevated anxiety, dysthymia and instability of mood. It is likely that Mr. Van Duzen has periods when he becomes significantly more depressed.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Depression was not felt to have contributed to these deficits. ... in response to the questions as to whether Mr. Van Duzen can continue to work, manage his affairs, and drive his car, the particular deficits outlined above raise serious concern in all three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this trial, the plaintiff called Dr. Miles as a witness. His experience and qualifications are impressive. He said he knew of Dr. Matrick, and respected his professional competence. However, it was Dr. Miles' opinion that the plaintiff's mental abilities, including his memory, were significantly impaired by reason of brain damage which had been caused by either carbon monoxide poisoning or alcoholism, and that such brain damage had occurred before the family law trial, and should have been apparent to Dr. Matrick. Dr. Miles said that his finding of brain damage was supported by the findings of Dr. Kendrick. Dr. Miles was of the opinion that carbon monoxide poisoning was the more likely cause of the plaintiff's brain damage, rather than alcoholism. Dr. Miles confirmed the opinions he had expressed in his previous reports. He described the plaintiff as being "... very bright, very determined, despite the IQ they've given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cross-examination, Dr. Miles said that it was immediately obvious to him on first seeing the plaintiff professionally on February 16, 2001, that he was suffering from mental impairment which he believed was caused by brain damage. When confronted with Dr. Matrick's opinion that the plaintiff had made significant improvement by October 1998, and was no longer suffering from a major depressive disorder, Dr. Miles (while acknowledging that he relied on Dr. Matrick's report as a foundation for his own opinions) insisted that even Dr. Matrick was not saying that the improvement was of great degree. Counsel referred Dr. Miles to Dr. Matrick's trial testimony (by agreement, Dr. Matrick had testified before Dr. Miles) that there was no sign of brain damage or mental impairment in the plaintiff as of February 16, 1999, when he last saw the plaintiff. Dr. Miles replied, in effect, that Dr. Matrick's own findings should have caused him to suspect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Counsel asked Dr. Miles to assume that the plaintiff had not sustained brain damage by carbon monoxide poisoning, and inquired how that would affect his opinion. Dr. Miles said that, assuming that to be so, he would assign the cause of the plaintiff's brain damage to alcoholism.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questioned Dr. Miles about the plaintiff's changing versions of his suicide attempts, his vagueness and inconsistency as to the number of such attempts, and the dates of the incidents, and the plaintiff's different statements as to how long he had been experiencing serious memory problems. Counsel suggested, in effect, that the plaintiff's statements could not be relied on to support a diagnosis of carbon monoxide poisoning, or to support a finding that the plaintiff had serious memory problems during the family law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substance of Dr. Miles' response was that the plaintiff's memory may have been so poor that he could not give an accurate account of his suicide attempts, or as to when he first began having serious problems remembering things. Dr. Miles reaffirmed his opinion that the neuropsychological test results were the most valuable independent evidence. But Dr. Miles said he was not troubled by the inconsistency between what the plaintiff told him in 2001 (i.e., that he had been having memory problems for 5 to 8 years) and what he told Dr. Kendrick (i.e., that he began to doubt his powers of recollection, while reading a transcript of what the trial judge had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answer to a question by the court, Dr. Miles expressed the opinion that, during the first few days of the present trial, the plaintiff's mental impairments (coupled with insufficient medication) caused him to be temporarily overwhelmed by the proceedings.</w:t>
      </w:r>
      <w:r>
        <w:rPr>
          <w:rFonts w:ascii="arial" w:eastAsia="arial" w:hAnsi="arial" w:cs="arial"/>
          <w:sz w:val="20"/>
          <w:lang w:val="en-US" w:eastAsia="en-US" w:bidi="ar-SA"/>
        </w:rPr>
        <w:cr/>
      </w:r>
    </w:p>
    <w:p>
      <w:pPr>
        <w:numPr>
          <w:numId w:val="2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TESTIMONY OF DR. MATRICK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his trial testimony on direct examination, Dr. Matrick confirmed his findings and opinions as stated in his reports dated November 2, 1998 and February 9, 2001. He said that, when he last saw the plaintiff on February 16, 1999, he had no concerns about depression, brain damage, neurological deficits or memory problems in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cross-examination by the plaintiff, Dr. Matrick confirmed that, when the plaintiff was first referred to him, he believed that the plaintiff was quite ill and had a major depressive disorder. Dr. Matrick agreed that severe and long term alcoholism can cause permanent brain damage. He said that if he had known the plaintiff had required resuscitation to recover from an episode of drunkenness, he would have referred the plaintiff for a neuropsychological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Matrick acknowledged the possibility that the plaintiff may have knowingly deceived him about some things, and may have been honestly mistaken about other things due to forgetfulness or suppression, relating to his attempted suicide. When asked about the plaintiff's recital of the incident with Dr. Peggy English and his wife, Dr. Matrick confirmed that his notes dated March 26, 1997, indicated that the plaintiff told him that Dr. English and his wife had accused him of drinking, that he had denied it and told them he was taking medication prescribed by Dr. Matrick, and that he went to the hospital for a blood alcohol test which was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Matrick further testified on cross-examination that, as of October 7, 1998, the plaintiff did not require medication. He was unable to say why the plaintiff stopped seeing him. Dr. Matrick testified that he could not say whether or not someone else (i.e., someone other than a trained psychiatrist or psychologist) would have noticed the psychological problems that he identified during his treatment of the plaintiff.</w:t>
      </w:r>
      <w:r>
        <w:rPr>
          <w:rFonts w:ascii="arial" w:eastAsia="arial" w:hAnsi="arial" w:cs="arial"/>
          <w:sz w:val="20"/>
          <w:lang w:val="en-US" w:eastAsia="en-US" w:bidi="ar-SA"/>
        </w:rPr>
        <w:cr/>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testified that he was an alcoholic and had abused alcohol for many years until he stopped drinking after separating from his wife. He said he had attempted suicide two and perhaps three times, by way of carbon monoxide poisoning from exhaust fumes from his car engine. He said he told the defendant about his alcoholism, his psychiatric problems and his poor memory. The plaintiff testified that he told the defendant that he wanted the defendant to present Dr. Matrick's evidence at the trial, but that the defendant decided not to call medical evidence because his wife's counsel decided not to call any medical evidence on her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stated that, when he testified at the family law trial, he was confused and forgetful, and unable to clearly explain his various stock transactions and the nature of stock options. He said that the trial judge rejected most of his explanations because she did not believe him, and that she did not believe him because he was confused, forgetful and inconsistent. The plaintiff asserted that the psychiatric evidence would have provided an explanation for these apparent defects in his trial testimony, other than dishonesty, which the trial judge concluded was the cause. The plaintiff said that the psychiatric evidence would also show that his wife's mental problems were not caused by his conduct during the marriage, but by other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testified that he himself knew of his own mental impairments during the family law trial, and that his mental incapacities, particularly his defective memory, should have been apparent to the defendant and to other persons who came into regular contact with him. He said he did not tell the defendant he was experiencing problems with depression, understanding things or remembering things, but stated that these symptoms should have been apparent to the defendant. The plaintiff said, in effect, that he was not a quitter, and that he was too proud to tell anyone except his psychiatrist, about these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testified that he had been unable to work following the family law trial, due to his psychological disorders. He said that, if Dr. Matrick's evidence had been presented at the family law trial, it would have affected the trial judge's decisions to his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cross-examination, the plaintiff stated his belief that he had demonstrated his mental impairments during the first week of this trial in February 2004. Counsel suggested that the plaintiff was not experiencing similar problems during the trial before Madam Justice Lynn Smith, and the plaintiff insisted that he was. He rejected his wife's post-trial affidavit evidence in which she denied that the plaintiff had exhibited any such mental impairment. The plaintiff admitted that he was still a director of Solucorp Industries Ltd. ("Solucorp"), a public company headquartered in New York. He acknowledged that he still tries to do at least some work for Solucorp. The plaintiff admitted that he had taken a number of business trips to foreign countries, before, during and after the family law trial. He said he had previously been a director of other companies, which included En-R-Tech International, Milagro Minerals Inc. and United Gun Resources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acknowledged that he prepared and sent to the defendant numerous notes and fax letters relating to the litigation, between August 1997 and December 1999. He also admitted preparing and sending 17 pages of notes to Mr. Turriff and Ms. Lang, in response to the affidavit in support of his wife's application for special costs, and that his notes did not contain any reference to any mental impairments caused by alcoholism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being questioned further about his attempts at suicide, the plaintiff testified that he does not know when or how many times he attempted suicide. He acknowledged that he may have given inconsistent statements to Dr. Miles as to the date or dates of these attempts. He conceded that his first attempt at suicide (which he described as being the worst of these incidents) may have occurred while he was still living with his wife. The plaintiff appeared to adopt his wife's account of the time and place of the first incident which involved their dog, but said that he continued with his attempt after initially being discovered by his wife. He admitted he did not seek or receive medical attention as a result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was questioned about his account of his meeting with Dr. Peggy English and his wife on March 19, 1997, and his claim that Dr. English had erroneously dismissed him in the belief that he was drunk, when in fact his speech problems were caused by his already-existing mental impairments. The plaintiff testified that the two women did not actually say they believed he was drunk, but he assumed they believed he was drunk. He repeated that he went immediately to Lions Gate Hospital and had his blood tested for alcohol content, which was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Counsel suggested to the plaintiff that, when recounting this incident to Dr. Matrick, he told the psychiatrist that Dr. English and his wife had accused him of being drunk, but that his slurred speech was due to his anti-depressant medication, and they didn't believe him so he went to the hospital to get a blood alcohol test to prove his point. The plaintiff did not distinctly admit that he told Dr. Matrick that his speech problems were due to the anti-depressant medication that he had prescribed. Nor did he retreat from his assertion that his speech was slurred due to his mental impairment, and not because of the effects of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letter from Peggy English dated September 10, 2003 (unsworn) does not shed any light on this point. It says: "I terminated that mediation session almost immediately that morning because I believed that John was not able to participate and make decisions in a constructive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admitted that he stopped seeing Dr. Matrick after the February 16, 1999 visit, and that he did not seek any psychiatric treatment for two years until he saw Dr. Miles, and acknowledged that he did not take any medication from October 1998 until after he saw Dr. Miles in February 2001. But he denied that he stopped seeing Dr. Matrick because he was no longer having significant mental difficulties. At this trial, the plaintiff testified that he stopped seeing Dr. Matrick because he felt he should not keep relying on doctors to solve his problems, and because the fees and the medication were expensive. But he admitted that on his examination for discovery on June 10, 2003, he had testified that he could not recall why he stopped seeing Dr. Matrick.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Counsel suggested to the plaintiff that in May or June 2001, he told Dr. Kendrick that he "began to be concerned about his memory" when he read what the trial judge said about the "inconsistencies and vagueness of his testimony." The plaintiff admitted that he may have said that to Dr. Kendrick, but if he did, then his statement as to when he first became concerned about his memory problems was in error. He denied the suggestion that it was only after he read the reasons for judgment that he began blaming his memory disorder as being the reason why he had lost,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denied counsel's suggestion that the only reason he wanted the defendant to obtain a medical report from Dr. Matrick was to counter the report of Clair Hawes, Registered Psychologist, concerning his wife's mental condition. The plaintiff said he knew (before the trial commenced) that the defendant had made an agreement with his wife's counsel that, if she did not present any medical evidence at the trial, he would not do so either. The plaintiff did not say that he told the defendant to present medical evidence, but says that he wanted the medical evidence presented at trial, but felt that he had no meaningful choice in the decision made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At one point in his testimony, the plaintiff said that he was not capable of writing letters to instruct the defendant, and that there were times when he could hardly speak a sentence. He admitted he never told the defendant that he was experiencing mental difficulties, but insisted that he himself knew he was experiencing memory problems and confusion, and knew that he needed professional help. He also agreed that he did not complain to the trial judge about the problems he was experiencing, but testified that the trial judge misinterpreted his unconvincing trial testimony as being caused by dishonesty. In relation to these matters, counsel for the defendant led the plaintiff through a long series of written instructions given by the plaintiff to the defendant throughout the period covered by the litigation. The plaintiff seemed to acknowledge that he may have given the appearance of being on top of things, wanting to control the conduct of his case, and being well able to express himself. But he denied that this was actually the case. The thrust of his evidence remained, that his impaired mental condition was obvious, and the defendant ought to have seen it, and presented medical evidence to explain it.</w:t>
      </w:r>
      <w:r>
        <w:rPr>
          <w:rFonts w:ascii="arial" w:eastAsia="arial" w:hAnsi="arial" w:cs="arial"/>
          <w:sz w:val="20"/>
          <w:lang w:val="en-US" w:eastAsia="en-US" w:bidi="ar-SA"/>
        </w:rPr>
        <w:cr/>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GORDON TURRIFF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Gordon Turriff, an experienced barrister and solicitor, was called as a witness by the plaintiff. He was not asked to give opinion evidence on the issue of whether the defendant's conduct met the legal standard of care. In direct examination, Mr. Turriff explained that the plaintiff first consulted him in August or September of 2000, and retained him to resist the defendant's application for payment of his bill, and (later) to defend against Mrs. Van Duzen's application for special costs. He said that on October 31st, 2001, he took over the plaintiff's appeal from Ms. Lang, but never received instructions to prosecute the appeal, which he said was used as a bargaining tool in an attempt to settle outstanding issues between the plaintiff and his wife. Mr. Turriff confirmed that he used the opinion evidence of Dr. Matrick and Dr. Miles in defence of the application for special costs, and considered it a victory when only increased costs were ordered. He attributed that result to the trial judge's acceptance of the medical evidence showing impairment of the plaintiff's mental 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Turriff confirmed that, in April 2002, a settlement was reached between the plaintiff and his wife whereby the plaintiff's wife abandoned her judgment for costs, agreed that the order for payment of spousal support (and the arrears of spousal support) should be cancelled, and agreed to pay the plaintiff $10,000 for spousal support. He confirmed that the agreement settled all remaining issues between the parties, including disposition of their appeals, and payment out of the $50,000 that was being held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Turriff described the plaintiff as being (in effect) a reasonably good client, but said that on some days he was "fuzzy". Mr. Turriff said that, as a result, he would sometimes postpone discussion of significant issues to another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cross-examination, when asked why he sought the psychiatric opinion of Dr. Miles, Mr. Turriff said that it was either because the plaintiff was already seeing Dr. Miles, or because the plaintiff had told him that he knew Dr. Miles.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Turriff was cross-examined extensively about his method of defending against the application for special costs. He acknowledged that, on December 12, 2000, he sent a copy (likely a draft) of the affidavit of Janice Cullen, which was the affidavit relied on by the plaintiff's wife in support of her application, and that he told the plaintiff that "... a lot of effort will have to be put into meeting the allegations made by way of the Cullen affidavit." When counsel referred Mr. Turriff to the plaintiff's detailed 17 page response to the Cullen affidavit (exhibit 4, volume 2, tab 146), Mr. Turriff said that he could not specifically recall reading those notes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Counsel suggested to Mr. Turriff that he had not prepared affidavit material that amounted to any comprehensive response to the Cullen affidavit, and Mr. Turriff said that he had filed the evidence he thought was necessary. Under further questioning, Mr. Turriff agreed that the plaintiff may have told him that he did his best to comply with his wife's various requests for disclosure of documents, but said that he ultimately decided to base his defence to the application for special costs, on the plaintiff's diminished mental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Turriff said that the plaintiff first told him about his history of alcoholism, on January 3, 2001, and that on February 1, 2001, according to his notes, he told the plaintiff that the "alcoholism defence to special costs matter has to be mounted in the next few days". Mr. Turriff confirmed that his notes dated February 1, 2001, indicated that he said he would review the reports of Clair Hawes and Dr. Matrick in connection with the alcoholism defence, but that he would not do more than this before February 15, 2001, pending a joint meeting with the plaintiff and Ms. Lang on February 15,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Turriff confirmed that his note of February 7, 2001, shows that he obtained Dr. Miles' phone number from the plaintiff on that date. He further confirmed that, on February 9, 2001, he wrote to Dr. Matrick and Dr. Miles, requesting their opinions of the plaintiff's medical condition. Mr. Turriff's notes of February 19, 2001, show that the plaintiff telephoned him and advised that he had seen Dr. Miles, and that he (Mr. Turriff) would follow-up with Dr. Miles.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Turriff identified his notes of interviews and telephone discussions with the plaintiff. The notes of his interview with the plaintiff on April 3, 2001, show, among other things, that Mr. Turriff advised the plaintiff that one of the arguments to be made on the application for special costs was that the plaintiff's conduct was not intentional, by reason of alcoholism and depression. His notes of a telephone conversation with the plaintiff on April 6, 2001, indicate that Mr. Turriff asked the plaintiff whether he could say under oath that he did not conceal anything from his wife, and that the plaintiff said that he didn't intend to conceal anything from her. In that same telephone conversation of April 6, 2001, when discussing Dr. Miles' referral of him to Dr. LeNobel, the plaintiff said "... this is why I couldn't recall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Turriff acknowledged that the plaintiff's wife received an inheritance from her father's death, and that this was a circumstance which contributed to her accepting the settlement that was ultimately reached between the parties in April 2002.</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CAROL LITTLE (BY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Carol Little gave evidence for the plaintiff by way of an affidavit sworn November 16, 2001, in the family law proceeding. Much of the affidavit deals with repairs and improvements made by the plaintiff to the former matrimonial home, but some evidence is given relating to the plaintiff's mental capacity. Ms. Little described herself as being a businesswoman, and a close friend of the plaintiff. In reply to the notion that the plaintiff was able to drive himself everywhere in his own car, Ms. Little stated that she often drove the plaintiff to places he needed to go. In reply to the allegation that the plaintiff was able to host dinners for large gatherings of family and friends, Ms. Little stated that she pre-prepared all of these dinners, and returned to the house after everyone had left, to clean up the mess. With respect to the plaintiff's ability to perform difficult repair tasks, she stated that he almost fell off the roof twice while attempting to perform roof repairs. In relevant part, para. 19 of Ms. Little's affidavit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took me some time around John before I began to notice the inconsistencies in his thought processes and attention span, as well as his forgetfulness. John can appear normal for one or two hours but he then becomes very confused and almost vacant. Unless you are with him for a number of hours or present him with a sequential task, you might not know about his condition. I believe that John is very embarrassed about his condition and tries to hide it. I do my best to help him so that he is more organized and able to manage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Little does not say how long she has known the plaintiff, how long she has lived with him, or when she first noticed that the plaintiff was having serious problems with his thought processes, attention span or memory.</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this issue, the defendant testified that he had never had a client who had more contact with him or who gave more input into a case, than the plaintiff did in his family law action. The defendant testified that "he gave instructions on every facet of the case", and that "he ran the case". The defendant gave an outline of the course of the litigation, the plaintiff's objectives, and the continuous and detailed instructions given by the plaintiff on every issue that arose. He also noted that the plaintiff's wife did not trust the plaintiff, and expressed the view that her distrust was probably the motivating factor in her counsel's persistent demands for comprehensive disclosure of documents and information. The defendant said that he did not detect any memory problems or other psychological problems in the plaintiff, throughout his dealings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 testified that, at some point during the litigation, the plaintiff told him that he was a recovering alcoholic, but that he had quit drinking since his separation from his wife, and seemed proud of that fact. The defendant said that Mrs. Van Duzen's lawyer had sent him a report of psychologist Clair Hawes, which indicated that she was suffering from emotional problems that had been caused by the plaintiff's treatment of her during the marriage. He said the plaintiff then took away a copy of the Hawes report, showed it to Dr. Matrick, and then returned and told the defendant that he should get a report from Dr. Matrick. The defendant said that it was at that time that he first learned that the plaintiff had been seeing a psychiatrist. He said that he then obtained Dr. Matrick's report, and delivered it to counsel for the plaintiff's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 said he considered Dr. Matrick's report to be an answer to the report of Clair Hawes. He stated that when opposing counsel later said that she would not be calling or tendering the report of Clair Hawes, he considered that there was no further need to call Dr. Matrick or to present his report at the trial. He said he and opposing counsel agreed, a few days before the trial was set to begin in May 1999, that neither party would be calling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said that, contrary to his advice, the plaintiff decided that he should present information about his history of alcoholism, in his examination-in-chief. He testified that the issue was then opened up, but that he objected to the plaintiff being cross-examined about his treatment of his wife when under the influence of alcohol, and to evidence being called by the plaintiff's wife on that issue, but the trial judge ruled against the objection. The defendant said that he thought he cross-examined the plaintiff's wife and her sister on their evidence on this point quite effectively, to show that Mrs. Van Duzen's timidity and lack of confidence and self-esteem were caused in significant part by her father's conduct towards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 testified in substance that, since he had seen no signs of depression or memory problems in the plaintiff, and since Dr. Matrick had stated in his report that the plaintiff's condition had improved, he saw no need to present Dr. Matrick's evidence to support the plaintiff's case. The defendant said he advised the plaintiff that, since his wife was not calling Clair Hawes, there was no need for him to call Dr. Matrick, and that the plaintiff accepted 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 said that, at the family law trial, the plaintiff was a good witness and was confident in giving his evidence in chief, but was sometimes hesitant in cross-examination, and on a few occasions said that he could not remember, in relation to some of the more difficult questions. But the defendant said that he saw no indication of weak memory, and that the plaintiff's memory appeared to be generally good. The defendant insisted that he saw no evidence of depression, amnesia, indecisiveness or forgetfulness, but rather saw the opposite qualities in the plaintiff. He said that the plaintiff's health was never an issue in the trial, and that he seemed to be a healthy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 said, in effect, that the plaintiff was the author of his own misfortune on the issue of credibility at the family law trial. Referring to documents presented at the trial which stated that the plaintiff was the owner of Exodus Offshore Inc., and indicated that he owned a large number of shares in Milagro Minerals Inc. (which contradicted the plaintiff's trial testimony), the defendant asserted that the plaintiff had deceived him as well as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cross-examination, the defendant said, in effect, that he was not convinced by the expert evidence that the plaintiff had actually sustained brain damage, but that if he did, then either it did not occur (or did not become apparent) until after the trial of the family law action. The defendant acknowledged that the plaintiff wanted him to call Dr. Matrick as a witness at the trial, but only because it was expected that the report of Clair Hawes would be presented by his wife. The defendant repeated that the plaintiff had accepted his advice, that there was no need to call Dr. Matrick, when counsel for the plaintiff's wife decided not to present evidence from Clair Hawes. The defendant said that he did not know that the plaintiff had been in the psychiatric ward of Lions Gate Hospital, 8 or 10 years before the trial, because the plaintiff had never told him this. The defendant repeated that, in his view, the plaintiff was not suffering from any mental impairments during the trial of the family law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questioned the defendant about his (the plaintiff's) inability to recall having a trading account named "J for D", during his testimony at the family law trial. In his direct testimony in the present trial, the defendant had said that the plaintiff later remembered that this was a trading account that he ("John") had opened for his granddaughter ("Danielle"), and cited this as an example of the plaintiff's apparently good memory. The plaintiff suggested to the defendant that he told the defendant he had found out the information about this trading account, from Pacific International Securities, and the defendant agreed that the plaintiff had told him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further questioning, the defendant said that he did not understand Dr. Matrick to be saying, in his report of November 2, 1998, that the plaintiff had any significant present problem with his memory. The defendant denied the suggestion that the plaintiff had told him he couldn't explain stock transactions and that it would take an expert to do so. He said that the plaintiff only told him that he thought the judge did not understand some of the things that he was telling her, but that he (the defendant) believed that the plaintiff had explained the transactions very well. As an example, the defendant cited the plaintiff's explanation of how he had arranged stock options for Mr. DeFelice. The defendant also said, in effect, that the plaintiff demonstrated expertise in explaining the difference between stock and options to purchase stock. The defendant flatly denied the suggestion that the plaintiff had told him that he (the plaintiff) could not explain stock transactions and other financial matters, and denied that the plaintiff had told him he wanted to have a stock expert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suggested to the defendant that if the defendant had presented medical evidence at the trial, it would have offset the evidence of the plaintiff's conduct towards his wife and would have helped the plaintiff on the issue of credibility. The defendant disagreed with that suggestion, and stated his opinion that the psychiatric evidence would not have changed the trial judge's finding that the plaintiff was untruthful.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answer to a question from the court, the defendant said that he did not discover that the plaintiff had apparently made a suicide attempt until after the end of the family law trial, although the incident was recorded in Dr. Matrick's clinical note of November 3, 1998.</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DOROTHY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Dorothy Smith testified as a defence witness on this issue. She worked for the defendant as a legal assistant in the period from 1997 to March 31, 1999, and so she had met with the plaintiff and spoke to him on the telephone on many occasions. She was injured in a car accident in August 1998, was off work until October 1998, and thereafter worked only two to three days in every second week. Ms. Smith said that she spent a lot of time working on the plaintiff's file, and on some occasions discussed the case with the plaintiff, who wanted to be kept up to date on all developments. She described the plaintiff as being involved in the management of his file. Ms. Smith testified that she saw no evidence of any medical problem or memory problem during her communications with the plaintiff, nor did she detect any change in the plaintiff's demeanour over the period of time that she dealt with him.</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MARK LECOVIN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Mark Lecovin was called as a witness for the defendant, who is his father. He said that he was called to the bar in 1997, and after completing articles, he commenced working with his father's law firm. He said he assisted the defendant in the preparation for the plaintiff's family law trial, and assisted him as junior counsel at that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Mark Lecovin said he saw no indication of any medical problem or memory problem in the plaintiff, and described him as being very active in the management of the case and sometimes demanding. He said that the plaintiff insisted on vetting letters before they were sent out. He described the plaintiff's considerable involvement in the post-trial memoranda submitted to the trial judge at her request, in the spring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There was no significant cross-examination of Dorothy Smith or Mark Lecovin, on the issue of the plaintiff's mental 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the whole of the evidence, I am not persuaded that the plaintiff was exhibiting symptoms of memory or cognitive impairment during the period from April 1997 to May 2000, during his communications with the defendant, Mark Lecovin or the defendant's office staff. Consequently, I am not satisfied that the defendant ought to have known, from the plaintiff's appearance and behaviour, that the plaintiff was suffering from any significant memory or other cognitive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more difficult question is whether the plaintiff himself was knowingly experiencing any significant memory or cognitive problems during the course of the family law litigation. If he was, then the issue arises as to whether the defendant could have, and should have discovered such problems, by investigating the plaintiff's psychological condition further, before or during the trial. It must be kept in mind that the defendant obtained Dr. Matrick's report in early November, 1998, and that the plaintiff continued his treatment with Dr. Matrick until February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testified that he was having psychological problems, that he knew he needed professional help, but that he did not tell the defendant, or anyone else except his psychiatrist, about these problems. I find from Dr. Matrick's evidence that the plaintiff was suffering from serious psychological problems from the time he separated from his wife in late January 1997, until the spring of 1997. His condition then improved, but in the fall of 1998 he was again referred to Dr. Matrick by his family physician. His condition was not as serious as it had been in 1997, but the psychological problems were still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Although I accept Dr. Miles' opinion that, when he examined the plaintiff in February 2001, the plaintiff was exhibiting psychological symptoms that were probably caused by some degree of brain damage, I am not persuaded that the brain damage was caused by carbon monoxide poisoning. I find it was probably caused by long term alcohol abuse. But I am not convinced that the plaintiff was knowingly experiencing significant psychological memory and cognitive problems during the course of the family law litigation. I am unable to accept the plaintiff's explanation for the previous inconsistent statements made to Dr. Kendrick, about when he first became concerned about his memory. I say this notwithstanding Dr. Miles' testimony that the plaintiff had told him that he had been having memory problems for five to eight years, and that in his opinion it was possible that the plaintiff's memory was so bad that he could not give an accurate account of when he made his attempts at suicide, or even as to when he first began having problems remembering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also find that the plaintiff did describe the incident concerning himself, Dr. English, and his wife, in the way Dr. Matrick testified. That previous statement contradicted the plaintiff's trial testimony, and since he did not clearly admit making this statement, it remains unexplained.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my view, the plaintiff's conduct in terminating his treatment by Dr. Matrick in February 1999 is a more reliable indicator of his state of mind. On examination for discovery, the plaintiff admitted that he could not recall why he stopped seeing Dr. Matrick. At this trial, the plaintiff attempted to give an explanation for terminating his relationship with Dr. Matrick, which I do not accept. I infer that the plaintiff believed, by February 1999, that he had improved to the point where he felt that no further psychiatric treatment or medication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addition, the plaintiff's trial testimony to the effect that he was not capable of writing letters to effectively instruct the defendant and that sometimes he could hardly speak a sentence, is totally contradicted by the voluminous and detailed written instructions that he gave to the defendant throughout the family law litigation. The plaintiff continued to give lengthy, detailed instructions to Mr. Turriff, in his written response to the affidavit filed in support of his wife's application for special costs, in early 2001 (despite the fact that he was, by then, experiencing some mental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 AS TO THE FIRST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To summarize at this point, I conclude that the plaintiff has failed to prove that the defendant was negligent in failing to detect from his own observations of the plaintiff, that the plaintiff had psychological problems. I also find that the plaintiff has failed to prove that he was knowingly experiencing significant memory or other cognitive difficulties during the family law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But this leaves open the question of whether the defendant still ought to have presented medical evidence of the plaintiff's psychological condition at the family law trial. In final argument, the plaintiff submitted that the defendant should have investigated his mental condition further, after receiving Dr. Matrick's report. I think this point was well taken, and that the defendant should have made a detailed inquiry by interviewing the plaintiff. But I am not persuaded that such inquiry would have led the defendant to conduct further medical investigation. I say that because the plaintiff testified that he always tried to portray himself as being competent and in control of his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However, after receiving Dr. Matrick's opinion that the plaintiff might suffer a recurrence of major depression in the future, I think the defendant should have advised the plaintiff that Dr. Matrick's evidence could support an argument that the plaintiff's ability to work in the future was impaired to some extent. In my view, such evidence would be relevant to the issues of reapportionment and spousal support. That would have given the plaintiff the choice as to whether he wished to utilize that evidence in defence of those claims. It appears that this possible use of the medical evidence did not occur to the defendant, but (from the vantage point of hindsight) I think he ought to have considered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plaintiff's defence to the claim for spousal support was based partly on his allegation that the economy and stock market conditions were such that there was little work available to him, and that future prospects for earning a better income were bleak. The plaintiff relied on the unavailability of work, rather than on any incapacity to work. He sought to convey the idea that he was a capable man who was down on his luck. So it may be that if the defendant advised him that the medical evidence could show a diminished capacity for employment, the plaintiff would have instructed him not to advance that position. However, the plaintiff was not given the opportunity to consider that potential use of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portrayed himself to the defendant as being a competent businessman and promoter who was working hard to develop new prospects for earning income. It seems to me that he did not want the defendant, or anyone else, to think of him as having existing or potential mental health problems. That being so, I am not satisfied that, had the plaintiff been so advised, he would have instructed the defendant to defend the claim for spousal support or the claim for reapportionment on the basis of impaired mental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case I am wrong, I will take the analysis one step further. For this purpose, I will assume that the defendant ought to have given the advice mentioned, and that the plaintiff would have instructed him to advance the defence of impaired mental capacity to his wife's claims for reapportionment and spousal support. The question then becomes whether the evidence of Dr. Matrick (updated to February, 1999, of course) would have caused the trial judge to decide one or both of these claims differently, and in favour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do not think that the medical evidence would have affected the trial judge's decision to reapportion the family assets 60-40 in favour of the plaintiff's wife. The trial judge found that she suffered from psychological difficulties which affected her ability to earn income, and (regardless of the cause of her condition) it was apparent that the plaintiff's income-earning capacity was greater than his wife's, when he was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But in my view, the trial judge may well have decided the spousal support issue differently, had the available medical evidence been presented. In her reasons for judgment on May 16, 2001, L. Smith J. accepted the medical evidence of the plaintiff's mental condition as being a partial excuse for what she found to be non-disclosure by the plaintiff. She also concluded that this evidence provided a reason for ordering increased costs, rather than special costs. And in her reasons of December 21, 2001, on the basis of the additional evidence of Dr. Miles, the trial judge suspended the order for payment of spousal support and for payment of the arrears that had accumulated.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final question in this alternative analysis is whether the plaintiff has proved that he suffered a loss as a result of the decision actually made by the trial judge, i.e., that he must pay his wife spousal support in the amount of $400 per month commencing August 1, 2000. The plaintiff must fail on this issue, because, by reason of the settlement reached in April 2002, the plaintiff's wife abandoned her judgment for increased costs, and paid the plaintiff $10,000 for spousal support. The plaintiff therefore gained far more than he lost by way of the spousal support payments that he did make to his wife under the judgment, which he claimed were about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ALLEGED CONSEQUENCES OF THE FAILURE TO CALL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do not agree with the plaintiff's submission that Dr. Matrick's evidence may have avoided the trial judge's finding (at para. 13) that the plaintiff's conduct was a partial cause of his wife's personality weakness. Dr. Matrick had never examined Mrs. Van Duzen, and I doubt that his opinions would be given as much weight as those of her psychologist, Clair Hawes.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reject the plaintiff's contention that, if the medical evidence had been called at trial, the trial judge would not have made an adverse finding against his credibility as a witness. The trial judge set out the reasons for her adverse decision as to the plaintiff's credibility, in paras. 21 to 26, 60 - 61 and 114 - 115 of her reasons for judgment. In para. 21, the trial judge noted that the plaintiff had admittedly made knowingly false statements in financial statements to banks. Those false statements included the statement made to the Hong Kong Bank of Canada on February 16, 1998, that the plaintiff's gross monthly income was $5,000 US. However, in his property and financial statement of May 7, 1999, the plaintiff declared that his monthly income was $2,250 Canadian. The trial judge noted also that the plaintiff admitted that he knowingly exaggerated the values of his assets, in financial statements to the banks.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paragraph 22, the trial judge referred to the plaintiff changing his testimony during the trial, and in para. 23 she noted, among other things, that "His evidence revealed memory lapses ....". In para. 25, L. Smith J. referred to the plaintiff's initial denial of knowing anything about his trading account which was called "J for D", and his several different and unbelievable explanations relating to that account, and to his "... lack of memory and absence of documentation about various significant financial events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argued that, had Dr. Matrick's evidence been presented at the trial, it would have provided an innocent explanation for his lapses of memory, previous inconsistent statements, and changes during his trial testimony (i.e., an explanation other than dishonesty). I do not accept this argument concerning memory lapses, because Dr. Matrick's evidence was to the effect that the plaintiff had no significant problem with his memory when he had last seen him in February 1999. Moreover, the plaintiff did not attempt to explain his previous contradictory statements on the basis that he had forgotten making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para. 26 of her reasons, the trial judge referred to the contradiction between the plaintiff's trial testimony asserting that he had no interest in Exodus Offshore Inc., and the insider trading reports filed by Solucorp Industries Ltd., and signed by the plaintiff, which stated that the plaintiff was the owner of Exodus. She also notes the plaintiff's alleged lack of knowledge that Exodus had guaranteed several of his securities trading accounts. The trial judge rejected the plaintiff's evidence on these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trial judge found that the plaintiff had failed to produce documents to support his denial that he owned shares in Milagro Minerals Inc., and that his "evidence about the matter was evasive and inconsistent." She rejected the plaintiff's evidence on this issue (see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trial judge concluded (at para. 115) that the plaintiff "has not been accurate in his evidence about his income and has not disclosed as fully as he should what his financial situation is." In doing so, she referred again to the Insider Trading Reports signed by the plaintiff which declared him to be the owner of Exodus (which contradicted the plaintiff's denial).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infer from pars. 112, 114 and 115 that the trial judge rejected the plaintiff's evidence that his income was only $2,000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this trial, the plaintiff argued that his testimony relating to those matters would not have been rejected if the trial judge had not already determined the issue of credibility against him, on the basis of weaknesses that would have been explained by the medical evidence. I do not accept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had admitted to knowingly making several false statements to financial institutions. He made a number of pre-trial statements that contradicted his trial testimony (notably, his statements as to ownership of Exodus and as to entitlement to Milagro shares). He gave explanations for those contradictory statements that the trial judge rejected for various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 trial judge has considerable discretion as to how much weight he or she will attach to any particular defect that is found to exist in a witness's testimony. I have read the trial transcript of the plaintiff's testimony, and in my opinion, there are ample grounds to support the trial judge's findings on credibility, and those grounds could not reasonably have been affected by the psychiatric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should also say that I did not detect in the trial transcript, any instance where the plaintiff said he could not remember something, that could reasonably be attributed to any mental impairment. I consider that his powers of recollection appeared to be quite good, having regard to the fantastic number of transactions and events that he was questioned about. Nor did I detect any apparent confusion or deficiency in his cognitive powers, or in his ability to explain the details of any transaction, at the family law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CREDIBILITY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wish to make it clear that I do not make any finding of dishonesty on the part of Mr. Van Duzen. My conclusion is that he is honestly mistaken in his belief that his present impairment existed throughout the family law litigation. I am unable to say whether this error was caused by the plaintiff's failing powers of memory, or by an unconscious need to identify some reason for the unhappy trial result other than his own inherent shortcomings as a witness, or by a combination of these or other factors. I can say, however, that despite his presently-existing problems, the plaintiff conducted his case at this trial in a courteous and reasonably competent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DEFENDANT NEGLIGENT IN FAILING TO CALL WITNESSES TO CONFIRM THE PLAINTIFF'S TESTIMONY ABOUT ALLEGED FAMILY DEBTS?</w:t>
      </w:r>
      <w:r>
        <w:rPr>
          <w:rFonts w:ascii="arial" w:eastAsia="arial" w:hAnsi="arial" w:cs="arial"/>
          <w:sz w:val="20"/>
          <w:lang w:val="en-US" w:eastAsia="en-US" w:bidi="ar-SA"/>
        </w:rPr>
        <w:cr/>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At the family law trial, the plaintiff alleged that he had debts totalling about $250,000, which he contended were family debts. The trial judge found that only $79,000 of these alleged debts qualified as family debts. In this trial, the plaintiff complains that the defendant ought to have called witnesses to support his trial testimony in which he asserted the following three debts: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loan of $75,000 from John Toffan on September 5, 1991;</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loan of $30,000 from Robert Vance on November 17, 1995;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loan of $32,055 from Joseph DeFelice on April 30,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 alleges that the defendant's failure to call these three creditors as witnesses caused the trial judge to reject their respective loans as being family debts.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position of the defendant is that the plaintiff instructed him not to call any of these three persons as witnesses. It is further argued that calling these witnesses would not have affected the trial judge's decision.</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Under cross-examination, the plaintiff admitted that he could not recall whether he had instructed the defendant not to call Mr. Toffan and Mr. DeFelice. The defendant testified that the plaintiff did tell him not to call Mr. Toffan and Mr. DeFelice, and said he believed that the plaintiff gave a similar instruction with respect to Mr. Vance. Mark Lecovin testified that, at some point during the trial, an issue arose as to whether a witness should be called, which may have related to a debt of the plaintiff, but he was unable to say which debt was involved, and which witness was being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his rebuttal testimony, the plaintiff said that he had paid off some of the debt to Mr. Vance, by causing Solucorp Industries Ltd. to issue options to Mr. Vance for 5,000 shares which may have been worth up to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sought to present evidence from Mr. Toffan and Mr. Vance in this trial, by way of affidavits which each of them swore in California, on February 21, 2004. The affidavit of Mr. Toffan simply confirms that he loaned $75,000 to the plaintiff in September 1991, that the loan has never been repaid, and that he does expect repayment. The affidavit of Mr. Vance states only that he "... loaned John Van Duzen money to aid him to continue his ventures", but does not say when he made the loan to the plaintiff nor does he state the amount of the loan directly. He states: "I still expect and still request that this debt be repaid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defendant objected to the admissibility of these affidavits, on the ground that they were not produced until the eve of trial, contrary to the conditions set in pre-trial orders by judges in chambers. In my opinion, these affidavits should not be admitted as evidence in this trial. However, I should add that, had they been admitted, they would not affect my decision on the issue of family debts.</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OF FACT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Having regard to the plaintiff's uncertainty, I accept the defendant's evidence that the plaintiff told him not to call Toffan or DeFelice as witnesses at the trial. Accordingly, it was not open to the defendant to call them. In addition, the trial judge found (at para. 81) that the loan to Mr. DeFelice was repaid by the plaintiff by way of 10,000 shares of Morgain Minerals Inc., and I cannot see how calling Mr. DeFelice as a witness would have assisted the plaintiff's case. I note also that the plaintiff testified in the family law trial that he had not repaid any of the $30,000 debt to Mr. Vance, whereas he testified here that he has repaid a significant portion of it (and Mr. Vance's affidavit does not state either the amount of the loan, or the balance allegedly still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It is apparent (from para. 79 of her reasons) that the trial judge found that the plaintiff's unconfirmed evidence was insufficient to prove the existence of the alleged debt to Mr. Vance. It is possible that, if Mr. Vance had been called, the trial judge would have found that the debt existed. But it is far from certain that, if the existence of the debt was proved, the trial judge would have accepted the plaintiff's evidence that the loan money was used for a family purpose. I think the defendant's decision not to call Mr. Vance was an exercise of judgment that was within his discretion as counsel. Even assuming he erred (and I am not persuaded he did), such error was not such a marked departure that it would constitute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There is a body of case law which establishes that, as a general rule, the six-year limitation period begins to run on the date that a "demand" promissory note was made. See Ponti v. Marathon Motors Ltd. </w:t>
      </w:r>
      <w:hyperlink r:id="rId859" w:history="1">
        <w:r>
          <w:rPr>
            <w:rFonts w:ascii="arial" w:eastAsia="arial" w:hAnsi="arial" w:cs="arial"/>
            <w:i/>
            <w:color w:val="0077CC"/>
            <w:sz w:val="20"/>
            <w:u w:val="single"/>
            <w:shd w:val="clear" w:color="auto" w:fill="FFFFFF"/>
            <w:lang w:val="en-US" w:eastAsia="en-US" w:bidi="ar-SA"/>
          </w:rPr>
          <w:t>(1978) 9 B.C.L.R. 46</w:t>
        </w:r>
      </w:hyperlink>
      <w:r>
        <w:rPr>
          <w:rFonts w:ascii="arial" w:eastAsia="arial" w:hAnsi="arial" w:cs="arial"/>
          <w:color w:val="000000"/>
          <w:sz w:val="20"/>
          <w:lang w:val="en-US" w:eastAsia="en-US" w:bidi="ar-SA"/>
        </w:rPr>
        <w:t xml:space="preserve"> (Gansner C.C.J.); Bilkey v. Whitmore Estate, </w:t>
      </w:r>
      <w:hyperlink r:id="rId860" w:history="1">
        <w:r>
          <w:rPr>
            <w:rFonts w:ascii="arial" w:eastAsia="arial" w:hAnsi="arial" w:cs="arial"/>
            <w:i/>
            <w:color w:val="0077CC"/>
            <w:sz w:val="20"/>
            <w:u w:val="single"/>
            <w:shd w:val="clear" w:color="auto" w:fill="FFFFFF"/>
            <w:lang w:val="en-US" w:eastAsia="en-US" w:bidi="ar-SA"/>
          </w:rPr>
          <w:t>[2004] B.C.J. No. 214</w:t>
        </w:r>
      </w:hyperlink>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2004 BCSC 167</w:t>
        </w:r>
      </w:hyperlink>
      <w:r>
        <w:rPr>
          <w:rFonts w:ascii="arial" w:eastAsia="arial" w:hAnsi="arial" w:cs="arial"/>
          <w:color w:val="000000"/>
          <w:sz w:val="20"/>
          <w:lang w:val="en-US" w:eastAsia="en-US" w:bidi="ar-SA"/>
        </w:rPr>
        <w:t xml:space="preserve"> (E.R.A. Edwards J.) at paras. 21 and 51. It appears that the limitation period has expired in relation to the three debts in question. I find it unnecessary to rely on this rule of law, in rejecting this aspect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DEFENDANT NEGLIGENT IN FAILING TO CALL A WITNESS TO PROVE THAT THE PLAINTIFF WAS NOT THE OWNER OF EXODUS OFFSHORE INC.?</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testified here that the defendant could have and should have called Jack Iles and Bernadette Anderton or some other person from Solucorp Industries Ltd., as witnesses at the trial. The plaintiff alleges they could have confirmed his testimony at the family law trial, that he was a mere agent, and not an owner of Exodus Offshore Inc., and that the Solucorp Insider Trading Reports were incorrect in describing him as the owner of Exodus. He said that he asked the defendant to call Jack Iles, who was an independent accountant working in Vancouver, who did accounting work for Exodus and who he said knew the facts about the plaintiff's employment status. In cross-examination, the plaintiff conceded that Jack Iles may have been out of town during the first week of trial in May 1999, but said that he was available on the continuation dates of the trial. The plaintiff would not admit that he accepted the defendant's advice that Mr. Iles would not make a good witness and should not be called. The plaintiff stated that Jack Iles died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further cross-examination, the plaintiff acknowledged that, during a break in the trial after the insider trading reports had been put to him by his wife's lawyer, the defendant advised him they should call Bernadette Anderton to support the plaintiff's testimony that the reports were wrong in declaring that the plaintiff was the owner of Exodus. The plaintiff did not deny that he went and spoke to Ms. Anderton, and then returned and told the defendant that she could not help them on this point. But he says he also told the defendant that it was a different secretary who prepared the insider trading reports (i.e., not Ms. Anderton), and that he could not locate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 testified that, before the family law trial, he and the plaintiff had a luncheon meeting with Jack Iles, that after the meeting he advised the plaintiff that Mr. Iles would not be of assistance to his case at the trial, and that the plaintiff did not object and appeared to accept his advice. The defendant confirmed that, during the trial, he sent the plaintiff in search of Bernadette Anderton, and that the plaintiff came back and told him that Ms. Anderton would not be of assistance to the case. In cross-examination, the plaintiff suggested to the defendant that he had told the defendant the forms were not prepared by Bernadette Anderton, but by a temporary worker named Lisa, whom he could not locate. The defendant agreed that the plaintiff had told him something similar 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There was no true conflict in the evidence given by the parties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 did not call any witness at this trial who was an officer or director of Exodus or Solucorp. He did call Sean Iles, the son of Jack Iles, as a witness. Sean Iles said that he had been called to the bar of British Columbia in 1992, but that he was not currently practicing as a lawyer. He said he had limited involvement with Exodus and that he prepared a contract of employment between Exodus and the plaintiff, on instructions from his father. He said that Mr. Bandfield, who lives in Oregon, signed the contract on behalf of Exodus. Mr. Iles testified that he believed that Exodus was owned by a bank and a trust company, and that he had not seen or heard any evidence to the effect that the plaintiff was an owner of Exodus. He said he did not know the name of the beneficial owner of Exodus.</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OF FACT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Although there is room for disagreement, I do not think that the defendant can be faulted for not calling Jack Iles as a witness, after the ownership issue arose. In the letter dated April 28, 1998, that he wrote to confirm the plaintiff's employment with Exodus, Mr. Iles stated, among other things,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these terms were negotiated on behalf of the company by its director and secretary Messrs. Robinson and Bandfield".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Iles' letter implies that the plaintiff had negotiated his employment contract with the director and secretary of Exodus, whereas the plaintiff testified at the family law trial that he did not know any officer or director of Exodus. Although the defendant did not explain in any detail as to why he decided that Jack Iles should not be called as a witness, I think this letter would be a sufficient basis on which to exercise his judgment in that regard. It is also unclear to me whether Mr. Iles could have given any direct evidence on the ownership issue, since he was not an officer or director of Exodus.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to the failure to call Bernadette Anderton or someone else from Solucorp, to explain the alleged error in the Insider trading reports, I find that the defendant cannot be faulted for this. The plaintiff had testified at the family law trial that he had pre-signed the report forms when they were blank, and that Bernadette Anderton had erroneously filled them in. He had also testified that he had later learned of these mistakes in the reports, and had told Ms. Anderton about the mistakes she had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After the plaintiff had given that evidence, the defendant quite properly sent him to get Ms. Anderton lined up to testify. When the plaintiff returned and told him that Ms. Anderton said she did not prepare the Insider Trading Reports, and that someone else whom he could not locate had filled them in, I do not know what the defendant could have done to rectify the situation. The plaintiff had committed himself to an explanation which could not be confirmed by another available witness, and which would apparently have been contradicted by Ms. Anderton, had she been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trial judge rejected the plaintiff's denial of ownership in Exodus, and his explanation for the contradictory statements in the Insider Trading Reports. That may have been a significant factor in her adverse credibility finding against the plaintiff. But in my view, the defendant cannot be faulted for the trial judge's findings on any of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DEFENDANT NEGLIGENT IN FAILING TO CALL AN ACCOUNTANT AND A STOCK MARKET EXPERT AS WITNESSES AT THE TRIAL?</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 testified that he was unable to adequately explain to the trial judge what stock options were, or how the stock market decline affected the value of his shareholdings, or why the windfall profit made in the late 1980s was not reported on his personal income tax return. The plaintiff said that he asked the defendant to call a stock expert, and even pleaded with him, to call a forensic accountant to properly explain these matters. He said the defendant refused his requests, and got angry with the plaintiff when he sought information and advice from Mr. Mahon, a tax lawyer, and Mr. Bailey, an accountant and friend of the plaintiff. The plaintiff acknowledged that he had apparently never mentioned his wish to call a forensic accountant in any of his numerous writings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(who understandably mixed arguments with his evidence) says that, if the defendant had called a witness who was an expert in securities and stock market matters, the trial judge would not have attributed any value to his Milagro shares, whereas she found they were worth $50,000. He says also that the trial judge, if such evidence had been presented, would not have given such a high value to the amount of his apparent withdrawals from his trading accounts, and would have given proper effect to the stock market decline. And he says that the failure to call an accountant to explain why the windfall profit was not reported in his tax return, caused further damage to his credibility in the eyes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 firmly denied that the plaintiff asked him to call such expert witnesses. He said that no expert witness issue arose until after counsel for the plaintiff's wife called two witnesses knowledgeable about the plaintiff's securities accounts (on August 18, 1999), and filed the affidavit of an accountant, Mr. Haley, on September 2, 1999. The defendant conceded that he may have been displeased when the plaintiff told him he had gone to Mr. Mahon for advice on tax law, but said that was because the plaintiff paid Mr. Mahon, but was not paying his outstanding account with the defendant. The defendant also testified that he utilized all useful information the plaintiff obtained from Mr. Mahon and Mr. Bailey, in preparing the additional affidavit evidence filed on December 9,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defendant maintained that the plaintiff never complained about his abilities to explain stock transactions, and appeared to have no difficulty in explaining these matters to the trial judge. He says that the plaintiff did express some concern that the trial judge was not always following him, but says that the reasons for judgment indicate that she did understand the necessary concepts, and what the plaintiff said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defendant said that, after receiving Mr. Haley's affidavit showing that the windfall profit had not been reported on the plaintiff's tax returns, he promptly contacted Dan Huber, the plaintiff's accountant, seeking his assistance. He said Mr. Huber was unable to give any helpful evidence. But he testified that he took advantage of the opportunity given by the trial judge, to prepare a substantial amount of affidavit evidence directed to this issue and the Milagro share issue, which included two affidavits of the plaintiff, and the affidavits of Ms. Cowdell, Mr. Savage, and Corey Kent. There was also a later opportunity to present further argument on the Milagro share issue, which the defendant utilized.</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am not persuaded that the plaintiff ever instructed the defendant to call a forensic accountant or a stock market expert. Nor am I satisfied that the defendant should have called such witnesses at the trial. I would go further and say that it has not been shown that, had the defendant called such witnesses, the trial judge would have made findings more favourable to the plaintiff on any of these issues.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REASONING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trial judge found that the value of the trading accounts was about $342,000 at the time of the separation in January 1997, but was only about $153,000 at the time of the triggering event on September 8, 1997. She accepted the defence evidence showing that the plaintiff had made withdrawals from these accounts of over $192,000 between the dates of separation and trial, and that about $96,700 of that amount had been withdrawn between the separation and the triggering event of September 8,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essence, the plaintiff did not dispute the amounts withdrawn, but he sought to persuade the trial judge that a considerable amount of the money, while it may have been withdrawn in his name, was not received by him. He testified that he often made trades for other persons (including Exodus) and paid them the proceeds of such sales of securities. He had also testified that much of the money he withdrew from one account was used to purchase shares in another account. The amounts actually received by the plaintiff thus depended on the plaintiff's testimony, and could not have been affected by any expert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trial judge did not clearly state whether she accepted or rejected the plaintiff's evidence on these two points, but I infer (from paras. 46 and 47 of her reasons) that she did not accept it. However, she decided that the plaintiff's wife should not be compensated for any part of the $96,700 that she found was withdrawn by the plaintiff between January and September, 1997 (see paras. 44, 48 and 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trial judge valued the plaintiff's trading accounts at about $153,000, as of September 8, 1997. He claimed that the value of his trading accounts was only $6,000 by the time of trial in May, 1999. Again, the plaintiff alleged that much of the money he withdrew was paid not to him, but to other persons for whom he had made trades. The plaintiff further alleged (both in the family law trial and in the present trial), that the value of his trading accounts was seriously diminished by a sharp decline in the stock market. The trial judge did not make any allowance for decrease in the value of the plaintiff's shares, by reason of a decline in the stock market between the triggering event and trial (see paras. 42 and 47). The defendant now concedes that the Vancouver Stock Exchange Index dropped from 1200 in January 1997 to 800 in September 1997, and fell to 400 by May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 did not present any evidence at this trial to show that he suffered substantial losses in his share values by reason of the stock market decline, and for which he was erroneously penalized by the trial judge. There was some evidence given at the family law trial about the declining stock market, and (from her comments during the trial) the trial judge appeared to accept that the market had dropped. Nevertheless, in the exercise of her discretion, she set the valuation date at September 8, 1997 (see para. 47 of her reasons). But it may be implicit that the trial judge did recognize a decrease in value due to a drop in the stock market, between the dates of the separation and the triggering event. She found the value of the share accounts had dropped from $342,000 in January 1997 to $153,000 by September 8, 1997, a decrease of $189,000. But the withdrawals in that time period accounted for only $96,700 of that decrease, which left about $92,300 unaccounted for. It may be that this part of the decrease in value was attributed to the stock market decline.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If it is assumed that the VSE index dropped from 800 to 400 between the triggering event and the trial (i.e., by 50%), I do not think it follows that any particular group of shares owned by the plaintiff must have lost 50% (or any significant percentage) in value. It has not been shown by the plaintiff that there was expert evidence available that the defendant could have obtained, and which would have changed the trial judge's decision as to the appropriate valuation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On the Milagro share issue, the plaintiff's position at the family law trial was that he may have owned 50,000 shares of Milagro Minerals Inc. at the time of separation, but thereafter only held options to purchase 150,000 shares, which options had no value. The plaintiff's wife contended that the plaintiff had owned almost 400,000 shares, and that the shares should be valued at more than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trial judge found that the plaintiff did own a large number of Milagro shares as of January 1997, and valued them at $49,985.90 (using the trial date as the valuation date). (See paras. 62 - 64)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arriving at her decision on the Milagro shares issue, the trial judge rejected the plaintiff's evidence. He admitted that he had written on an escrow release document, words that could bear the interpretation that he was entitled to receive a further 300,000 shares in six increments of 50,000 each. But the plaintiff denied that this was the true meaning of what he wrote, and offered explanations that were rejected by L. Smith J. She accepted the plaintiff's handwriting to reflect his share ownership. But she accepted the lower value as contended for by the defendant (in an alternative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reject the plaintiff's contention that the trial judge did not understand the concept of stock options and was unable to follow the explanations he gave. The trial judge's decision on the Milagro share issue rested on her adverse credibility finding against the plaintiff (see paras. 54-55, 60 and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 stubbornly insisted that the trial judge erred in failing to deduct (from the market value) the cost of exercising his stock options when fixing a value for the Milagro shares, and that he was wrongly penalized as a result. The problem with that argument is that the trial judge found that, at the time of separation, the plaintiff owned the shares, not merely options to purchase the shares. In my opinion, no expert opinion evidence as to share values and stock options would have changed her conclusions. Nor did the plaintiff call any witness or present any additional documentary evidence on this trial to show that he did not own any of the Milagro shares referred to in his notes on the escrow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 failed to present any evidence on this trial to show that there was additional evidence that the defendant could have presented in the family law trial, which would have properly explained why the "windfall profit" was not included in the plaintiff's income tax return. I have concluded that the defendant presented all the "explanatory" evidence that was reasonably available to him, in support of the plaintiff's case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DEFENDANT NEGLIGENT IN FAILING TO EFFECTIVELY CROSS-EXAMINE THE TWO STOCK MARKET WITNESSES CALLED BY THE PLAINTIFF'S WIFE, AND IN FAILING TO REQUIRE THE ATTENDANCE OF JOHN HALEY FOR CROSS-EXAMINATION ON HIS AFFIDAVIT?</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AT THE FAMILY LAW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At the family law trial on August 18, 1999, opposing counsel called Richard Thomas of Pacific International Securities and William Kurtow of Yorkton Securities. Mr. Thomas testified about trading accounts of the plaintiff, one of which was named "J. Van Duzen for Daniel Van Duzen", and "Van Duzen J for D?". He described some of the transactions that occurred in the plaintiff's trading accounts, between September 1997 and May 11, 1999, in which stock had been sold at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his testimony, Mr. Krutow identified trading accounts of the plaintiff, established that Exodus also had a trading account with Yorkton, and that Exodus guaranteed the plaintiff's trading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defendant cross-examined Mr. Thomas and Mr. Krutow, and elicited evidence that it is not unusual for persons who have several trading accounts, to transfer stock and money from one account to another, and to make trades on behalf of other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John Haley, a chartered accountant, swore an affidavit on September 2, 1999, which was filed by the plaintiff's wife before the trial continuation date of September 9, 1999. The main fact deposed to by Mr. Haley was that the plaintiff had not reported on his income tax returns any large windfall profit (which he had claimed to have made on the stock market in 1986 or 1988). Mr. Haley stated in effect that, if the plaintiff had made such a profit, the Income Tax Act required that it be reported as a capital gain. The defendant did not require Mr. Haley to attend for cross-examination on his affidavit.</w:t>
      </w:r>
      <w:r>
        <w:rPr>
          <w:rFonts w:ascii="arial" w:eastAsia="arial" w:hAnsi="arial" w:cs="arial"/>
          <w:sz w:val="20"/>
          <w:lang w:val="en-US" w:eastAsia="en-US" w:bidi="ar-SA"/>
        </w:rPr>
        <w:cr/>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When the plaintiff called him as a witness at this trial, Mr. Haley confirmed the facts stated in his affidavit, and repeated that the plaintiff had never reported any capital gains on his personal income tax returns for the years 1987 to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have already referred to the plaintiff's evidence (at both trials) that he made numerous trades for other persons (including Exodus) for which he received no benefit. The plaintiff also testified that the windfall profit (which he had described at various times as being somewhere between $500,000 and $1,000,000) may have been reported on his company's tax return because it was actually the company that made the profit. He also suggested that the capital gain may have been offset by large losses incurred by the company. The plaintiff acknowledged that he had a "second chance" to present further evidence on this issue in the family law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plaintiff did not present evidence at this trial which adequately explained how much of the windfall profit he received personally, what it was all spent on, and why none of it was reported on his income tax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 testified that he wanted the defendant to cross-examine Mr. Haley on his affidavit, but the defendant decided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his trial testimony, the defendant gave his opinion that in cross-examining Mr. Thomas and Mr. Krutow, he elicited facts that were consistent with the plaintiff's case. The defendant agreed that the plaintiff wanted him to cross-examine Mr. Haley on his affidavit, but said that, in his opinion, nothing could be achieved by cross-examining Mr. Haley. He expressed the view that the facts deposed to by Mr. Haley were "unassailable".</w:t>
      </w:r>
      <w:r>
        <w:rPr>
          <w:rFonts w:ascii="arial" w:eastAsia="arial" w:hAnsi="arial" w:cs="arial"/>
          <w:sz w:val="20"/>
          <w:lang w:val="en-US" w:eastAsia="en-US" w:bidi="ar-SA"/>
        </w:rPr>
        <w:cr/>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OF FACT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From my reading of the reasons for judgment (particularly paras. 44, 48 and 108), I infer that the trial judge rejected the plaintiff's evidence that a significant amount of the withdrawals he made from his trading accounts were paid to other persons. It also seems reasonable to infer (from para. 22) that the trial judge did not accept much of the plaintiff's evidence relating to the windfall profit. I am not persuaded that the defendant could reasonably have prevented either of those findings, by further cross-examination of the two "stock market" witnesses, or by cross-examining Mr. Haley.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On these points, I accept the defendant's opinion, and I find that his decisions to proceed as he did, were made within his discretion as counsel. I should add that I am not satisfied that he made any error in judgment relating to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would also note that, although the trial judge did not accept a large part of the plaintiff's evidence relating to the windfall profit, she did not accept his wife's theory that he had concealed some of those profits from her, and hidden this money offshore (see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ALLEGED EFFECT OF THE DEFENDANT'S OMISSIONS ON THE TRIAL RESULT AND THE PLAINTIFF'S POST-TRIAL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 also complained that the poor result achieved by the defendant at trial caused the plaintiff to incur significant expenses in retaining other counsel to bring the proceedings to a conclusion. The evidence, although incomplete, indicated that the plaintiff has incurred fees and disbursements post-trial, that may approach the amount charged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If the findings of the trial judge that were adverse to the plaintiff could be attributed to the defendant's negligent conduct of the trial, this complaint would have merit. But such is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do wish to comment on one aspect of the post-trial proceedings for which the plaintiff sought to blame the defendant. He first alleged that the defendant was at fault for the deficiencies in disclosure of financial documents and information referred to by the trial judge in her reasons for judgment on costs. He then alleged that this non-disclosure provided grounds for his wife's application for special costs, and forced him to hire new counsel to defend against the application. The plaintiff says that this was money well spent, because only increased costs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trial judge, based on an affidavit filed in support of Mrs. Van Duzen's application for special costs, found that the plaintiff had failed to give adequate disclosure. She attributed part of this to the plaintiff's psychological condition. However, the plaintiff's counsel did not seriously contest the allegations of non-disclosure in the supporting affidavit. Based on the evidence before me, I find that many of the allegations were misleading, and that the affidavit as a whole presented an unfair, one-sided picture of the proceedings and the communications between counsel, relating to disclosure issues. Plaintiff's counsel chose not to defend the application on that ground, and concentrated on the plaintiff's psychological condition as being an excuse, at least in part, for (in effect) the admitted non-disclosure.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trial judge of course did not have the advantage of the considerable additional evidence and argument presented on this trial. I mention this matter only as a context for stating my opinion that, even assuming there had been inadequate disclosure, it would have been the plaintiff, and not his counsel, who was at fault. For my part, I accept the defendant's opinion that reasonable disclosure was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ESSENTIAL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would summarize my conclusions on the plaintiff's claim, as follows:</w:t>
      </w:r>
      <w:r>
        <w:rPr>
          <w:rFonts w:ascii="arial" w:eastAsia="arial" w:hAnsi="arial" w:cs="arial"/>
          <w:sz w:val="20"/>
          <w:lang w:val="en-US" w:eastAsia="en-US" w:bidi="ar-SA"/>
        </w:rPr>
        <w:cr/>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conduct of the defendant that fell below the applicable standard of care was his failure to advise the plaintiff that the psychiatric evidence could be used in defending his wife's counterclaims for reapportionment of family assets and for spousal support, on the ground that his future ability to work was impaired.</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has not been proved that, had he been so advised, the plaintiff would have instructed the defendant to use the psychiatric evidence in defence of these counterclaims, on the ground of impairment of future capacity to work.</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had so instructed the defendant, and the psychiatric evidence had been called, the trial judge would probably not have ordered the plaintiff to pay spousal support, but her decision on reapportionment would not have been affected.</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sustain any loss as a result of the trial judge's order requiring him to pay spousal support.</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all other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find that the plaintiff has failed to prove that the defendant's conduct fell below the legal standard of care. I am not persuaded that a family law practitioner who was reasonably competent and who was exercising reasonable skill and care, would have done the things which the defendant did not do (and which the plaintiff says he ought to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plaintiff's claim is dismissed, with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COUNTERCLAIM</w:t>
      </w:r>
      <w:r>
        <w:rPr>
          <w:rFonts w:ascii="arial" w:eastAsia="arial" w:hAnsi="arial" w:cs="arial"/>
          <w:sz w:val="20"/>
          <w:lang w:val="en-US" w:eastAsia="en-US" w:bidi="ar-SA"/>
        </w:rPr>
        <w:cr/>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evidence proves that the defendant rendered accounts for fees ($76,844) and disbursements ($20,107.92) totalling $96,951.92, that the plaintiff has paid $45,714.80, and that the unpaid balance is $51,237.12. The defendant claims this amount, and interest at 5% (and not at the rate of 15% as per the retainer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plaintiff did not dispute that the defendant had done all of the work, and incurred all of the disbursements for which the defendant billed him. There was no suggestion that the defendant's hourly rate of $250 or his charge of $2,500 per court day, is unreasonable. Nor did the plaintiff contend that any of the hours worked or the disbursements incurred were unreasonable or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understood the plaintiff's defence to the counterclaim to be that the fees charged by the defendant were excessive, having regard to the lack of success achieved at trial. The plaintiff relied on the term of the retainer contract which, in addition to the time spent, includes "the degree of success achieved" as being a factor relevant to the amount charged for fees. The plaintiff described the result of the family law trial as being "a total financial disaster" for him. He appeared to take the position that he should not have to pay any of the outstanding balance of the defendant's account, or alternatively only a far lesser amount than is claimed, on the ground that the defendant's work was of little or no value to him.</w:t>
      </w:r>
      <w:r>
        <w:rPr>
          <w:rFonts w:ascii="arial" w:eastAsia="arial" w:hAnsi="arial" w:cs="arial"/>
          <w:sz w:val="20"/>
          <w:lang w:val="en-US" w:eastAsia="en-US" w:bidi="ar-SA"/>
        </w:rPr>
        <w:cr/>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defendant admitted in evidence that he had not made any reduction in his fees by reason of the results achieved at the trial. The only significant issue respecting the counterclaim is whether he should be required to do so.</w:t>
      </w:r>
      <w:r>
        <w:rPr>
          <w:rFonts w:ascii="arial" w:eastAsia="arial" w:hAnsi="arial" w:cs="arial"/>
          <w:sz w:val="20"/>
          <w:lang w:val="en-US" w:eastAsia="en-US" w:bidi="ar-SA"/>
        </w:rPr>
        <w:cr/>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There was one conflict between the plaintiff and the defendant in their trial testimony relating to the counterclaim. The defendant testified that the plaintiff told him he was happy with the defendant's work and that he promised to pay the defendant's account in accordance with the bills rendered. The defendant said that the plaintiff only objected to his request that he should consent to judgment to secure the balance of his account, on the ground that a judgment would prevent the plaintiff from getting a mortgage so that he could buy the former matrimonial home. The defendant said that this was a new development, in that the plaintiff had consistently taken the position that his brother from Florida would provide the purchase monies for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his evidence, the plaintiff denied that he had promised to pay the defendant's accounts in the amounts billed. He said that he wanted to wait and see what judgment was given by the trial judge, so that he could then assess the reasonableness of the fees charged by the defendant. The plaintiff so informed the defendant by letter dated May 31, 2000, but there is no evidence that the plaintiff asserted this position until after the defendant began insisting on payment of or security for his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evidence shows that the plaintiff was unable to meet the financial conditions set by the defendant before trial, and that the defendant reluctantly accepted a significant risk by proceeding with the trial. The trial was spread over many months, and judgment was not given for several months after the conclusion of the hearing. The defendant recognized that the plaintiff could not pay his bill until the division of family assets was ordered by the trial judge. When the defendant asked the plaintiff to consent to judgment in the amount of the outstanding fees and disbursements, the solicitor-client relationship between them eventually collapsed.</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On all of the evidence, I am not satisfied that the plaintiff ever agreed that he would pay all of the defendant's bills in the amounts rendered, in a way that precluded him from raising any objection to the fees charged. However, I am satisfied that the plaintiff did clearly state that he had no objections about the quality of any of the work performed by the defendant.</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CONSIDERATION OF ARGUMENTS AS TO THE TRIAL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defendant conceded that the result of the trial could not be characterized as a success for the plaintiff, but said that it could have been considerably worse than it was. It was further submitted that the trial judge made a mathematical error of more than $29,000, which should have been added to the plaintiff's share of the family assets. It was also maintained that the plaintiff reaped a chance windfall from the trial judge's conclusion (in para. 66) that his Solucorp options had no value. Counsel then argued on the basis of documentary evidence from governmental authorities and from the Internet, that Solucorp shares now have significant value (over $3 per share in U.S. funds), and that the plaintiff could now exercise his options and sell his shares at a profit of at least $140,000, which would more than off-set any loss the plaintiff incurred under the trial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foundation for this argument was the evidence in the family law trial which established that, as of December 1998, the plaintiff owned 25,800 Solucorp shares, and held options to purchase another 77,500 shares at $1.75 U.S. per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substance of the plaintiff's evidence on the latter point was that his Solucorp stock options had expired, and that even if he had any Solucorp shares it would be illegal for him to trade in these shares in Canada or the U.S., because he is a director and insider of Solucorp. The plaintiff was pressed in cross-examination on this issue. Although he made some concessions about the ability of certain classes of persons to buy or sell Solucorp shares, the plaintiff insisted that he could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am not convinced that the trial judge made the mathematical error which counsel asserts. Even assuming she did, I do not think it would significantly change the overall result of the trial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Although the evidence raises suspicions, I am far from being persuaded that the plaintiff has received a windfall benefit by way of Solucorp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Counsel for the defendant suggested in argument that the trial judge may have erred in finding that the plaintiff owned about 350,000 shares of Milagro Minerals, at the time of separation. This seems to imply that, absent the (alleged) error, no value would have been given to the Milagro shares, and that the financial result of the trial would have been less detrimental to the plaintiff. I am not satisfied that the trial judge made such an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Although I accept that it could have been worse, I think the plaintiff's description of the result of the trial as being "a total financial disaster" to him, is not far off the mark. I do not see much merit in defence counsel's argument that several of the trial judge's adverse credibility findings did not translate into financial loss to the plaintiff. It is true that the trial judge did not directly penalize the plaintiff for any part of the $96,700 that she found he had withdrawn from the trading accounts between the separation in January 1997 and the triggering event of September 8, 1997 (see paras. 44, 48 and 108 of her reasons). Nor did she find that the plaintiff's interest in Exodus was a family asset. But it seems clear that the trial judge's finding that Mrs. Van Duzen had a limited earning capacity which was not likely to improve, was an important factor in her decision to order re-apportionment. And the trial judge found (despite the plaintiff's denial) that part of Mrs. Van Duzen's incapacity was caused by the plaintiff's conduct towards her (see para. 13 of her reasons). Her decision on the Milagro share issue was another obvious result of her adverse credibility finding.</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However, it is my opinion that the aspects of the judgment that were detrimental to the plaintiff cannot in any way be attributed to the defendant. He is a competent, experienced and respected member of the family bar, and in my opinion, he discharged his duties as counsel at the family law trial, in keeping with those qualities. In my view, it can be fairly said that, for the most part, the plaintiff was the author of his own misfortune. His wife's mistrust, and her counsel who zealously sought to justify that mistrust, probably accounted for the remainder.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my opinion the plaintiff received full value of the fees charged by the defendant for the work that he did. I find it of relevance to note that counsel for the plaintiff's wife was intending to charge her about $168,000 for fees and disbursements, as of May 2001. It may be that he would have done some things differently, if given another opportunity, but that kind of hindsight is irrelevant to the legal issues. There is no reason to require the defendant to reduce his bill, on the ground that the result obtained at trial was unfavourable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counterclaim is allowed at $51,237.12. The defendant does not rely on the 15% interest set out in his retainer letter (which was not signed by the plaintiff in any event), but seeks only interest at 5%. While I consider that to be a reasonable gesture on his behalf, there is no evidence of any agreement between the parties that interest would be charged on overdue accounts at the rate of 5%. Accordingly, I order that the plaintiff will pay interest on the judgment pursuant to the Court Order Interest Act, at the prevailing rates set by the registrar, from September 30, 2000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defendant will have costs of the counterclaim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1"/>
          <w:headerReference w:type="default" r:id="rId862"/>
          <w:footerReference w:type="even" r:id="rId863"/>
          <w:footerReference w:type="default" r:id="rId864"/>
          <w:headerReference w:type="first" r:id="rId865"/>
          <w:footerReference w:type="first" r:id="rId8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7" w:history="1">
        <w:r>
          <w:rPr>
            <w:rFonts w:ascii="arial" w:eastAsia="arial" w:hAnsi="arial" w:cs="arial"/>
            <w:b/>
            <w:bCs/>
            <w:i/>
            <w:color w:val="0077CC"/>
            <w:kern w:val="32"/>
            <w:sz w:val="28"/>
            <w:szCs w:val="32"/>
            <w:u w:val="single"/>
            <w:shd w:val="clear" w:color="auto" w:fill="FFFFFF"/>
            <w:lang w:val="en-US" w:eastAsia="en-US" w:bidi="ar-SA"/>
          </w:rPr>
          <w:t>Zhang v. Kan, [2003] B.C.J. No. 164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Catliff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4 - 8, 12 - 14, 18 - 20, 22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25 - 27,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C992057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 C.C.L.T. (3d) 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119 A.C.W.S. (3d) 669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Liu-Ling Zhang, a.k.a. Lydia Zhang and Simon Fung, plaintiffs, and Dr. Ken Kan,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9"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3" w:name="Keywords_22"/>
      <w:bookmarkEnd w:id="193"/>
      <w:r>
        <w:rPr>
          <w:rFonts w:ascii="arial" w:eastAsia="arial" w:hAnsi="arial" w:cs="arial"/>
          <w:b/>
          <w:color w:val="000000"/>
          <w:sz w:val="20"/>
          <w:lang w:val="en-US" w:eastAsia="en-US" w:bidi="ar-SA"/>
        </w:rPr>
        <w:t xml:space="preserve">Damages — General damages — General damages for personal injury — Pain and suffering, loss of amenities and other nonpecuniary damages — Calculation and method of assessment, contingencies, deduction for — Calculation and method of assessment, life expectancy — Future care and treatment — 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Standard of care — Obstetrical or gynaecological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4" w:name="Case Summary_21"/>
            <w:bookmarkEnd w:id="19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Zhang and Fung against Dr. Kan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Zhang was 37 years old when she became pregnant in August 1996. She had researched the topic of amniocentesis while living in Hong Kong and was aware of the risks of bearing a Down's Syndrome child. The couple flew to Vancouver from Hong Kong in November 1996 where Zhang consulted with Kan about her pregnancy. During this meeting, Zhang told Kan that she wanted an amniocentesis. Kan told her it was too late to have the test. In April 1997 the plaintiffs' daughter Sherry was born. She was diagnosed with Down's syndrome. The parties divorced. Fung took on Sherry's care with his second wife in Los Angeles. The parties claimed damages to compensate for the consequences of Sherry's condition and to compensate Fung for all expenditures incurred by him in California with respect to her Down's syndrome. Kan submitted that there were substantial agency resources in California which would provide Sherry with all of the medically necessary services at no cost to her or her family for the remainder of her life.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5" w:name="Holdings of Court_18"/>
            <w:bookmarkEnd w:id="19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Kan's failure to take steps to arrange an amniocentesis for Zhang fell below the accepted standard of care. Kan could have arranged an amniocentesis on an expedited basis that would have disclosed the Down's syndrome and would have enabled Zhang to terminate the pregnancy. The plaintiffs were 50 per cent negligent. After their visit to Kan, the couple knew there might be a problem if there were no amniocentesis, but they made no efforts to take the test. Zhang was awarded $10,000 and Fung $5,000 for non-pecuniary losses. Fung was awarded $5,000 for the claim of past compensation, and $171,926 USD for future care costs. The Court considered the contingency that state benefits and services would not be available for Sherry and fixed the contingency at 30 percent of the present value of state services. Mr. Fung was awarded $21,845 USD under this heading.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6" w:name="Legislation Cited_11"/>
      <w:bookmarkEnd w:id="1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0"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California Civil Code, s. 3333.1(a).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Lanterman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United States Constitution.</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7" w:name="Counsel_34"/>
      <w:bookmarkEnd w:id="19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 Collette, for the plaintiffs. C. Hinkson, Q.C., and S.L. Ion,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8" w:name="Judgment_34"/>
      <w:bookmarkEnd w:id="198"/>
      <w:r>
        <w:pict>
          <v:line id="_x0000_s1172" style="position:absolute;z-index:2518333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9" w:name="CATLIFF J."/>
            <w:bookmarkEnd w:id="199"/>
            <w:r>
              <w:rPr>
                <w:rFonts w:ascii="arial" w:eastAsia="arial" w:hAnsi="arial" w:cs="arial"/>
                <w:b/>
                <w:color w:val="000000"/>
                <w:sz w:val="30"/>
                <w:lang w:val="en-US" w:eastAsia="en-US" w:bidi="ar-SA"/>
              </w:rPr>
              <w:t>CATLIFF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claim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centres around a conversation Ms Zhang had with her doctor when she was pregnant with her daughter, Sherry.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Sherry Fung was born on 29 May 1997. She is a healthy child, but has a genetic abnormality called Down's Syndrome. She will never exceed a mental age of between 8 and 11 years. Her parents, the plaintiffs, separated shortly after she was born. They are now divorced. Her father took on Sherry's care. He lives in Los Angeles with Sherry and his second wife, Monica Han. Also living with them is their own child, Gary, and Monica's daughter aged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claim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arises out of a conversation on 26 November 1996 when the plaintiff, Ms Zhang, then pregnant with Sherry, went to see the defendant in his office in Richmond, B.C. Ms Zhang claims that during her visit, Dr Kan gave her negligent advice about a procedure to test for genetic abnormalities, known as amniocentesis. As a result, she did not undergo the procedure and so did not have the opportunity to discover her child's abnormality and to terminate her pregnancy. The plaintiffs accordingly claim damages to compensate them for the consequences of Sherry's condition. The substantial claim is that of Mr Fung who anticipates having to make special provision for Sherry in California for the rest of her life. It is agreed by counsel that Mr Fung's cause of action arises independently of Ms Zhang's claim, or derivatively through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It is to be noted that Sherry herself is not a plaintiff, having no cause of action for "wrongful life", i.e., a claim that but for Dr Kan's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would not have been born. The law does not recognise such a claim: McKay v. Essex Area Health Authority (1982), 2 All E.R. 771. Nor does Sherry of course have any claim against Dr Kan because she has Down's Syndrome. She was burdened with this genetic defect from the moment of her conception.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Lydia Zhang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Zhang is now 42 years old. She was born on 23 January 1960 in Shanghai, China where she went to school and university. She obtained a bachelor's degree in Business Administration. She worked in Shanghai and Hong Kong, mostly in real estate. She appears to have been financially successful. In 1985 she married her first husband and was divorced four years later in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1992, while living in Hong Kong, Ms Zhang became pregnant, but decided to terminate her pregnancy. She consulted Dr Ling, an obstetrician in Hong Kong, who performed a "D and C" in September 1992. A second "D and C" was required to complete the termination procedure in March 1993. Ms Zhang continued to see Dr Ling for "gynealogical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1995 Ms Zhang applied for and obtained Canadian landed immigrant status in the investor class. She purchased an apartment that was to be constructed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Zhang first met Mr Fung in person in the summer of 1996 although they had had long telephone conversations before then. They started living together in July 1996. Ms Zhang was then 36 years old; Mr Fung was 42. They planned to marry and have a child. Ms Zhang became pregnant in August 1996. At this time Mr Fung was living in Los Angeles, frequently returning to Hong Kong and China on business. He had a green card which entitled him to live and work in the U.S.A. Ms Zhang was hoping to become a Canadian citizen. She was also a permanent resident of Hong Kong, but had no status other than as a visitor in the U.S.A. The couple planned to have their child in Canada, because of the superior medical care available, and then to decide whether to live in Canada or the U.S.A.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Zhang discussed her pregnancy with her Hong Kong doctor, Dr Ling. She learned that because of her age, she was at high risk of having a child with Down's Syndrome and that it was therefore advisable to undergo amniocentesis. She said she was trying to have a healthy baby and went to a laboratory and obtained pamphlets. She read some books and acquired a brochure, all of which provided information for pregnant women. The brochure detailed information about Down's Syndrome and advised that for women over 35, an amniocentesis should be conducted "at 16th to 18th weeks of gestation". The brochure also stated that for a woman over 35 the probability of giving birth to a child with Down's Syndrome was 1/270.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Zhang spoke to Dr Ling to arrange an amniocentesis. As she was experiencing vaginal bleeding, the procedure was postponed. After the bleeding stopped Ms Zhang said that Dr Ling advised her that the test result would have to be sent to London (England) and that it would take a month or even more for the results to come back to Hong Kong. Ms Zhang told Dr Ling that she wanted to have her baby born in Canada and that she wanted to come to Vancouver as soon as possible. Dr Ling therefore agreed with Ms Zhang that she should have the test done in Vancouver as soon as she arrived as there would still be time for it. Dr Ling gave Ms Zhang the name of a Dr Yue to call when she reached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Zhang and Mr Fung flew to Vancouver from Hong Kong on 25 November 1996 and that day tried, but failed, to contact Dr Yue. The couple were staying in Richmond at the home of Ms Chai, an employee or former employee of Mr Fung. Ms Chai recommended that Ms Zhang consult Dr Kan who was her son's doctor. Accordingly, the next day, 26 November, the plaintiffs went to Dr Kan's office. Whether Ms Chai went with them is not altogether clear. Ms Zhang went into Dr Kan's examining room, Mr Fung waited outside and never spoke to Dr Kan.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Zhang said the meeting was short. She told Dr Kan that she was pregnant and gave him the date of her last period. She said she wanted the amniocentesis test and any other necessary "examination". According to Ms Zhang, Dr. Kan told her that "it would be too late for an amniocentesis". When she told Dr Kan that as an older woman she was at high risk for having a baby with Down's Syndrome, Dr Kan said that the risk was not that high - less than 1 in 1000. When Ms Zhang asked if Dr Kan could hasten the procedure, Dr Kan explained that he would have to call up and arrange for the time and by then it would be too late. Dr Kan asked about the family history of herself and Mr Fung. When Ms Zhang said this was no problem, Dr Kan said that the possibility of having a baby with Down's Syndrome would be even less. It would be like picking a lottery ticket - not a good lottery ticket to 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Zhang left the office feeling "quite questionable" about what she had been told in view of what Dr Ling had said and the information in the brochure she had read. She spoke to Mr Fung and told him of her doubts about what Dr Kan had said. Mr Fung told her she should believe in the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Zhang said she had been told that she could have an abortion within 4 months of becoming pregnant and even later in China. If she had had amniocentesis and learned her foetus had Down's Syndrome she would have chosen to have an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Zhang saw Dr Kan, for the second time, on 28 November for a pre-natal examination and went for tests that afternoon. In Hong Kong Ms Zhang had planned to come to Vancouver to see a doctor, undergo amniocentesis and other necessary tests and then fly to Mr Fung's home in Los Angeles. When she learned Dr Kan thought it too late for amniocentesis she booked a flight for 29 November from Vancouver. Due to immigration difficulties the couple were unable to fly out until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Zhang stayed in the U.S. until she flew back to Vancouver early in January 1997 where she saw Dr Kan for the third and last time on 8 January 1997. She disliked his attitude, she said. He seemed to take no interest in her. She consulted another doctor in Vancouver, Dr Hou, who saw her from time to time during the rest of her pregnancy. During this time she also spent time in Los Angeles where she saw Dr Chan, a gynaecologist and obstetrician, on 28 January 1997. She also consulted a Dr Chang twice in San Diego in February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was married to Mr Fung in Los Angeles on 6 March 1997. The couple then returned to Vancouver and Sherry was born 29 April 1997 after a difficult labour. Soon afterwards Sherry was determined to have Down's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Zhang was devastated by the news. Her husband blamed her for "not finishing all the examinations". They quarrelled a lot. Mr Fung, she said, could not accept that his wife had given birth to a disabled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leaving the hospital, the plaintiffs continued living with Ms Chai until 28 May 1997 when they returned with Sherry to Los Angeles. The plaintiffs discussed putting Sherry up for adoption and came back to Vancouver in July to explore this possibility. They were told of two families willing to take Sherry, but eventually did not pursue the matter. Mr Fung's parents had come from China to help look after Sherry and they opposed the idea of adoption.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Zhang said that the birth of Sherry "totally disrupted our plans". She returned to Hong Kong at the beginning of August "because of an ID Card problem". She saw Sherry later when Ms Chai brought her to Hong Kong. Thereafter Sherry lived with Mr Fung's parents in Guangzhou, China for more than a year. Ms Zhang returned to Vancouver in March 1998 and has lived here and in Hong Kong since then. She is both a Canadian citizen and a permanent resident of Hong Kong. Ms Zhang is divorced from Mr Fung. She has seen her daughter occasionally since 1997 - about eight times in the last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Simon Fung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Simon Fung was born in Guangzhou on 15 January 1954. In 1980 he emigrated to Hong Kong and started his own garment business. After selling his business in 1995/6 he came to the U.S.A. and acted as a trade consultant for U.S.A. importers. This is his present business, although he is winding it down. He is a U.S. citizen.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Fung confirmed the evidence of his co-plaintiff. After meeting Ms Zhang they talked of marriage and of having a child. Ms Zhang's pregnancy was planned and she talked about having the amniocentesis procedure. She gave him a brochure to read about it. They thought about having the procedure done in Hong Kong, but decided to do it in Canada. Mr Fung said that if the procedure had revealed a problem, he would not have wanted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couple came to Vancouver on 25 November 1996 and Ms Zhang saw Dr Kan the next day. Mr Fung waited outside. Afterwards Ms Zhang told him that the doctor had said it was too late to do the amniocentesis. She told him the doctor said that if there was no family history the probabilities (of a Down's Syndrome baby) were 1 in 3000. Accordingly, Ms Zhang asked Mr Fung about his family history. He then telephoned his mother in Guangzhou and was told there were no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this time Mr Fung said Lydia was thinking of changing doctors as she felt uncomfortable with Dr Kan. He told her, however, that a doctor was a professional person, like a lawyer or accountant, and that whatever he said she should trust him. He did not agree with the thought of changing doctors. Later on, after she insisted, he said he let her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When Mr Fung found that his newborn child had Down's Syndrome it was "like a bomb had hit" him. Later they talked about giving Sherry to a good family, but this did not proceed. Mr Fung's mother told him that Sherry would not be too much trouble and that she was his flesh and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Fung said that he did not blame Lydia and accepted his child. But he and Lydia were always arguing and he told her that perhaps they should divorce. Later on Lydia said she blamed him and said he trusted doctors too much. She said if he had not trusted the doctor it would not have happened. According to Ms Zhang, he was as "stupid as a pig".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Sherry was sent to China to be looked after by his parents. Mr Fung was living in Los Angeles. He was looking for a nanny. He met Monica Han who had a daughter living in China. He made an agreement with her that if she married him, bore him a child and helped take care of Sherry, she could bring her own daughter to live with them. This is what has happened. Monica Han and Mr Fung have a young son, Gary, and they continue to live in Los Angeles with Sherry and Ms Han's daughter, now aged 16. Sherry goes back to China during the Summer to stay with her grandparents. Mr Fung said that the reason he asked Monica Han to bear him a child was so that the child could be groomed to take care of Sherry when the child grew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Doctor Kan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Kan was born in Macao in 1946. He emigrated to Canada in 1973 and attended Washington State University where he obtained a Masters and a Ph.D. in Physiology. He enrolled in medical school, interned in Regina and started a general family practice in Richmond in 1985. He has delivered 23 to 35 babies each year although he now no longer practises obstetrics.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Kan saw Ms Zhang first on 26 November 1996. He never met Mr Fung, nor, he believes, Ms Chai. He conversed with Ms Zhang in Cantonese without difficulty. He calculated that Ms Zhang was 16 weeks 5 days into her pregnancy. He noted 17 weeks in his clinical note as a round figure. Ms Zhang raised the question of an amniocentesis procedure saying she wanted to make sure the baby was perfect. They discussed the procedure and Dr Kan advised Ms Zhang of the risks, being abortion or damage to the foetus. He also discussed the risks of a 37 year old mother having a genetically abnormal foetus. He said he told Ms Zhang the risk was 1 in 300 although he now believes the risk is greater, close to 1 in 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Kan said Ms Zhang told him she was scheduled to fly to Los Angeles on Friday 29 November 1996. As Ms Zhang reported bleeding in her 16th week of pregnancy he advised her that she should not have the amniocentesis procedure done in week 16. She would have to wait until week 17. It was therefore too late to have the procedure during her visit. It was too risky.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Kan also said that he told Ms Zhang that if the amniocentesis revealed a problem she should seriously consider having an abortion. According to Dr Kan, Ms Zhang said simply that she would not consider getting a therapeutic abortion. This surprised Dr Kan who told Ms Zhang that she was taking a gamble. It would be like buying a lottery ticket. No matter what the odds were, there was a chance her number would come up. Dr Kan said he also told Ms Zhang that if she wanted amniocentesis she had to make herself available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was Dr Kan's view that amniocentesis was not an option if Ms Zhang would not consider having an abortion, although he knew there was time for an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Zhang returned on 28 November 1996 for a pre-natal examination when detailed information was taken from her and recorded. She was directed to a laboratory for routine tests and told to return in four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Kan saw Ms Zhang for the last time on 8 January 1997. In April 1999, more than two years later, he received a letter from the plaintiffs' solicitor asking for a copy of Ms Zhang's medical records. Before forwarding the records, Dr Kan telephoned his medical insurer and added a note to the record of the first visit in which he had written the words "Wants amniocentesis - too late. Discussed". The additional note is dated April 25/99 and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 of Chart: Long discussion re amniocentesis (for a person) of maternal age. Pt (patient) would not consider T/A (therapeutic abortion) @ the time. Pt (patient) prearranged trip to go out of the country within 1 week and refused to change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Kan explained that the additional note was made as a note to himself. He says he knew nothing of Ms Zhang's claim at the time he wrote it and did not know she had given birth to a Down's Syndrome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Amniocentesis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Wilson is an expert in maternal-foetal medicine. The following can be gleaned from his report. A doctor who wishes to refer a patient for amniocentesis will make a call to the pre-natal procedure booking clerk at BC Women's Hospital. Normally the procedure is booked to take place between 15 to 17 weeks of pregnancy. In the case of Ms Zhang, the amniocentesis could probably have been expedited to allow her a rest of 24 hours before her flight to Los Angeles on 29 November. In B.C. an abortion is available for chromosomal abnormalities up to 26 weeks and 6 days of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Counselling is given about the risks from the procedure. If the patient is being referred for pre-natal diagnosis only, counselling is given by the referring physician. The risk of miscarriage following amniocentesis is "usually quoted" as 1 in 100 or 1 in 200. Most procedures are completed prior to 20 weeks of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Amniocentesis involves the insertion of a spinal needle into the amniotic fluid with the assistance of continuous ultrasound. After post-procedural evaluation the patient is advised to decrease activity for 24 hours and discharged. In November 1996 results would have been available in 12 - 14 days. If a positive diagnosis of Down's Syndrome is made the patient would be referred to the Department of Medical Genetics for counselling. Options would be discussed including termination if the foetus is at a gestational age of less than 24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Zhang came to see Dr Kan for pre-natal care and because she wanted him to arrange an amniocentesis for her. Her first visit lasted about 20 minutes, perhaps less. A good part of it was taken up with a discussion of amniocentesis. The risk inherent in the procedure was discussed as well as the risk of a mature woman giving birth to a Down's Syndrome baby. The parties differ in their recollection of the details of the discussion. I remind myself that the discussion took place six years ago. It would be surprising if the parties now had a memory of what was actually said. The few notes made by Dr Kan at the time provide no detail of his conversation. Furthermore he would have no apparent cause to bring the conversation to mind until, at the earliest, more than two years later when he was asked for his clinical records. On the other hand, after giving birth to Sherry, Ms Zhang would more likely have cause to remember what Dr Kan had told her some six months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Kan gave several reasons at trial for not recommending or arranging an amniocentesis. He noted that it was "too late" for amniocentesis when he saw Ms Zhang on 26 November 1996. His explanation at trial was that Ms Zhang had reported vaginal bleeding in her 16th week of pregnancy and therefore amniocentesis was contraindicated for at least a week. As she would not postpone her plan to leave Vancouver on 29 November it was "too late" for the procedure. He said she would have had to have waited until week 17 (beginning on 29 November). It was too risky for her to have amniocentesis during her visit. This suggests that rather than "too late" for the procedure on 26 November, it was actually too 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was evidence however, that Dr Kan believed that amniocentesis in week 17 was already too late. His evidence at trial that the procedure was available during week 17 was contradicted by what he said at his examination for discovery when he said, several times, that the time limit for amniocentesis was 27 November, i.e. at the end of the 16th week of pregnancy. For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how many days did you think Ms Zhang would have been eligible for amniocentesis from the day you first saw her, November 26th, 1996?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will be up to - - - she will be up to November 27th.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At the time you saw her you thought that she would have to have had an amniocentesis by November 27th,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discovery Dr Kan appears to have thought that amniocentesis was available only during weeks 15 and 16 of pregnancy. According to the evidence at trial this is obviously wrong. Dr Kan's own printed Antenatal Record, which he completed for Ms Zhang, refers to week 18 as the limit for amniocentesis. Both Drs Feinstadt and Wilson say amniocentesis is recommended at 15 - 17 weeks for women of advanced maternal age, although the test can be performed after that. If Dr Kan told Ms Zhang that it was too late for her to have amniocentesis because she was then within one day of the time limit, as can be inferred from his discovery, this would have been below the required standard of care and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Disregarding the question of bleeding, if Dr Kan thought that there was only a day or so for Ms Zhang to have amniocentesis why did he not try to arrange it? His answer at discovery was confusing.</w:t>
      </w:r>
      <w:r>
        <w:rPr>
          <w:rFonts w:ascii="arial" w:eastAsia="arial" w:hAnsi="arial" w:cs="arial"/>
          <w:sz w:val="20"/>
          <w:lang w:val="en-US" w:eastAsia="en-US" w:bidi="ar-SA"/>
        </w:rPr>
        <w:cr/>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you then say to her then let me try and arrange it before you leave?</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why didn't you offer that to her?</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if she is going to leave and she would not be able - - we would not be able to do any - - because at that time I did - - she did not - - she say that she will be away for several weeks before she is coming back, so there would be any possible chance of getting amniocentesis done for her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This is no real answer to the question of why he did not try to arrange an expedited procedure. There is no hint that the question of recent bleeding had anything to do with his not trying to expedite the procedure. Instead Dr Kan seems to be returning to the theme that appears in his discovery, that because it would take two or three weeks to arrange an amniocentesis, it would be too late for Ms Zhang even if she stayed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Leaving aside her travel plans then, it was your opinion that you couldn't have - - she was too late to have amniocentesis in any event because it takes two to three weeks to arrange it;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Dr Feinstadt's opinion that amniocentesis was available in 1996 for women of advanced maternal age to at least 22 weeks gestational age. This points to a lack of appropriate care by Dr Kan if he thought Ms Zhang was disqualified from amniocentesis merely because it would have taken two or three weeks to obtain the appointment. At the very least one would have thought Dr Kan should have made enquiries about the possibility of an expedited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Both at his discovery and at trial Dr Kan offered another reason for not attempting to arrange amniocentesis. This was Ms Zhang's statement that she would not have a therapeutic abortion if amniocentesis revealed a problem with the foetus.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Zhang said she wanted a "perfect" baby. She had had a previous therapeutic abortion, partly, she said, because she feared the medication she had taken might have harmed her foetus. She had come from Hong Kong in order to have amniocentesis, knowing that termination could be a consequence of it. There is no reason to think that Ms Zhang would not have terminated her pregnancy if amniocentesis had revealed a problem. She said she would have done so and I believe her. I do not accept Dr Kan's evidence in this regard. I do not believe Ms Zhang made the statement he says she did. I can only conclude that Dr Kan added his comment to his clinical record about Ms Zhang's refusal to consider abortion in order to bolster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should also say that it stretches credulity to believe that Dr Kan added to his record as he did in April 1999, and contacted his medical insurer, without having heard a word about Ms Zhang giving birth to a Down's Syndrome child or making a claim against him. The notes Dr Kan added can only have reference to a defence of a claim that he had not tried to arrange amniocentesis for Ms Zhang. In spite of what he says, it is clear to me that he must somehow have heard of the circumstances of Sherry's birth, or her mother's claim, before he added his self-serving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Zhang complains that Dr Kan discouraged her from undergoing amniocentesis by telling her that the risk of having a Down's Syndrome child was less than it really was. At her discovery she said Dr Kan told her the risk was one in a few hundred. At trial she said at various times that she was told the risk was 1/1000, 1/2000 and 1/3000. The brochure she had read mentioned a risk of 1/270 for a woman over 35 years of age. Dr Kan said at the time he saw Ms Zhang he thought the risk was 1/300 although he now believed it was closer to 1/200. According to Dr Feinstadt the Down's Syndrome risk for a 37 year old woman is 1/220.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this connection Dr Kan agreed with Ms Zhang that he had mentioned a lottery, but only to reinforce his advice that by not having amniocentesis she was taking a gamble. It seems to me more likely, however, that a lottery was mentioned, as Ms Zhang said, as a comparison to the sort of chance there was of having a Down's Syndrome child. Ms Zhang felt Dr Kan was offering some comfort to her after telling her it was too late for amniocentesis. I certainly did not gain the impression that Dr Kan was encouraging her to have the procedure. If he had done so his interpretation of his lottery reference would make more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Notwithstanding my doubt about Dr Kan's interpretation of his lottery remark, I find he probably advised Ms Zhang that her odds of bearing a Down's Syndrome child were in the order of 1 in 300 as he said. This somewhat squares with what Ms Zhang said at her discovery. I discount the odds she mentioned at trial as implausible. Dr Kan had had, at that time, eleven years of family practice, delivering some 30 babies a year. There is no reason to conclude that he would not have stated the risk as he thought it to be. There was no evidence at trial that he had any desire to discourage patients generally from undergoing amniocentesis.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trial Dr Kan said that another reason for not trying to arrange an expedited amniocentesis was that recent vaginal bleeding meant it was unwise for Ms Zhang to have the test in the week she first saw him. She would have to wait for the test until the next week - week 17 - and this she was unwilling to do. At discovery, however, Dr Kan said that he did not consider recent bleeding of any real relevance to the question of arranging an amniocentesis.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what was that about, do you recall?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just have some spotting, some bleeding, and then by the time I saw her it stopped, and it's not - - she is not bleeding anymore.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that of any concern to you at the time of seeing her?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particularly. I take note because, you know, again you know, small spotting is quite common in the first trimester of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that wouldn't have had any impact on your advice to her regarding amnio and abortion?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not really.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Wilson's expert opinion is that if bleeding is within 24-48 hours of the scheduled amniocentesis it should be delayed a week. When Ms Zhang first saw Dr Kan she had been pregnant 16 weeks and 5 days. Dr Kan recorded on the second visit on 28 November 1996 that his patient had bled in her 16th week. She was not bleeding on 26 November - two days earlier. Dr Ling in Hong Kong recorded slight bleeding on 18 November (15 weeks and 4 days). In her evidence Ms Zhang said that after her bleeding stopped she had seen Dr Ling again but because the test results would take too long to come back she decided to come to Vancouver. From this it appears her bleeding had stopped in her 15th week of pregnancy (as mentioned in the plaintiffs' experts reports). In any event there is no suggestion that Ms Zhang was bleeding on 26 November. There is no mention of the subject in Dr Kan's notes that day. If bleeding had stopped more than a week earlier, as the evidence suggests, or at the very latest by 25 November, amniocentesis could safely have been arranged before Ms Zhang left on 29 November.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seems to me that this excuse for not trying to arrange amniocentesis is an afterthought by Dr Kan. There is no mention of it in his April 1999 notes when he appears to have been seeking to defend himself. Ms Zhang makes no mention of Dr Kan referring to it on her first visit. In any case, it does not bear analysis as a good excuse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inclined to accept Ms Zhang's evidence that she and Mr Fung, while planning to fly on to Los Angeles, perhaps on 29 November, had not booked their flight before they arrived in Vancouver. I doubt they would have delayed their onward flight two or three weeks, but I have no doubt Ms Zhang would have stayed for a few more days, as she said she would, to take an expedited test which the evidence suggests could have been arranged. She was not given that opportunity by Dr Kan. I accept that Ms Zhang asked him to make a "rush" appointment, but for no good reason he declined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Kan recorded in his clinical record that it was "too late" for the test. On the evidence it was not too late. It could probably have been arranged on an expedited basis. Why Dr Kan chose not to make one local phone call, or have his receptionist do so, is unexplained. I reject his suggestion that it was pointless to do so because Ms Zhang would not contemplate an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Should Dr Kan be found negligent for failing to try and arrange an amniocentesis on an expedited basis? In Dr Feinstadt's view he should have. The evidence suggests that such an attempt would have succeeded. Ms Zhang could have had an amniocentesis in a matter of days after seeing Dr Kan. The procedure would have disclosed the Down's Syndrome and I have no doubt that Ms Zhang would then have terminated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his failure to take steps to arrange an amniocentesis for his patient fell below the accepted standard of care and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have not referred to maternal serum testing, a non-invasive blood test described by Dr Wilson in his report. According to the brochure it should be performed between weeks 16 to 18 of gestation. Dr Wilson says the test time is between 15 and 20 weeks. It can detect about 50 - 60% of Down's Syndrome cases, but is not an alternative to amniocentesis. Nevertheless, a maternal serum test for Ms Zhang might have pointed to the possibility of her bearing a Down's Syndrome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Kan did not recommend this test although Ms Zhang had blood tests for other purposes. A failure to order blood serum testing was not specifically pleaded, nor put to Dr Kan in cross-examination, nor pursued in argument. It seems to have been a non-issue and I leave it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Zhang is a sophisticated and experienced businesswoman. She had researched the topic of amniocentesis as she knew that at her age she was at high risk of bearing a Down's Syndrome child. She had already discussed the need for the procedure with her Hong Kong doctor. As far as she was concerned when she came to Vancouver the question was not whether she would have amniocentesis, but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Zhang said she doubted Dr Kan's advice that it was too late to take the test. She told Mr Fung so. He told her to trust Dr Kan because he was a doctor. He did not want Ms Zhang to change doctors for fear of offending Ms Chai who had referred Dr Kan to them. Ms Zhang, who was not yet married to Mr Fung, appears reluctantly to have accepted Mr Fung's suggestion that she trust the doctor. But she knew from what she had read and from what Dr Ling had said that it was not too late for amniocentesis. She agreed at trial that she could have turned around and gone back to Hong Kong and taken the test. She could certainly have sought out another doctor in Richmond, as she did two months later. Ms Zhang was not timid about seeking medical advice. During her pregnancy she consulted five different doctors. That she blamed herself for Sherry's condition after delivery is also perhaps of some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my view Ms Zhang, and indeed Mr Fung, must share the responsibility for there being no amniocentesis undertaken during this high risk pregnancy. After the first visit to Dr Kan, the couple knew there might be a problem if there was no amniocentesis, but as Ms Zhang said on her discovery (Q. 847) if there was a problem they would "go after" Dr Kan. I assess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plaintiffs seek substantial damages, including damages to compensate Mr Fung for all expenditures for Sherry during her lifetime connected to her Down's Syndrome. At trial frequent reference was made to Krangle v. Brisco </w:t>
      </w:r>
      <w:hyperlink r:id="rId20" w:history="1">
        <w:r>
          <w:rPr>
            <w:rFonts w:ascii="arial" w:eastAsia="arial" w:hAnsi="arial" w:cs="arial"/>
            <w:i/>
            <w:color w:val="0077CC"/>
            <w:sz w:val="20"/>
            <w:u w:val="single"/>
            <w:shd w:val="clear" w:color="auto" w:fill="FFFFFF"/>
            <w:lang w:val="en-US" w:eastAsia="en-US" w:bidi="ar-SA"/>
          </w:rPr>
          <w:t>(2002), 208 D.L.R. (4th) 193</w:t>
        </w:r>
      </w:hyperlink>
      <w:r>
        <w:rPr>
          <w:rFonts w:ascii="arial" w:eastAsia="arial" w:hAnsi="arial" w:cs="arial"/>
          <w:color w:val="000000"/>
          <w:sz w:val="20"/>
          <w:lang w:val="en-US" w:eastAsia="en-US" w:bidi="ar-SA"/>
        </w:rPr>
        <w:t xml:space="preserve"> (S.C.C.). In that case, Low J. held a doctor negligent for failing to advise a pregnant patient of the desirability of amniocentesis, </w:t>
      </w:r>
      <w:hyperlink r:id="rId868" w:history="1">
        <w:r>
          <w:rPr>
            <w:rFonts w:ascii="arial" w:eastAsia="arial" w:hAnsi="arial" w:cs="arial"/>
            <w:i/>
            <w:color w:val="0077CC"/>
            <w:sz w:val="20"/>
            <w:u w:val="single"/>
            <w:shd w:val="clear" w:color="auto" w:fill="FFFFFF"/>
            <w:lang w:val="en-US" w:eastAsia="en-US" w:bidi="ar-SA"/>
          </w:rPr>
          <w:t>[1997] B.C.J. No. 2740</w:t>
        </w:r>
      </w:hyperlink>
      <w:r>
        <w:rPr>
          <w:rFonts w:ascii="arial" w:eastAsia="arial" w:hAnsi="arial" w:cs="arial"/>
          <w:color w:val="000000"/>
          <w:sz w:val="20"/>
          <w:lang w:val="en-US" w:eastAsia="en-US" w:bidi="ar-SA"/>
        </w:rPr>
        <w:t xml:space="preserve">. The patient was delivered of a Down's Syndrome child and the parents claimed the costs of extra care for their daughter for her lifetime. Future care costs were awarded to the parents, but only until the daughter became 19 years old. Thereafter, Low J. held, the parents had no legal obligation to support their daughter and were not entitled to continuing damages. A majority in the B.C. Court of Appeal held there was such a continuing obligation, but ordered such future adult costs be placed in trust for the daughter's benefit, </w:t>
      </w:r>
      <w:hyperlink r:id="rId869" w:history="1">
        <w:r>
          <w:rPr>
            <w:rFonts w:ascii="arial" w:eastAsia="arial" w:hAnsi="arial" w:cs="arial"/>
            <w:i/>
            <w:color w:val="0077CC"/>
            <w:sz w:val="20"/>
            <w:u w:val="single"/>
            <w:shd w:val="clear" w:color="auto" w:fill="FFFFFF"/>
            <w:lang w:val="en-US" w:eastAsia="en-US" w:bidi="ar-SA"/>
          </w:rPr>
          <w:t>[2000] B.C.J. No. 465</w:t>
        </w:r>
      </w:hyperlink>
      <w:r>
        <w:rPr>
          <w:rFonts w:ascii="arial" w:eastAsia="arial" w:hAnsi="arial" w:cs="arial"/>
          <w:color w:val="000000"/>
          <w:sz w:val="20"/>
          <w:lang w:val="en-US" w:eastAsia="en-US" w:bidi="ar-SA"/>
        </w:rPr>
        <w:t>. The Supreme Court of Canada restored the trial judgment, holding that the law in this province at the time the cause of action arose, did not oblige parents to support their children after the age of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this case, the defendant does not rely on the proposition that, in California, parents are not in law obligated to support their children after they reach 19 years. Rather, the defendant claims that the State of California will provide Sherry with all the benefits she needs during her lifetime so that Mr Fung will not be put to any extra expense in providing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 - Ms Zhang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Zhang claims substantial compensation as a result of giving birth to a Down's Syndrome child. It is claimed that in addition to her difficult labour and her distress at learning of Sherry's disability, her marriage failed and there was a question of her ever having another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no doubt that Ms Zhang was distressed after learning of Sherry's condition. She said that she cried a lot. She said she and Mr Fung had had a lot of expectations, "it totally disrupted our plans". It was "the darkest time in (her) life". In the absence of a termination, she experienced additional months of pregnancy and a prolonged delivery. That the failure of her marriage was the consequence of Sherry's disability is less clear. From the evidence about Mr Fung's previous relationships it appears that he married Ms Zhang only when it appeared she could provide him with a child. He was clearly disappointed to learn of Sherry's disability, but there was no suggestion in his evidence that this led to the marriage break-up. On the contrary, it can be inferred that he would have had greater need for his wife so that she could be the primary care-giver for Sherry. The inference I draw from the evidence is that it was Ms Zhang who felt she could not cope with the extra burden that Sherry presented and was content to leave her in the care of Mr Fung and his family. Her decision to return alone to Hong Kong and her actions since then are consistent with the conclusion that within three months from giving birth, she had abandoned her care of Sherry.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should add that if Ms Zhang had terminated her pregnancy, there is little doubt in my mind that following the pattern of his earlier relationships, Mr Fung would not have married her, at least in the short term. Whether the couple would ever have married is entirely speculative. Mr Collette raised the question of Ms Zhang having more children. I recall no evidence that Ms Zhang could not have had more children after Sherry's birth, although obviously as time went on there were fewer years left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Zhang's hopes for a "perfect" child were dashed by Sherry's birth and she suffered considerable distress as a result, but soon after she chose to continue her life, in large part without her daughter. I assess her non-pecuniary damages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 - Mr Fung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Fung gave evidence about his distress at learning of Sherry's condition. Nevertheless, with the help of his parents and, for a short time, Ms Zhang's mother, he set about caring for Sherry. After some two years or so living in China, Sherry returned to live with her father and Monica Han in Los Angeles. By all accounts Mr Fung is a loving father and takes pride in Sherry's progress. It is suggested that it demeans Sherry to award her father non-pecuniary damages, but in my view he is entitled to be compensated for the distress caused to him by her birth. I fix his damages under this head at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Special damages in connection with Sherry's eye and hearing tests in Hong Kong, China and USA (Exhibit 1 Tabs 18-25)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Compensation and "In Trust"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plaintiffs claim "past compensation" for the value of parents' services in caring for Sherry beyond that of a typical child; West v. Cotton </w:t>
      </w:r>
      <w:hyperlink r:id="rId870" w:history="1">
        <w:r>
          <w:rPr>
            <w:rFonts w:ascii="arial" w:eastAsia="arial" w:hAnsi="arial" w:cs="arial"/>
            <w:i/>
            <w:color w:val="0077CC"/>
            <w:sz w:val="20"/>
            <w:u w:val="single"/>
            <w:shd w:val="clear" w:color="auto" w:fill="FFFFFF"/>
            <w:lang w:val="en-US" w:eastAsia="en-US" w:bidi="ar-SA"/>
          </w:rPr>
          <w:t>(1995), 63 B.C.A.C. 53</w:t>
        </w:r>
      </w:hyperlink>
      <w:r>
        <w:rPr>
          <w:rFonts w:ascii="arial" w:eastAsia="arial" w:hAnsi="arial" w:cs="arial"/>
          <w:color w:val="000000"/>
          <w:sz w:val="20"/>
          <w:lang w:val="en-US" w:eastAsia="en-US" w:bidi="ar-SA"/>
        </w:rPr>
        <w:t>. A "minimal" claim ($1,000) is made in this regard on behalf of Ms Zhang, but I recall no evidence of any services by her beyond those she would have given to a "typical child". Mr Fung also makes such a claim, but there was very little evidence of such additional services by Mr Fung. According to the entries in Sherry's passport she was in the care of Ms Chai from June to September 1997, was brought by her to Los Angeles in October and returned with her to Vancouver in November 1997. From there Ms Chai took Sherry to Hong Kong. She stayed there and in China, with Mr Fung's parents, until April 1999. Sherry then came to Vancouver for about a week where she presumably saw her mother. She was then in Los Angeles for three months or so before returning to China in August 1999 where she stayed until June, 2000. She returned to China for a month in October 2000 and has had annual visits there, for 2 months in 2001 and for nearly 3 months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For a great deal of her short life, therefore, Sherry has lived away from her father. In addition, when Sherry has been living in Los Angeles, her father has spent time in Hong Kong and China, sometimes for months on end. There is no doubt that Mr Fung is a loving and caring parent and equally no doubt that Sherry presents different problems from those of an ordinary young child. In my view the amount claimed for Mr Fung is excessive. I fix an award under this head at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An "In Trust" claim is made on behalf of Mr Fung's parents, i.e. for services they provided to Sherry, beyond those they might have been expected to provide to a "typical" grandchild. My difficulty is that there was no evidence at trial of such extra services and for that reason I must reject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Since about June 2000 Monica Han has been Sherry's principal caregiver. I have described the bargain she made with Mr Fung. Having seen and heard Ms Han I consider Sherry fortunate to be looked after by her. Ms. Han is a patient and loving caregiver. There is no doubt that Sherry presents problems of daily care that are not typical for the ordinary mother. She needs extra attention when dressing and eating. She cannot be left alone except for a few minutes. The difficulty is that this is the precise bargain Ms Han made with Mr Fung when she agreed to bear him a child and look after Sherry, who she knew was a Down's Syndrome child, in return for bringing her daughter to live with the family in Los Angeles. I do not think it is appropriate to make an award to Ms Han for services she bargained with Mr Fung to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issue raised at trial is whether future care costs should be calculated on the basis of Sherry's life expectancy, or that of the survivor of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accept the evidence of Dr Strauss that Sherry, although in good health, has a reduced life expectancy of between 57.1 and 63.2 years. The larger figure is based on Sherry remaining ambulatory and Dr Strauss explained his reservations in that regard. I concur with the defendant's submission that Sherry's life expectancy should be estimated at 60.5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But there was no evidence that Sherry's parents are in law, obliged to provide support for her after their deaths. As she would in British Columbia, Sherry may have a claim on the estates of her parents after their deaths, but that does not create an obligation on the parents during their lifetime to provide support for her after their deaths. There was no evidence at trial of the existence of any such an obligation in California. Accordingly, as the parents' obligations to support Sherry will apparently be extinguished on their deaths (assuming it continues in any case after Sherry has become an adult) it is the life expectancies of the parents that has relevance. In this regard, I accept the evidence of Mr Hildebrand, who estimated Ms Zhang's life expectancy as 82.3 years or 39.4 years from trial and that of Mr Fung as 77.5 years or 28.7 years from trial. Thus Sherry will be 45 years old on the estimated death of her last surviving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An award for future care is "based on what is reasonably necessary on the medical evidence to promote the mental and physical health of the plaintiff" - per McLachlin J. (as she then was) in Milina v. Bartsch </w:t>
      </w:r>
      <w:hyperlink r:id="rId31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at p. 78 who added that deductions "must be made as necessary to avoid duplication in the amount awarded..." (p. 79). McLachlin J. reiterated these principles in Cunningham v. Wheeler, </w:t>
      </w:r>
      <w:hyperlink r:id="rId871"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 xml:space="preserve"> at pp. 368-369 when she said: "The ideal of compensation which is at the same time full and fair is met by awarding damages for all the plaintiff's actual losses, and no more.... Double recovery is not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 submits that the state of California will provide all the benefits Mr Fung seeks to recover as damages and he is therefore entitled to none. In answer, Mr Collette questions the extent of the benefits that may be available to Sherry in California and says that, in any event, they are collateral benefits which in law are not deductible from a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Benefits which have long been held not to be deductible from a tort award are private insurance benefits and charitable or benevolent gifts. Social assistance benefits have been held in British Columbia not to duplicate wages, so that receipt of such benefits is not deemed double recovery; M.B. v. B.C. </w:t>
      </w:r>
      <w:hyperlink r:id="rId872" w:history="1">
        <w:r>
          <w:rPr>
            <w:rFonts w:ascii="arial" w:eastAsia="arial" w:hAnsi="arial" w:cs="arial"/>
            <w:i/>
            <w:color w:val="0077CC"/>
            <w:sz w:val="20"/>
            <w:u w:val="single"/>
            <w:shd w:val="clear" w:color="auto" w:fill="FFFFFF"/>
            <w:lang w:val="en-US" w:eastAsia="en-US" w:bidi="ar-SA"/>
          </w:rPr>
          <w:t>(2002), 99 B.C.L.R (3d) 256</w:t>
        </w:r>
      </w:hyperlink>
      <w:r>
        <w:rPr>
          <w:rFonts w:ascii="arial" w:eastAsia="arial" w:hAnsi="arial" w:cs="arial"/>
          <w:color w:val="000000"/>
          <w:sz w:val="20"/>
          <w:lang w:val="en-US" w:eastAsia="en-US" w:bidi="ar-SA"/>
        </w:rPr>
        <w:t xml:space="preserve"> (C.A.). The question of the deductibility of benefits would be relevant if Sherry was a plaintiff, which of course she is not. The plaintiffs, as Sherry's parents, have the onus of proving the probability that they will have to provide future care for Sherry with its cost. To the extent Californian agencies are shown to be likely to provide such care, free of cost, the plaintiffs' claim under this head must fail. Accordingly, and subject to a contingency provision, this case is not concerned with the question of the deductibility of collateral benefits, but with the extent to which the plaintiffs have proved they, and not others, will incur the costs of Sherry's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propose to deal first with future costs without considering whether they may be met by California agencies. I will calculate the present value of these costs based on the discount rate of 3.5% prescribed by law, and based on Sherry's current age of 5 1/2 years. I will then deal with the question of state funding. Lastly, I will deal with the question of a contingency fund in respect of publicly funded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Fung claims future care costs under a number of headings: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Medical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Evidence of this expense, as well as the need and cost of other future care items, was given on behalf of the plaintiffs by Ms Landy, a certified rehabilitation nurse whose work includes providing life care plans and analysing future care costs for persons with serious disabilities. Ms Landy is a registered nurse in three Canadian provinces, although for the past 20 years or so, she has worked in British Columbia. She has no expertise in the area of services and funding for life plans in California. Nor has she expert knowledge of medical benefits available there, nor of benefits provided by Regional Centres. As Ms Landy works in British Columbia, one would not expect her to have particular knowledge of such matters. In making her recommendations Ms Landy said she followed guidelines published by the American Academy of Paediatrics and collected information from others about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To the extent Ms Landy's evidence of future care costs in California was not within her own expertise, but rather the relaying of information she had gathered from others, I held it was hearsay and inadmissible. Some of this information was repeated by experts from California and became admissible. Ms Landy's reported cost of additional medical insurance for Mr Fung was not otherwise dealt with in the evidence, except for one limited reference, and I do not believe I should consider it. The defendant is unable to cross-examine this source of Ms Landy's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Fung has Blue Cross medical insurance for his family under what is called the Healthy Family Program. Sherry is included in this insurance coverage. There is no evidence that her inclusion costs Mr Fung any additional premium because of her disability. Nevertheless, Mr Nibbelink, the defendant's rehabilitation consultant from California, said that insurance specifically designed for disabled individuals has been recommended to Mr Fung by the Regional Centre at a cost of $4 per month. I assume this will provide benefits for Sherry additional to those available under the Healthy Family Program. The Regional Centre would hardly have recommended it if this were not so. Accordingly, I award this cost to Mr Fung, i.e. the present value of 48 USD per annum until Sherry is aged 45 is 1,025 USD.</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In-home One-To-One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plaintiffs claim 1 million USD under this head. This comprises the cost of a qualified person to attend Sherry's home for 4 hours each day on weekdays and 8 hours each weekend, except when Sherry is on holiday in China. No claim is made for Sherry between ages 21 and 23 when it is assumed she will attend Taft College. Thereafter such one-to-one in home attendance is claimed for 10 hours each day for Sherry's lifetime. Mr Collette suggests an hourly rate of 18 USD.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my view, this claim is excessive. The standard of care set out in Milina, supra, is that of reasonable care not optimal care. The claim is based on an alleged in-home need for rehabilitation and therapy assistance, but there is no medical evidence that Sherry needs such in-home care, although of course she requires supervision. Sherry is 5 years old. Her daily routine was described by Ms Han. She is picked up by school bus at 8:00 a.m. and is returned about mid-day. She is then in the care of Ms Han. Children of course cannot be left unattended. Whether Sherry had Down's Syndrome or not she would still require to be looked after in the normal way children are supervised. The evidence suggests that at about age 13 children can be left unattended, but in Sherry's care, until age 21 she should have attendant care. The defendant suggests 2 to 4 hours a day of in-home care "largely around the evening meal and for executive planning". It was the opinion of Dr. Kent, a paediatrician called by the defendant, that such care did not have to be professional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From age 21 to 23 the plaintiffs claim 130,000 USD as the cost of Sherry attending Taft College which Ms Landy reports will provide Sherry with a post-secondary community college level program designed for young adults with development disability. It is apparently designed to help those who will be living independently. The defendant submits that such a program is inappropriate for Sherry and that there is no medical evidence that such a program will benefit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Kent's long-term expectations for Sherry were that she had the capacity to develop the knowledge and skills necessary to function within a supervised group home setting as an adult. She anticipated that Sherry would be able to take a bus unsupervised for a short distance and be able to work at a simple job like clearing tables in a restaurant. She should receive life skills training at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am not satisfied that attendance at Taft College or a like facility is reasonably necessary on the medical evidence to promote Sherry's welfare.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plaintiffs seek the cost of 10 hours of daily attendant care during Sherry's adult life. Apart from Ms Landy, the experts agree that in the long-term Sherry will be best served by living in a group home, i.e., a residence with a small number of adults living together with some supervision. Dr Kent considered there were advantages for Sherry living in a group home. Dr Herschler said his experience was positive with group homes. It would be good for Sherry to have people around her and participate in activities. Ms Landy did not think a group home was suitable for Sherry. She had visited 4 group homes in California, which she considered sub-standard accommodation. (One facility had 35 residents which would not be within the normal definition of a group home.) Ms Landy was inclined to think that group homes were for persons of lesser financial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Whether Sherry lives in a group home or not as an adult, all agree she will require supervision. It is the extent of supervision that is in dispute. In a group home there will be supervision for Sherry, although the evidence suggests Sherry will be able to be unsupervised for 3 or 4 hours each day as she will be in a safe environment. During the day she should be encouraged to leave the home, to participate in programs, go on shopping outings or even work at a simple job. This may also require some attendant care. It may be that Sherry will not live in a group home because Mr Fung and Ms Han will prefer to have Sherry live with them as an adult, perhaps in an adjoining suite. The evidence suggests that Mr Fung may well wish to continue the direct care of Sherry. In any event attendant care costs are indicated. I accept the defendant's suggestion that such costs be based on 4 hour days, 365 days per annum from age 13 to 45 @ 13 USD per hour, the present value of which is 274,852 USD based on a discount rate of 3.5% as required by law.</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Educational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plaintiffs claim 100,000 USD for a para-educator in addition to the cost of Taft College. The claim is based on the salary of an educational assistant at 13 USD per hour for 4 hours Monday to Friday for 40 weeks p.a. from age 6 to 21 (3.5 hours daily to June 2003). The defendant says that Sherry has already been provided with a para-educator at school without cost and that this will continue. The present value of such cost is $119,781 USD.</w:t>
      </w:r>
      <w:r>
        <w:rPr>
          <w:rFonts w:ascii="arial" w:eastAsia="arial" w:hAnsi="arial" w:cs="arial"/>
          <w:sz w:val="20"/>
          <w:lang w:val="en-US" w:eastAsia="en-US" w:bidi="ar-SA"/>
        </w:rPr>
        <w:cr/>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Speech and Language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plaintiffs claim 50,000 USD on the basis of 3 hours per week to age 6, 80 hours per annum to age 13 and 40 hours per annum until age 21, all at a cost of between $90-$100 Can. per hour. Ms Landy also recommends continuing therapy after age 21, but Mr. Collette did not pursue this additional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accept the evidence that "communication" is the "biggest and most significant delay" for Down's Syndrome children (Dr Hahn's report). Sherry is no exception. She is delayed "in putting language into memory and retrieving language from memory". Sherry has the additional difficulty of having to communicate in two languages. She speaks Mandarin at home, her average utterance being 5 to 6 words (Dr Kent). She repeats words spoken to her in English, but speaks only a few words spontaneously.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Landy recommends individualised speech and language therapy to improve Sherry's communication skills. The need for it is undisputed. Dr Kent suggests such therapy for about 1-2 hours per month while Sherry is at elementary school to provide consultation for the family, school teacher and aide, but this does not appear to include actual therapy for Sherry. The present value of the therapy recommendation by Ms Landy until age 21 at $95 per hour is 77,830 USD.</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Adapted Physiotherapy and Recreation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plaintiffs claim 20,000 USD for professional consultation during Sherry's lifetime to deal with her gross motor functioning. She has low muscle tone and ligamentous laxity. She will need help to lessen the chance of excessive weight gain. Dr Hahn reports that Sherry has already reached a gross motor state of balance and relatively good walking and running. Dr Kent strongly recommends that Sherry be encouraged to engage in physical activities outside the home, such as swimming, running and biking. She suggests a yearly physiotherapy consultation until Sherry reaches age 13 so that an adapted physical education program can be implemented by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Kent's recommendation appears to be a reasonable medical necessity and I adopt it. The present value of such costs at 85 USD per hour is 584 USD.</w:t>
      </w:r>
      <w:r>
        <w:rPr>
          <w:rFonts w:ascii="arial" w:eastAsia="arial" w:hAnsi="arial" w:cs="arial"/>
          <w:sz w:val="20"/>
          <w:lang w:val="en-US" w:eastAsia="en-US" w:bidi="ar-SA"/>
        </w:rPr>
        <w:cr/>
      </w:r>
    </w:p>
    <w:p>
      <w:pPr>
        <w:numPr>
          <w:numId w:val="1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Landy recommends lifetime funding (15,000 USD) for a community-based occupational therapist to provide annual assessments at home and school, to develop a program and to provide guidance. Dr Kent suggests that one to two hours per month is all that is required while Sherry is in elementary school. Dr Herschler was of the view that occupational therapy was not necessary beyond what the school system could provide. I accept that 2 hours per month at 850 USD per hour while she is in elementary school, is reasonably necessary and I fix this cost at 14,023 USD present value.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Nutritional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Landy recommends such a consultant to assist the plaintiffs understand the relationship "between dietary intake, physical activity and obesity in a child with Down's Syndrome". A cost of 5,000 USD is claimed (4 hours per annum at $90 per hour). Dr Kent recommends that as Down's Syndrome children are prone to obesity an initial assessment and periodical review is desirable. I find what is reasonable is the present value of an initial 1 hour consultation and 1 hour reviews every 2 years thereafter at a cost of $90 per session until Sherry reaches age 21, i.e., 9 sessions at $90 per hour for a present value of 552 USD.</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Eyeglass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Apparently Mr Fung buys new glasses for Sherry every 3 or 4 months, largely because she is in the habit of breaking them. She is inclined to throw them across the room. Sherry will surely learn before too long not to break her glasses. The defendant suggests a replacement cost be awarded every 2 years and I agree. I fix the present value at 2,136 USD.</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Consultation/Behavioural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Lee reports that Sherry is at an elevated risk for developing behavioural or mental health problems. He recommends a contingency fund of $15 - 20,000 be set aside to address these issues. Dr Joschko is of the view that all that is required is an evaluation by the school psychologist after kindergarten and a re-evaluation every 2 or 3 years or at major transition points, such as moving to a new school. He reports, and other evidence confirms it, that Sherry is a "normally adjusted child with Down's Syndrome who is not in need of psychological or psychiatric counselling." Dr Joschko suggests that if services from community mental health or hospital-based psychologists are not readily available, a contingency fund be set up to pay for 100 hours of psychological service over Sherry's lifetime. The present value of $10,000 until Sherry is aged 45 is 5,339 USD.</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Respite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addition to one-on-one in-home attendant care, Ms Landy recommends funding for respite services to Mr Fung and Ms Han until Sherry reaches 21. These are services designed to give parents of disabled children a "break" from their difficult routine. The funding proposed would cover twenty-one 10 hour days per annum from the present until Sherry reaches 21 at $13 per hour for a present value of 33,017 USD.</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Avocational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claim is for funds (100,000 USD) to enable Mr Fung to pay for Sherry to obtain supported employment. Sherry is not likely ever to be in full time employment. Dr Kent believes she will be capable of performing a simple job, such as cleaning tables at a restaurant. According to Mr Nibbeling, the present cost of such supported employment is 25.71 USD per day. Based on a cost for 5 days per week for 50 weeks per year from age 21 to 45, the present value of such cost is 60,557 USD (assuming 15 1/2 years until entitlement begins).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Rehabilitation Case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agree with the defendant that the plaintiffs have not made out the need for this funding (30,000 USD) as such management appears to be the core function of the Regional Centre.</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Membership in Down's Syndrome Association of Los Angeles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Such membership is clearly desirable in Sherry's interest. Indeed the experts all agree that Mr Fung and Ms Han should consider greater participation in their community with a view to obtaining support and advice to help them with Sherry. The annual fee for membership in the association is 24 USD. The present value of such fee paid until Sherry reaches age 45 is 513 USD.</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Evaluations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Landy includes in her report the following costs of various medical evaluations recommended in the Health Care Guidelines already mentioned and not challenged by the defendant. (These costs are not included in Mr Collette's written argument, but I assume are sought.)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Audiologic @ 240 USD and annually thereafter (until age 45). Present value is 5,125 USD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Echocardiagram - one evaluation @ 1,235 USD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Opthalmologic @ $255 USD and annually thereafter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Present value is 5,446 USD.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Thyroid screening @ 48 USD and annually thereafter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Present value is 1,025 USD.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Neurological examination and X-rays to rule out atlanto-axial instability. Diagnostic radiology consultation cost is 954 USD and neurology consultation cost is 500 USD - total 1,454 USD.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total present value of these evaluations is 14,285 USD.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State Funded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Schuering gave expert evidence on behalf of the defendant as a lawyer practicing in California with extensive experience in medical malpractice cases. His report and viva voce evidence concern benefits and services that are available to Sherry in California from public sources, including the state and federal government based upon existing legislation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California recognizes that "[p]ersons with developmental disabilities have the same legal rights and responsibilities [as those] guaranteed all other individuals by the United States Constitution and the Constitution and Laws of the state of California." These statutory rights include a right to treatment and habilitation services and support in the least restricted environment at state expense. The Lanterman Act authorizes the California Department of Developmental Services to contract with Regional Centres to provide developmentally disabled individuals with "access to the services and support that is suited to them throughout their lifetime". Sherry qualifies as a person entitled to these services. She has been deemed eligible for services and benefits from the San Gabriel/Pamona Regional Centre. This centre is a private non-profit corporation that operates under contract for the state Department of Developmental Services. The Regional Centre has the mandate to ensure that the consumers for whom it is responsible receive services and support that will assist them in living productively in their communities. This task may be accomplished by securing services and support directly or by assisting consumers and families to locate and access services and support from other agencies. Eligibility for services is determined by a service coordinator who will develop an individualized plan tailored to the individual's needs. For children over 3 the plan is called an Individual Program Plan (IPP), the purpose of which is to develop a program designed to achieve the desired outcomes. The IPP lists a schedule of the type and amount of necessary support and services in order to achieve the objectives and identifies who is responsible for providing the needed support and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services and support provided to Sherry by the San Gabriel/Pamona Regional Centre are at no cost to Sherry or her family. The Regional Centre can purchase those services that are not available through other sources. There is no money cap on Regional Centre services or support. Examples of services and support provided by the centre include:</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and Referral</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and Diagnosis</w:t>
      </w:r>
    </w:p>
    <w:p>
      <w:pPr>
        <w:numPr>
          <w:numId w:val="2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Counselling</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Lifelong individualized Planning and Services Coordination</w:t>
      </w:r>
    </w:p>
    <w:p>
      <w:pPr>
        <w:numPr>
          <w:numId w:val="2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 of Necessary Services Included In the Individual Program Plan</w:t>
      </w:r>
    </w:p>
    <w:p>
      <w:pPr>
        <w:numPr>
          <w:numId w:val="2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Resource Development</w:t>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Assistance in Finding and Using Community and Other Resources</w:t>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Family Support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Planning, Placement and Monitoring for 24-Hour Out-Of-Home Care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Day Programs and Vocational Services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Supported Employment Services and Work Activity Program Services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Extended Day, Year and Saturday Programs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Supported Living Services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Transportation Services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Supplemental One-To-One Support Services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Respite Services (For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California law requires provision of free appropriate public education, including special education and related services, to all children to the age of 21. A child is entitled to free appropriate public education and related services that are provided to a child with a disability at no cost, meet state standards and follow the individualized education program of the child. Related services which are provided include:</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Transportation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Speech and Language Therapy</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Audiology</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Therapy</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Recreation Services</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Child Counselling</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Parent Counselling and Training</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School Health and School Social Work Services</w:t>
      </w:r>
    </w:p>
    <w:p>
      <w:pPr>
        <w:numPr>
          <w:numId w:val="5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Early Identification and Assessment of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California Children's Services is part of a state-wide program established to assist parents with medical care and rehabilitation services. Medical therapy units are located throughout Los Angeles County. Therapy services are part of an interdisciplinary team consisting of the Orthopaedic Surgeon, Paediatrician, Social Worker, Orthodist and family. CCS manages medically eligible children's special physical needs through periodic physicians, conferences, individual or group occupational or physical therapy, consultation and evaluation, and provision of adaptive equipment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In-Home Supportive Services Program (IHSS) provides disabled persons with domestic protective and transportation services for life, which makes it possible for those persons to live safely in their own homes, rather than be forced into an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At age 18 Sherry will be eligible for Supplemental Security Income Benefits (SSI) that include Medical/Medicaid. After age 18 eligibility for SSI does not depend on parents'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It is Mr Schuering's conclusion that in the state of California there are substantial state, federal and agency resources that will provide Sherry Fung, due to the diagnosis of Down's Syndrome, with all of the medically necessary services at no cost to her or her family for the remainder of her life. Subject to the reservations I mention concerning some services and the need for a contingency fund, I accept Mr. Schuering's conclusion. It is also Mr. Schuering's view that a Regional Centre could not attempt to pursue a parent as a source of funding or as a third party payer as case-law would prohibit such an effort. Furthermore, it is Mr Schuering's opinion, that California Civil Code s. 3333.1(a) precludes a benefit provider from recouping payments either directly from a plaintiff or in a subrogated action against collateral sources. I accept Mr. Schuering's evidence on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Nibbelinik submitted a report and gave evidence as a rehabilitation counsellor and consultant in California. He has extensive experience as a disability management specialist. He confirmed the evidence of Mr Schuering. He stated that the Regional Centre Public Law 94-142 (Education For Children With Disability), Social Securities-Supplemental Security Income (SSI) and Medical, will be providers of services for Sherry Fung for life due to her diagnosis of Down's Syndrome. Mr Nibbelink said that the Regional Centre will purchase services and support for a client in order to (1) prevent a developmental disability (2) prevent or minimize the institutionalization and dislocation of the individual from family and community or (3) enable the individual to approximate the pattern of every-day living of a non-disabled person of the same age lead to a more independent, productive and normal life in the community and promote integration into main-stream community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Beltran, a California attorney and practicing in Burbank, California gave rebuttal evidence. Having read the reports of Mr Schuering and Mr Nibbelink, his conclusion was that although the Special Education Regional Centres, IHSS and other programs comprising California's service delivery system do in fact offer the range of services suggested by Mr Nibbelink, his estimates for the amount of services are overstated. Mr Beltran has considerable experience in representing persons with disabilities who seek to obtain state services and support. I was impressed by his report and the evidence he gave. His view was that the reports of Messrs. Schuering and Nibbelink lacked a practical real life suggestion for Sherry's care plan or an appreciation for the unmet needs that result from publicly funded programs. He pointed out that although Sherry will receive the most intense level of services during childhood, because she is eligible for almost all of the programs available including Regional Centre's Special Education Enhanced, EPSDT, Medical and possibly California Children's Services, by the age of 22 she would no longer be eligible for EPSDT, Medical, Special Education or California Children's Services. She would then look primarily to the Regional Centre and the Department of Rehabilitation, yet neither report submitted on behalf of the defendant considered Sherry's current program plans to determine whether she was even receiving the services that they would agree were necessary. Mr Beltran gives examples of the difficulties that are experienced with persons with disability in obtaining state services. He points out that the programs referred to provide only a minimal level of habilitation and services and in the case of the Regional Centre, services are contingent upon funding. Mr Beltran said that in his experience there was a great discrepancy between the statutory language authorizing services and their actual provision. He says that in his experience, Regional Centre case-managers often have limited knowledge of available services. There is often a funding dilemma when parents are caught between two service providers, each of which are reluctant to provide the service. Appeals from funding decisions are time-consuming and can be expensive.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conclude that while there is evidence that the majority of services recommended by Ms Landy may be provided by the Regional Centre and other state agencies for Sherry's lifetime without cost, I accept Mr Beltran's evidence that this is by no means a certainty for the reasons he expresses.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particular, I am concerned that the evidence of Regional Centre Services provided by Mr Nibbelink, would not cover one-to-one in-home care from age 13 to 45 as claimed and allowed by me at the reduced rate suggested by Mr Hinkson. Mr Nibbelink quotes the Regional Centre pamphlet in dealing with the provision of no cost supportive services for persons living at home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Supportive services are those which assist the client and/or the family to meet the specialized needs that are associated with the developmental disability and thereby enables the client to live at home. These services will include, but are not limited to, behaviour intervention, daycare, respite care, special parent skills, training and other supportive services identified by the client, parent, legal guardian or conservator and the Regional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It is not clear to me that this statement of services will probably assure Sherry of attendant care in the home for four hours each day for the years in question. Indeed Mr Nibbelink himself seems uncertain about this as he refers to the provision of such care at private cost. Similarly it seems by no means certain that Sherry will receive, free of cost to Mr Fung, the avocational assistance recommended by Ms Landy, the necessity for which was not disputed. The other services recommended by Ms Landy are more clearly dealt with in Mr Nibbelink's material, but subject in my view, to the cautionary words of Mr Beltran.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As in Krangle, I have considered the contingency that state benefits and services will not be available for Sherry. In Krangle this possibility was considered as only a five per cent chance. In my view, on the evidence there is significantly greater possibility in this case that the benefits and services I have found should be available to Sherry until age 45, may not be available to her through state agencies. I accept the evidence of Mr Beltran, who has considerable personal experience in advocating for services for the disabled. I fix this contingency at 30 percent of the present value of state services which appear likely to be available to her. I exclude from consideration of a contingency, the cost of rehabilitation case management, which I accept is the core function of the Regional Centre, and the cost of a para-educator, which I accept Sherry has been and will continue to be, provided with at her school without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r>
        <w:rPr>
          <w:rFonts w:ascii="arial" w:eastAsia="arial" w:hAnsi="arial" w:cs="arial"/>
          <w:sz w:val="20"/>
          <w:lang w:val="en-US" w:eastAsia="en-US" w:bidi="ar-SA"/>
        </w:rPr>
        <w:cr/>
      </w:r>
    </w:p>
    <w:p>
      <w:pPr>
        <w:numPr>
          <w:numId w:val="5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find the defendant liable to the plaintiffs. I find the plaintiffs 50 percent contributorily negligent.</w:t>
      </w:r>
      <w:r>
        <w:rPr>
          <w:rFonts w:ascii="arial" w:eastAsia="arial" w:hAnsi="arial" w:cs="arial"/>
          <w:sz w:val="20"/>
          <w:lang w:val="en-US" w:eastAsia="en-US" w:bidi="ar-SA"/>
        </w:rPr>
        <w:cr/>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2823"/>
        <w:gridCol w:w="2614"/>
        <w:gridCol w:w="17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Ms Zhang:</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loss</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 x 50%=</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Fung:</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loss</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 x 50%=</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Fung:</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Compensation</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 x 50%=</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 CDN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Fung:</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Costs of Future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882"/>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Medical Insurance</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1,025 USD</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In-home Attendant Care</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279,620 USD</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Avocational Assistance</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60,557 USD</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Eye-Glasses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2,136 USD</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Association Membership</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513 USD</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2301"/>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343,851 x 50%=</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171,926 USD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Fung: Contingency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77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Speech Language Therapy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77,830 USD</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Adapted Physiotherapy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584 USD</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Occupational Therapy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14,023 USD</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Nutritional Consultant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552 USD</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Psychological Consultant</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5,339 USD</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Respite Services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33,017 USD</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Evaluations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14,285 USD</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145,630 USD</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4601"/>
        <w:gridCol w:w="2300"/>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145,630 USD x 30%=43,689 x 50% =</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21,845 USD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346"/>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Totals</w:t>
            </w:r>
          </w:p>
        </w:tc>
        <w:tc>
          <w:tcPr>
            <w:tcW w:w="460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 CDN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$193,771 USD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Tax gross-up and costs, if not settled between the parties,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CATLIFF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3"/>
          <w:headerReference w:type="default" r:id="rId874"/>
          <w:footerReference w:type="even" r:id="rId875"/>
          <w:footerReference w:type="default" r:id="rId876"/>
          <w:headerReference w:type="first" r:id="rId877"/>
          <w:footerReference w:type="first" r:id="rId8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9" w:history="1">
        <w:r>
          <w:rPr>
            <w:rFonts w:ascii="arial" w:eastAsia="arial" w:hAnsi="arial" w:cs="arial"/>
            <w:b/>
            <w:bCs/>
            <w:i/>
            <w:color w:val="0077CC"/>
            <w:kern w:val="32"/>
            <w:sz w:val="28"/>
            <w:szCs w:val="32"/>
            <w:u w:val="single"/>
            <w:shd w:val="clear" w:color="auto" w:fill="FFFFFF"/>
            <w:lang w:val="en-US" w:eastAsia="en-US" w:bidi="ar-SA"/>
          </w:rPr>
          <w:t>Apex Mountain Resort Ltd. v. British Columbia, [2001] B.C.J. No. 600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Bauman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C956451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600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457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1100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457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Apex Mountain Resort Ltd. and Apex Resorts Corporation, plaintiffs,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0" w:name="Keywords_23"/>
      <w:bookmarkEnd w:id="200"/>
      <w:r>
        <w:rPr>
          <w:rFonts w:ascii="arial" w:eastAsia="arial" w:hAnsi="arial" w:cs="arial"/>
          <w:b/>
          <w:color w:val="000000"/>
          <w:sz w:val="20"/>
          <w:lang w:val="en-US" w:eastAsia="en-US" w:bidi="ar-SA"/>
        </w:rPr>
        <w:t>Practice — Costs — Party and party costs — Entitlement to party and party costs — Successful party, exceptions — Novel or important point — Against the Crown or governmental bodies.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1" w:name="Case Summary_22"/>
            <w:bookmarkEnd w:id="2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Crown for increased costs. The plaintiff, Apex Mountain Resort, brought an unsuccessful action for damages from the provincial Crown for the loss of its ski resort. The claim was based on negligent misrepresentation, breach of a development agreement, and breach of fiduciary duty. The loss arose from the blockade by First Nations of a public access road to the resort. Apex characterized itself as an innocent commercial venture caught in the crossfire of the Crown's unfinished business with the First Nations. Apex argued that there should be no costs, as the issues were novel and there was a clear public benefit in the litigation. It argued that its resources were limited and that the Crown must expect to be required to defend its conduct. The Crown sought increased costs, as costs under scale 5 would amount to $68,000, and its legal costs amounted to more than $1 million.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2" w:name="Holdings of Court_19"/>
            <w:bookmarkEnd w:id="202"/>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Crown was allowed costs on scale 5. The legal issues in the case were not novel. Apex did not litigate for altruistic reasons. The litigation was business. This was not an appropriate case to depart from the general rule that costs followed the event.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3" w:name="Legislation Cited_12"/>
      <w:bookmarkEnd w:id="2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5"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57(9), scale 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4" w:name="Counsel_35"/>
      <w:bookmarkEnd w:id="2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6"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J.J.L. Hunter, Q.C., for the plaintiffs. T.P. Leadem, Q.C., and J.G. Penner,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5" w:name="Judgment_35"/>
      <w:bookmarkEnd w:id="205"/>
      <w:r>
        <w:pict>
          <v:line id="_x0000_s1177"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6" w:name="BAUMAN J."/>
            <w:bookmarkEnd w:id="206"/>
            <w:r>
              <w:rPr>
                <w:rFonts w:ascii="arial" w:eastAsia="arial" w:hAnsi="arial" w:cs="arial"/>
                <w:b/>
                <w:color w:val="000000"/>
                <w:sz w:val="30"/>
                <w:lang w:val="en-US" w:eastAsia="en-US" w:bidi="ar-SA"/>
              </w:rPr>
              <w:t>BAUMAN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My reasons for judgment Apex Mountain Resort Ltd. v. British Columbia, </w:t>
      </w:r>
      <w:hyperlink r:id="rId880" w:history="1">
        <w:r>
          <w:rPr>
            <w:rFonts w:ascii="arial" w:eastAsia="arial" w:hAnsi="arial" w:cs="arial"/>
            <w:i/>
            <w:color w:val="0077CC"/>
            <w:sz w:val="20"/>
            <w:u w:val="single"/>
            <w:shd w:val="clear" w:color="auto" w:fill="FFFFFF"/>
            <w:lang w:val="en-US" w:eastAsia="en-US" w:bidi="ar-SA"/>
          </w:rPr>
          <w:t>2000 BCSC 907</w:t>
        </w:r>
      </w:hyperlink>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5 B.L.R. (3d) 255</w:t>
        </w:r>
      </w:hyperlink>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50 C.C.L.T. (2d) 123</w:t>
        </w:r>
      </w:hyperlink>
      <w:r>
        <w:rPr>
          <w:rFonts w:ascii="arial" w:eastAsia="arial" w:hAnsi="arial" w:cs="arial"/>
          <w:color w:val="000000"/>
          <w:sz w:val="20"/>
          <w:lang w:val="en-US" w:eastAsia="en-US" w:bidi="ar-SA"/>
        </w:rPr>
        <w:t xml:space="preserve"> set out the factual background and the specific relief sought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But generally, the plaintiff sought substantial damages from the Provincial Crown for the loss of its ski resort. The claim was based in negligent misrepresentation, breach of a development agreement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loss arose out of the blockade of, and uncertainty surrounding, the public right of access to the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heart of the dispute pitted the Crown against the Penticton Indian Band. The plaintiff would characterize itself as an innocent commercial concern caught in the crossfire attendant upon the Province's unfinished business with First 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application before me at this time concerns the costs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takes the position that in all the circumstances, there should be no award of costs. Alternatively, it resists the award of any increased costs and seeks a direction disallowing any costs to the Crown for document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Crown maintains that costs should follow the event and that it should be awarded increased costs. It, of course, resists any disallowance of costs in respect of document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Hunter's essential submission, on the "no costs" branch of his argument, is that this is litigation with a high public interest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suggests that the issues were novel in this jurisdiction and that "there is a clear public benefit in having a decision which clarifies the relationship between the Crown and commercial businesses operating on Crown lands but requiring access through Indian reserves."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stresses the very limited resources of the plaintiff and he concludes with this submission: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additional factor against a costs award is the fact that the party seeking costs here is the Crown. The Crown must expect to be required to defend its conduct from time to time in relation to the clash of rights between businesses operating on Crown land and aboriginal groups asserting claims that interfere with those businesses. Until the law in relation to these difficult issues is more clearly understood, there are bound to be instances where the Court is called upon to decide on which side of the line the Crown's conduct falls. While the former "rule of dignity" whereby the Crown neither sought nor paid costs no longer applies, it is contrary to good public policy to impose costs penalties which have the effect of discouraging private citizens who have done nothing wrong from challenging the conduct of their government in circumstances such as those pertaining in the case at bar.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Hunter cites Orkin, Law of Costs, 2d ed. (Aurora, Ont.: Canada Law Book, loose leaf ed.) on this point and in particular pp. 2-49 to 2-54. Special stress is placed on this extract:</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cases. An action or motion may be disposed of without costs when the question involved in a new one, not previously decided by the courts on the theory that there is a public benefit in having the court give a decision; or where it involves the interpretation of a new or ambiguous statute; or a new or uncertain or unsettled point of practice; or law; or where there were no previous authoritative rulings by courts; or decided cases on point; or where an application concerned a matter of public interest and both parties acted in complete good faith; or where both sides operated with public funds; or where the practice was altered by a recent English decision; or the case involved difficult and sensitive issues of fact; or on an application by a charitable insitution [sic] for exemption from a real property assessment; or where the action was a test case; or where it was desirable to resolve a conflict in the case law; or where a successful appellant which had not sought costs did so only belatedly, or where there had been systemic delay in fixing trial dates.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emphasis on the highlighted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have reviewed the cases cited at footnote 368:</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Valpy v. Ontario (Commission on Election Finances) </w:t>
      </w:r>
      <w:hyperlink r:id="rId881" w:history="1">
        <w:r>
          <w:rPr>
            <w:rFonts w:ascii="arial" w:eastAsia="arial" w:hAnsi="arial" w:cs="arial"/>
            <w:i/>
            <w:color w:val="0077CC"/>
            <w:sz w:val="20"/>
            <w:u w:val="single"/>
            <w:shd w:val="clear" w:color="auto" w:fill="FFFFFF"/>
            <w:lang w:val="en-US" w:eastAsia="en-US" w:bidi="ar-SA"/>
          </w:rPr>
          <w:t>(1989), 67 O.R. (2d) 748</w:t>
        </w:r>
      </w:hyperlink>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57 D.L.R. (4th) 311</w:t>
        </w:r>
      </w:hyperlink>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32 O.A.C. 255</w:t>
        </w:r>
      </w:hyperlink>
      <w:r>
        <w:rPr>
          <w:rFonts w:ascii="arial" w:eastAsia="arial" w:hAnsi="arial" w:cs="arial"/>
          <w:color w:val="000000"/>
          <w:sz w:val="20"/>
          <w:lang w:val="en-US" w:eastAsia="en-US" w:bidi="ar-SA"/>
        </w:rPr>
        <w:t xml:space="preserve"> (Div. Ct.);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Sierra Club of Western Canada v. British Columbia (Attorney General) </w:t>
      </w:r>
      <w:hyperlink r:id="rId882" w:history="1">
        <w:r>
          <w:rPr>
            <w:rFonts w:ascii="arial" w:eastAsia="arial" w:hAnsi="arial" w:cs="arial"/>
            <w:i/>
            <w:color w:val="0077CC"/>
            <w:sz w:val="20"/>
            <w:u w:val="single"/>
            <w:shd w:val="clear" w:color="auto" w:fill="FFFFFF"/>
            <w:lang w:val="en-US" w:eastAsia="en-US" w:bidi="ar-SA"/>
          </w:rPr>
          <w:t>(1991), 83 D.L.R. (4th) 708</w:t>
        </w:r>
      </w:hyperlink>
      <w:r>
        <w:rPr>
          <w:rFonts w:ascii="arial" w:eastAsia="arial" w:hAnsi="arial" w:cs="arial"/>
          <w:color w:val="000000"/>
          <w:sz w:val="20"/>
          <w:lang w:val="en-US" w:eastAsia="en-US" w:bidi="ar-SA"/>
        </w:rPr>
        <w:t xml:space="preserve"> (B.C.S.C.);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Colony Farm Holdings Ltd. v. British Columbia (Racing Commission), </w:t>
      </w:r>
      <w:hyperlink r:id="rId883" w:history="1">
        <w:r>
          <w:rPr>
            <w:rFonts w:ascii="arial" w:eastAsia="arial" w:hAnsi="arial" w:cs="arial"/>
            <w:i/>
            <w:color w:val="0077CC"/>
            <w:sz w:val="20"/>
            <w:u w:val="single"/>
            <w:shd w:val="clear" w:color="auto" w:fill="FFFFFF"/>
            <w:lang w:val="en-US" w:eastAsia="en-US" w:bidi="ar-SA"/>
          </w:rPr>
          <w:t>[1992] B.C.J. No. 455</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They are not particularly helpful because they do not contain an extensive analysis of the costs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That, however, was undertaken by K. Smith J. in Sierra Club of Western Canada v. British Columbia (Chief Forester) </w:t>
      </w:r>
      <w:hyperlink r:id="rId884" w:history="1">
        <w:r>
          <w:rPr>
            <w:rFonts w:ascii="arial" w:eastAsia="arial" w:hAnsi="arial" w:cs="arial"/>
            <w:i/>
            <w:color w:val="0077CC"/>
            <w:sz w:val="20"/>
            <w:u w:val="single"/>
            <w:shd w:val="clear" w:color="auto" w:fill="FFFFFF"/>
            <w:lang w:val="en-US" w:eastAsia="en-US" w:bidi="ar-SA"/>
          </w:rPr>
          <w:t>(1994), 117 D.L.R. (4th) 395</w:t>
        </w:r>
      </w:hyperlink>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[1994] 10 W.W.R. 279</w:t>
        </w:r>
      </w:hyperlink>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94 B.C.L.R. (2d) 331</w:t>
        </w:r>
      </w:hyperlink>
      <w:r>
        <w:rPr>
          <w:rFonts w:ascii="arial" w:eastAsia="arial" w:hAnsi="arial" w:cs="arial"/>
          <w:color w:val="000000"/>
          <w:sz w:val="20"/>
          <w:lang w:val="en-US" w:eastAsia="en-US" w:bidi="ar-SA"/>
        </w:rPr>
        <w:t xml:space="preserve"> (S.C.), affirmed </w:t>
      </w:r>
      <w:hyperlink r:id="rId885" w:history="1">
        <w:r>
          <w:rPr>
            <w:rFonts w:ascii="arial" w:eastAsia="arial" w:hAnsi="arial" w:cs="arial"/>
            <w:i/>
            <w:color w:val="0077CC"/>
            <w:sz w:val="20"/>
            <w:u w:val="single"/>
            <w:shd w:val="clear" w:color="auto" w:fill="FFFFFF"/>
            <w:lang w:val="en-US" w:eastAsia="en-US" w:bidi="ar-SA"/>
          </w:rPr>
          <w:t>(1995), 126 D.L.R. (4th) 437</w:t>
        </w:r>
      </w:hyperlink>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[1995] 8 W.W.R. 1</w:t>
        </w:r>
      </w:hyperlink>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7 B.C.L.R. (3d) 375</w:t>
        </w:r>
      </w:hyperlink>
      <w:r>
        <w:rPr>
          <w:rFonts w:ascii="arial" w:eastAsia="arial" w:hAnsi="arial" w:cs="arial"/>
          <w:color w:val="000000"/>
          <w:sz w:val="20"/>
          <w:lang w:val="en-US" w:eastAsia="en-US" w:bidi="ar-SA"/>
        </w:rPr>
        <w:t>, 41 C.P.C. (3d) 27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the petitioner was a non-profit society which sought judicial review of a decision of the Chief Forester fixing the permissible annual harvest of timber in the corporate respondent's Tree Farm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petitioner lost its application and resisted a costs award in favour of the company on the ground that it was a responsible public interest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Justice Smith began by recognizing that the general rule (Rule 57(9)) is that costs follow the event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My colleague reviewed the Canadian jurisprudence at length and I extract these general statements as summarizing his conclusions, beginning at para. 24 (B.C.L.R.):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think any principle of general application can be discerned from those cases. In my view, each turned on an exercise of judicial discretion in the particular circumstances. The novelty of the point involved was one, but not the only, relevant circumstance. It appears a more cogent factor was that the successful party was the Crown and the unsuccessful one was a private citizen in each case. None of them deal with a situation where the successful party is a private citizen and the unsuccessful party is a public interest litigant.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Accordingly, I accept that the novelty of the issue raised and the public benefit accruing from the decision are relevant factors to be considered in exercising my discretion, but not to the exclusion of other relevant factors. I do not accept that there is any rule that no costs should be awarded when the issue raised is novel and there is a public benefit from a decision on the point.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think it would be wise to establish a principle that any person bringing a proceeding out of a bona fide concern to vindicate his or her perception of the public interest should be insulated from an award of costs in all cases. Such a motive will always be a relevant and important factor, but it should not be considered to the exclusion of all other relevant and important factors. The Court must retain the flexibility to do justice in each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however, the successful party seeking costs is the Crown. Should it be denied its costs in the principled exercise of my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There were some novel issues in this litigation, certainly novel factual issues. But the case can, as well, be seen as simply applying very traditional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 (the primary argument) to the somewhat unusual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was not arguing for some general duty owed by the Crown to all commercial citizens to protect them from the fallout of direct action by frustrated First 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rested its case on traditional private law duties owed to it because of allegedly negligent misrepresentations made to it and its contractual relationship with the Crown. From that perspective the legal issues were not terribly novel.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Neither was the plaintiff pursuing the litigation for any altruistic reasons which often characterizes the motivation of public interest litigants.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say, of course, that it is no criticism of the plaintiff to observe that it pursued this litigation for gain. It lost a lot and it can hardly be said that having done so, it is less deserving of our sympathy for trying to visit its business loss on the party which it says precipitated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But this litigation 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Indeed, it was brought to my attention in pre-trial proceedings that any positive ruling by the court was touted by the plaintiff in press releases undoubtedly designed to support the market for its publicly traded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fact is that the plaintiff has sought to realize on its only corporate asset, this litigation. While that is not objectionable, it does distinguish the plaintiff from the public interest litigants who might be insulated from a costs award for the reasons advanced in Orkin.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have concluded that this is not an appropriate case in which to depart from the general rule that costs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to their measure, the Crown seeks 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It cites this statement from Monenco Ltd. v. Commonwealth Insurance Co., </w:t>
      </w:r>
      <w:hyperlink r:id="rId886" w:history="1">
        <w:r>
          <w:rPr>
            <w:rFonts w:ascii="arial" w:eastAsia="arial" w:hAnsi="arial" w:cs="arial"/>
            <w:i/>
            <w:color w:val="0077CC"/>
            <w:sz w:val="20"/>
            <w:u w:val="single"/>
            <w:shd w:val="clear" w:color="auto" w:fill="FFFFFF"/>
            <w:lang w:val="en-US" w:eastAsia="en-US" w:bidi="ar-SA"/>
          </w:rPr>
          <w:t>1999 BCCA 133</w:t>
        </w:r>
      </w:hyperlink>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64 B.C.L.R. (3d) 307</w:t>
        </w:r>
      </w:hyperlink>
      <w:r>
        <w:rPr>
          <w:rFonts w:ascii="arial" w:eastAsia="arial" w:hAnsi="arial" w:cs="arial"/>
          <w:color w:val="000000"/>
          <w:sz w:val="20"/>
          <w:lang w:val="en-US" w:eastAsia="en-US" w:bidi="ar-SA"/>
        </w:rPr>
        <w:t>, 29 C.P.C. (4th) 187, B.C.J. No. 568 (C.A.) (at para. 11, B.C.J.):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of the cases say that factors that would establish an injustice if special costs were not awarded include such things as complexity, difficulty, special importance to the parties, special importance in the development of the law, and finally, reprehensible conduct. Those would all be significant factors. But of course, what constitutes complexity for one person is not complexity for another, and the same is true of difficulty, and may even be true of special importance to the parties or to others in the development of the law. So one must think of each of these factors, but also view the case as a whole, and go to the final issue of whether the disparity is such that, in the particular circumstances of the case, including all the relevant factors, an "unjust result" would occur if an order for special costs were not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the issue of disparity, the Crown estimates that scale 5 costs would amount to $68,580, while its legal costs (in-house counsel and legal assistants charged at $110 and $50 per hour, respectively) amount to more than $1 million, not including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any criterion, the Crown has certainly made out a most significant disparity between ordinary costs and what it claims is its actual legal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To this the plaintiff argues that the Crown has utilized in-house personnel, and has not, therefore, incurred any actual legal costs. But Justice Koenigsberg's judgment in Nichols v. Koch Oil Co. </w:t>
      </w:r>
      <w:hyperlink r:id="rId887" w:history="1">
        <w:r>
          <w:rPr>
            <w:rFonts w:ascii="arial" w:eastAsia="arial" w:hAnsi="arial" w:cs="arial"/>
            <w:i/>
            <w:color w:val="0077CC"/>
            <w:sz w:val="20"/>
            <w:u w:val="single"/>
            <w:shd w:val="clear" w:color="auto" w:fill="FFFFFF"/>
            <w:lang w:val="en-US" w:eastAsia="en-US" w:bidi="ar-SA"/>
          </w:rPr>
          <w:t>2000 BCSC 1429</w:t>
        </w:r>
      </w:hyperlink>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[2000] B.C.J. No. 1942</w:t>
        </w:r>
      </w:hyperlink>
      <w:r>
        <w:rPr>
          <w:rFonts w:ascii="arial" w:eastAsia="arial" w:hAnsi="arial" w:cs="arial"/>
          <w:color w:val="000000"/>
          <w:sz w:val="20"/>
          <w:lang w:val="en-US" w:eastAsia="en-US" w:bidi="ar-SA"/>
        </w:rPr>
        <w:t>, is binding on me and she has held that (at para. 32): "Just as it is irrelevant to an awarding of ordinary costs that a party is represented by salaried counsel, it is similarly irrelevant in the awarding of 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That aside, the plaintiff argues that the overriding criterion is that of "unjust result". That is, can it be said that there would be an unjust result if the Crown were not awarded 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decision in Monenco Ltd. and that of the Court of Appeal in Rieta v. North American Air Travel Insurance Agents Ltd. </w:t>
      </w:r>
      <w:hyperlink r:id="rId888" w:history="1">
        <w:r>
          <w:rPr>
            <w:rFonts w:ascii="arial" w:eastAsia="arial" w:hAnsi="arial" w:cs="arial"/>
            <w:i/>
            <w:color w:val="0077CC"/>
            <w:sz w:val="20"/>
            <w:u w:val="single"/>
            <w:shd w:val="clear" w:color="auto" w:fill="FFFFFF"/>
            <w:lang w:val="en-US" w:eastAsia="en-US" w:bidi="ar-SA"/>
          </w:rPr>
          <w:t>(1998), 52 B.C.L.R. (3d) 114</w:t>
        </w:r>
      </w:hyperlink>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35 C.C.E.L. (2d) 157</w:t>
        </w:r>
      </w:hyperlink>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21 C.P.C. (4th) 314</w:t>
        </w:r>
      </w:hyperlink>
      <w:r>
        <w:rPr>
          <w:rFonts w:ascii="arial" w:eastAsia="arial" w:hAnsi="arial" w:cs="arial"/>
          <w:color w:val="000000"/>
          <w:sz w:val="20"/>
          <w:lang w:val="en-US" w:eastAsia="en-US" w:bidi="ar-SA"/>
        </w:rPr>
        <w:t xml:space="preserve"> are now the leading authorities on increased costs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Rieta, the judgment of the court was delivered by Justice Donald. At para. 40 (B.C.L.R.) he makes it clear that the "unjust result" criterion calls for more than a discrepancy between ordinary costs and actual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on costs has now evolved to the point where a discrepancy must be accompanied by some other reason in order to justify an order of increased costs. My use of the phrase "presumptive injustice" in referring to </w:t>
      </w:r>
      <w:r>
        <w:rPr>
          <w:rFonts w:ascii="arial" w:eastAsia="arial" w:hAnsi="arial" w:cs="arial"/>
          <w:b/>
          <w:color w:val="000000"/>
          <w:sz w:val="20"/>
          <w:lang w:val="en-US" w:eastAsia="en-US" w:bidi="ar-SA"/>
        </w:rPr>
        <w:t>any</w:t>
      </w:r>
      <w:r>
        <w:rPr>
          <w:rFonts w:ascii="arial" w:eastAsia="arial" w:hAnsi="arial" w:cs="arial"/>
          <w:color w:val="000000"/>
          <w:sz w:val="20"/>
          <w:lang w:val="en-US" w:eastAsia="en-US" w:bidi="ar-SA"/>
        </w:rPr>
        <w:t xml:space="preserve"> discrepancy greater than 50% in Just v. British Columbia </w:t>
      </w:r>
      <w:hyperlink r:id="rId889" w:history="1">
        <w:r>
          <w:rPr>
            <w:rFonts w:ascii="arial" w:eastAsia="arial" w:hAnsi="arial" w:cs="arial"/>
            <w:i/>
            <w:color w:val="0077CC"/>
            <w:sz w:val="20"/>
            <w:u w:val="single"/>
            <w:shd w:val="clear" w:color="auto" w:fill="FFFFFF"/>
            <w:lang w:val="en-US" w:eastAsia="en-US" w:bidi="ar-SA"/>
          </w:rPr>
          <w:t>(1992), 9 C.P.C. (3d) 302</w:t>
        </w:r>
      </w:hyperlink>
      <w:r>
        <w:rPr>
          <w:rFonts w:ascii="arial" w:eastAsia="arial" w:hAnsi="arial" w:cs="arial"/>
          <w:color w:val="000000"/>
          <w:sz w:val="20"/>
          <w:lang w:val="en-US" w:eastAsia="en-US" w:bidi="ar-SA"/>
        </w:rPr>
        <w:t xml:space="preserve"> (B.C.S.C.) at 308, may not have been happily chosen. The better and current view is that a discrepancy is only a factor, and by itself not a decisive factor, in deciding a claim for increased costs. As has been observed in a number of the cases cited to us, a large disparity is often associated with some additional factor relating to the nature of the case or the conduct of the parties which usually provides an explanation for the disparity. The following statement by Madam Justice Rowles in Edgar v. Freedman </w:t>
      </w:r>
      <w:hyperlink r:id="rId890" w:history="1">
        <w:r>
          <w:rPr>
            <w:rFonts w:ascii="arial" w:eastAsia="arial" w:hAnsi="arial" w:cs="arial"/>
            <w:i/>
            <w:color w:val="0077CC"/>
            <w:sz w:val="20"/>
            <w:u w:val="single"/>
            <w:shd w:val="clear" w:color="auto" w:fill="FFFFFF"/>
            <w:lang w:val="en-US" w:eastAsia="en-US" w:bidi="ar-SA"/>
          </w:rPr>
          <w:t>(1997), 94 B.C.A.C. 216</w:t>
        </w:r>
      </w:hyperlink>
      <w:r>
        <w:rPr>
          <w:rFonts w:ascii="arial" w:eastAsia="arial" w:hAnsi="arial" w:cs="arial"/>
          <w:color w:val="000000"/>
          <w:sz w:val="20"/>
          <w:lang w:val="en-US" w:eastAsia="en-US" w:bidi="ar-SA"/>
        </w:rPr>
        <w:t xml:space="preserve"> (B.C.C.A.) at para.79 reflects the present state of the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impression is that a quite significant disparity must be found to trigger an order for increased costs and even then, such an order is by no means likely to be made "as of course" or automatically. Usually, there must be found special importance, difficulties or complication associated with the litigation or as seen in National Hockey League [</w:t>
      </w:r>
      <w:hyperlink r:id="rId891" w:history="1">
        <w:r>
          <w:rPr>
            <w:rFonts w:ascii="arial" w:eastAsia="arial" w:hAnsi="arial" w:cs="arial"/>
            <w:i/>
            <w:color w:val="0077CC"/>
            <w:sz w:val="20"/>
            <w:u w:val="single"/>
            <w:shd w:val="clear" w:color="auto" w:fill="FFFFFF"/>
            <w:lang w:val="en-US" w:eastAsia="en-US" w:bidi="ar-SA"/>
          </w:rPr>
          <w:t>(1995) 2 B.C.L.R. (3d) 13</w:t>
        </w:r>
      </w:hyperlink>
      <w:r>
        <w:rPr>
          <w:rFonts w:ascii="arial" w:eastAsia="arial" w:hAnsi="arial" w:cs="arial"/>
          <w:color w:val="000000"/>
          <w:sz w:val="20"/>
          <w:lang w:val="en-US" w:eastAsia="en-US" w:bidi="ar-SA"/>
        </w:rPr>
        <w:t>] conduct of a litigant which the court finds deserving of a penalty in added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Here, we have litigation which raises important issues and a claim for substantial damages and that in large measure explains the disparity and it arguably may be the "some other reason" needed to support increased costs to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But what is clear from the cases, and Appendix B, s. 7(1) of the Rules, is that there must be an unjust result if costs are assessed on scales 1 to 5: Monenco per Lambert J.A. (at paras. 10 and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in gauging whether an unjust result obtains that I take into account Mr. Hunter's submission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contrary to good public policy to impose costs penalties which have the effect of discouraging private citizens who have done nothing wrong from challenging the conduct of their government in circumstances such as those pertaining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circumstances of this case, I conclude that there would not be an unjust result if the Crown had its costs assessed on scale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to the plaintiff's submission that the Crown specifically should be denied costs associated with its production of documents, it is sufficient to say that I find nothing so objectionable in the Crown's assertion of public interest immunity in respect of certain documents or in its timeliness in delivering other documents that it should be disentitled to its costs in this regard. I accept the Crown's submission that it endeavoured to provide documents in a timely fashion as the focus of the case shifted.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concern with the appropriateness of the Crown's disbursements in connection with the production and organization of its documents can be addressed on any taxation before the registrar that ensues.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BAUMAN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2"/>
          <w:headerReference w:type="default" r:id="rId893"/>
          <w:footerReference w:type="even" r:id="rId894"/>
          <w:footerReference w:type="default" r:id="rId895"/>
          <w:headerReference w:type="first" r:id="rId896"/>
          <w:footerReference w:type="first" r:id="rId8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8" w:history="1">
        <w:r>
          <w:rPr>
            <w:rFonts w:ascii="arial" w:eastAsia="arial" w:hAnsi="arial" w:cs="arial"/>
            <w:b/>
            <w:bCs/>
            <w:i/>
            <w:color w:val="0077CC"/>
            <w:kern w:val="32"/>
            <w:sz w:val="28"/>
            <w:szCs w:val="32"/>
            <w:u w:val="single"/>
            <w:shd w:val="clear" w:color="auto" w:fill="FFFFFF"/>
            <w:lang w:val="en-US" w:eastAsia="en-US" w:bidi="ar-SA"/>
          </w:rPr>
          <w:t>B.G. v. British Columbia, [2003] B.C.J. No. 3002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15 - 19, November 18 - 22, 25 - 29,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2, 3, 9 - 13, 2002, January 6 - 10, 13 - 16,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20 - 24, 29 and 30, February 3 - 7, 10 - 13, 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19 - 21, 24 - 28, March 3 - 7, 10 - 13, (17 - 21, 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25 at Nanaimo), (26 at Campbell River) and 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1 - 4, 7 - 10, 14 - 17, 22 - 25, 28, May 5 - 6,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12 - 15, 20 - 24, and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S001252, S006674, S005324,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S013712, S004768, S005845, S006656 and S013688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3002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1890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426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B.G. also known as B.C.R. and as B.V.G., A.G., R.P., and I.S., plaintiffs, and Her Majesty the Queen in Right of the Province of British Columbia and John Doe (a person unknown), defendants (Vancouver Registry No. S001252) And between R.A., plaintiff, and Her Majesty the Queen in Right of the Province of British Columbia, defendant (Vancouver Registry No. S006674) And between L.D., plaintiff, and Her Majesty the Queen in Right of the Province of British Columbia, defendant (Vancouver Registry No. S005324) And between G.G., plaintiff, and Her Majesty the Queen in Right of the Province of British Columbia, defendant (Vancouver Registry No. S013712) And between R.H., plaintiff, and Her Majesty the Queen in Right of the Province of British Columbia, defendant (Vancouver Registry No. S004768) And between L.O., plaintiff, and Her Majesty the Queen in Right of the Province of British Columbia, defendant (Vancouver Registry No. S005845) And between R.C.S., plaintiff, and Her Majesty the Queen in Right of the Province of British Columbia, defendant (Vancouver Registry No. S006656) And between J.T. also known as R.B.T., plaintiff, and Her Majesty the Queen in Right of the Province of British Columbia, defendant (Vancouver Registry No. S013688)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7" w:name="Keywords_24"/>
      <w:bookmarkEnd w:id="207"/>
      <w:r>
        <w:rPr>
          <w:rFonts w:ascii="arial" w:eastAsia="arial" w:hAnsi="arial" w:cs="arial"/>
          <w:b/>
          <w:color w:val="000000"/>
          <w:sz w:val="20"/>
          <w:lang w:val="en-US" w:eastAsia="en-US" w:bidi="ar-SA"/>
        </w:rPr>
        <w:t>Torts — Trespass — Assault and battery — Assault — Sexual assault — Burden of proof — Evidence — Witnesses, corroboration — Similar fact evidence as corroboration — Limitation of actions — Persons under disability and exemptions and exclusions — Infants — Application of limitation periods — Suspension of time — Discoverability.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8" w:name="Case Summary_23"/>
            <w:bookmarkEnd w:id="2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11 plaintiffs against the Provincial Crown for damages. The plaintiffs were incarcerated as children at different times at a provincial training school between 1955 and 1972. The school was established for the treatment of boys who were in trouble with the law. The plaintiffs alleged that they were subjected to physical and sexual abuse by staff members and other inmate boys. Nearly all of the accused staff members were long deceased. Much of the school's records and personnel files were destroyed after the school closed in 1977. Many of the plaintiffs suffered from serious psychological conditions. Some had intermittent productive but scarred lives. Many of them had problems with substance abuse and were currently serving lengthy prison sentences for crimes such as armed robbery and murder committed in attempts to fund their addiction. All alleged that they were damaged by their experiences in the school. The plaintiffs' claim was supported by similar fact evidence of other inmates at the school. The disclosures of abuse from these other witnesses came after a 1994 newspaper article about the school. The Crown raised defences under the Limitation Act and questioned the veracity of the sexual abuse allegations. The Crown called all available former staff members who were colleagues of the deceased staff members who were named as perpetrators. Family members of these individuals also testified about their character and behaviourial traits, giving versions that were diametrically different than the portraits provided by the plaintiffs.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9" w:name="Holdings of Court_20"/>
            <w:bookmarkEnd w:id="20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case involved sexual, physical and combined sexual and physical assaults. The plaintiffs' causes of action for sexual assaults that occurred before 1974 were postponed by the common law discoverability rule. None of the sexual assault claims were statute barred by operation of either the Limitation Act or the Crown Proceeding Act. However, the claims for physical assault were statute barred. In the case where plaintiffs sustained combined sexual and physical assaults, the court would not make fine distinctions between the two. The combined claims were therefore not time barred. The plaintiffs had to prove their case on a balance of probabilities. The allegations of sexual abuse were subject to a heightened evidentiary standard. The similar fact evidence was not admissible because the court was not satisfied, on a balance of probabilities, that it was not the product of collusion. The plaintiffs and the witnesses who provided similar fact evidence were in constant contact with each other. There was a potential for financial gain. Many of the plaintiffs had the same counsellor. The court found that the plaintiffs were not credible. Their evidence was either grossly exaggerated, questionable, full of contradictions or too bizarre to be capable of belief. Some of the plaintiffs suffered from anti-social personality disorders and were manipulative and deceitful.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0" w:name="Legislation Cited_13"/>
      <w:bookmarkEnd w:id="2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0"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Proceedings Act, S.B.C. 1974, c. 24, s. 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Proceedings Act, </w:t>
      </w:r>
      <w:r>
        <w:rPr>
          <w:rFonts w:ascii="arial" w:eastAsia="arial" w:hAnsi="arial" w:cs="arial"/>
          <w:i/>
          <w:color w:val="000000"/>
          <w:sz w:val="20"/>
          <w:lang w:val="en-US" w:eastAsia="en-US" w:bidi="ar-SA"/>
        </w:rPr>
        <w:t>R.S.B.C. 1996, c. 89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ss. 3(2), 3(2)(a), 3(4), 3(4)(k), 3(4)(l), 6, 6(4), 6(5), 8, 8(1), 8(2), 14, 14(2).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1" w:name="Counsel_36"/>
      <w:bookmarkEnd w:id="2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Ellis and B.J. Yates, Q.C., for the plaintiffs. W.A. Pearce, Q.C. and J.M. Young,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2" w:name="Judgment_36"/>
      <w:bookmarkEnd w:id="212"/>
      <w:r>
        <w:pict>
          <v:line id="_x0000_s1182" style="position:absolute;z-index:2518353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3" w:name="WONG J."/>
            <w:bookmarkEnd w:id="213"/>
            <w:r>
              <w:rPr>
                <w:rFonts w:ascii="arial" w:eastAsia="arial" w:hAnsi="arial" w:cs="arial"/>
                <w:b/>
                <w:color w:val="000000"/>
                <w:sz w:val="30"/>
                <w:lang w:val="en-US" w:eastAsia="en-US" w:bidi="ar-SA"/>
              </w:rPr>
              <w:t>WONG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Heading</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778"/>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INTRODUCTION</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1 - 9</w:t>
            </w:r>
          </w:p>
        </w:tc>
        <w:tc>
          <w:tcPr>
            <w:tcW w:w="512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987"/>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BACKGROUND</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10 - 22</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882"/>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LIMITATION ISSUES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23 - 66</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928"/>
        <w:gridCol w:w="1359"/>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Summary of Plaintiffs'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67 - 112</w:t>
            </w:r>
          </w:p>
        </w:tc>
        <w:tc>
          <w:tcPr>
            <w:tcW w:w="47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Allegations: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137"/>
        <w:gridCol w:w="1255"/>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Similar Fact Witnesses: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113 - 159</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2927"/>
        <w:gridCol w:w="1464"/>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Credibility Analysis: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160 - 373</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156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CONCLUDING OBSERVATIONS: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374 - 389</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778"/>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CONCLUSION:</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390</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"You can...never foretell what any one man will do, but you can say with precision what an average number will be up to. Individuals vary, but percentages remain constant". -Sherlock Holmes from The Sign of Four, 1890, by Sir Arthur Conan Doyle.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was a 101 day civil trial involving 11 plaintiffs who were incarcerated as children at different times at the Provincial Brannan Lake Training School near Nanaimo between the years 1955 and 1972. The plaintiffs allege they were subjected to historical physical and sexual abuse by staff members and other inmate boys. Many of the allegations described are shocking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Prior to this trial, no criminal proceedings were ever commenced and nearly all the staff members now accused are long deceased. As the institution closed as a training school in 1977, much of the school's records and personnel files were later destroyed; some were preserved in the Provincial archives and made available to counsel for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Many of the plaintiffs suffer from serious psychological conditions. Some have had intermittent productive, but scarred lives. Many of them have problems with substance abuse, particularly heroin addiction, and are serving lengthy prison sentences for crimes such as armed robbery and murder committed in attempts to fund their addiction. All allege that they were damaged by their experiences at Brannan Lake School, a contributing factor to their later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support of their claims, the plaintiffs raise the following causes of action against the defendant Provincial Crown:</w:t>
      </w:r>
      <w:r>
        <w:rPr>
          <w:rFonts w:ascii="arial" w:eastAsia="arial" w:hAnsi="arial" w:cs="arial"/>
          <w:sz w:val="20"/>
          <w:lang w:val="en-US" w:eastAsia="en-US" w:bidi="ar-SA"/>
        </w:rPr>
        <w:cr/>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Employer vicarious liability for staff physical and sexual abuse;</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supervision and care of the plaintiffs from the alleged assaults, including those from other inmates;</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statutory non-delegable duty of care for the safety of the children at Brannan Lake School;</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Crown fiduciary duty of care for the children at Brannan Lake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support of their physical and sexual allegations, plaintiffs' counsel called 20 "similar fact" witnesses who were other inmates at Brannan Lake School - potential litigants with similar future claims - to support the credibility of the plaintiffs'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Crown raised defences under the Limitation Act pertaining to physical assaults and vigorously questioned the veracity and reliability of the plaintiffs' sexual allegations. Ultimately the real issue in this trial were the factual aspects of the plaintiffs' complaints: did it happen and was it established to a degree of proof commensurate to the seriousness of their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Part way through the trial the plaintiff, L.D., for health concerns, sought discontinuance of his action under Supreme Court Rule 36(2). After I gave consideration to factors of just cause and due regard for the rights and interests of the other parties to this action, his application was disallowed and his cause of action was dismissed on February 13,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To counter the plaintiffs' allegations, the defendant Crown called all available former Brannan Lake School staff members who were colleagues of the deceased staff members named as perpetrators by the plaintiffs. They gave evidence of a contrary version regarding the operational atmosphere at Brannan Lake School and their perception of the character, integrity and ability of the deceased staff members. In addition, family members, such as spouses and children of the deceased staff members, gave evidence as to the character and behavioural traits of their respective spouses and parents named as perpetrators which were diametrically different to the actions alleged by the plaintiffs. The evidence difference was problematic and difficult to reconcile. At times it was also emotionally troubling for the witnesses to give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Ultimately I concluded these plaintiffs did not sufficiently establish their allegations of sexual abuse. Allegations of unrelated physical abuse by others were in the main time barred at law because of the Limitations Act. The following are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Brannan Lake is indeed beautiful. In the early 1950's, the Government of British Columbia acquired an idyllic rural property on its shores and built a facility for the treatment of boys in trouble with the law. It had classrooms, a gymnasium, a swimming pool and hobby rooms. The children were to be housed in cottages under the supervision of caretakers (variously called child care counsellors, group leaders, house matrons, house parents and supervisors) in a parental atmosphere.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cottages actually were dormitory wings of a barracks-like building. They are currently used to house adult inmates as the Nanaimo Mid-Island Correctional Centre. The institution initially was over crowded and always housed far more inmates than it was designed to serve. At the time the school was opened, a child could be declared a juvenile delinquent not only for criminal offences but also for chronic truancy, running away from home or being unmanageable by his parents. Until the legislation was changed in 1969, the school had to receive any child sent there by the Juvenile Courts, who might also be violent, mentally ill and a risk to the other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and their witnesses testified that while there were employees who cared for the children in a caring and responsible manner, they said many of the caretakers were brutal men who abused the children physically and sexually. They said the abusers were not exclusively male. They claimed a number of the house matrons sexually abused the children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was alleged that the level of supervision was such that children were left at the mercy of other older inmates who physically and sexually abused them, often at the urging of or with the tacit consent and knowledge of the supervising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other hand there was also evidence to the contrary that the boys were exposed to a highly regimented paramilitary like atmosphere and were generally closely watched so as to prevent escapes from the institution or bullying by older boys. I think on the whole the boys were adequately supervised but there were clearly escapes and instances of bullying, as the child care counsellors on duty could not watch everyone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Until the late l960s, the school featured corporal punishment and segregation by solitary confinement. Punishment ranged from extra duty, loss of privileges, strapping on bare buttocks, to periods of solitary confinement in small concrete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at Brannan Lake School, the boys were isolated from the community and their families. Those who had caring families who could afford it were permitted some week-end family visits. There were limitations on correspondence and telephone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treatment of the boys incarcerated there changed over time. The early boot camp atmosphere gradually changed in the late 1960s from limited formal education and trade training opportunities to more available options. More teachers, social workers and counsellors were added to the staff. The intended rehabilitation goal of the school shifted from the original strict no-nonsense discipline model to that of social work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solitary cell doors were removed; use of solitary confinement and corporal punishment became more restricted. Man handling and striking of boys, except in self-defence, by staff members became grounds for summary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Over the years the school had its critics. The occupations of those raising concerns about the treatment of boys at Brannan Lake School ranged from social worker, radio commentator, Provincial Court Judge, to the leader of the Official Opposition. Overcrowding and lack of care resources were the chief complaints. The school was perceived to be a warehouse for "disposable kids". The school's director in the late 1960s and early 1970s, despite making vast improvements to the school, spent a great deal of time dealing with continued negative perception of the school in the local communities.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the trial I heard from many former Brannan Lake school boys, now late middle aged, describe their experiences at the school. It varied from some as being an intimidating and unpleasant stay, others just being home sick and uneventful, and for some others, a positive, cared-for experience they never previously enjoyed.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Physical bullying was a common feature described, but the degree and how the boys coped with it varied. Some could not handle it and no doubt were exploited. Others obtained help and protection from other or older boys. Some smaller and younger boys banded together as a group and retaliated against the bullies.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plaintiffs submit that the Crown should be held vicariously liable for the sexual assaults of the boys at Brannan Lake. They have also claimed directly against the Crown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failure to exercise reasonable care in the selection and supervision of the staff at Brannan Lake. Counsel for the plaintiffs concedes that the principles of non-delegable duty have been held not to apply in cases of sexual abuse of children: see E.B. v. Order of Oblates et al </w:t>
      </w:r>
      <w:hyperlink r:id="rId899" w:history="1">
        <w:r>
          <w:rPr>
            <w:rFonts w:ascii="arial" w:eastAsia="arial" w:hAnsi="arial" w:cs="arial"/>
            <w:i/>
            <w:color w:val="0077CC"/>
            <w:sz w:val="20"/>
            <w:u w:val="single"/>
            <w:shd w:val="clear" w:color="auto" w:fill="FFFFFF"/>
            <w:lang w:val="en-US" w:eastAsia="en-US" w:bidi="ar-SA"/>
          </w:rPr>
          <w:t>(2003), 14 B.C.L.R. (4th) 99</w:t>
        </w:r>
      </w:hyperlink>
      <w:r>
        <w:rPr>
          <w:rFonts w:ascii="arial" w:eastAsia="arial" w:hAnsi="arial" w:cs="arial"/>
          <w:color w:val="000000"/>
          <w:sz w:val="20"/>
          <w:lang w:val="en-US" w:eastAsia="en-US" w:bidi="ar-SA"/>
        </w:rPr>
        <w:t xml:space="preserve"> (C.A.) and G.(E.D.) v. Hammer </w:t>
      </w:r>
      <w:hyperlink r:id="rId900" w:history="1">
        <w:r>
          <w:rPr>
            <w:rFonts w:ascii="arial" w:eastAsia="arial" w:hAnsi="arial" w:cs="arial"/>
            <w:i/>
            <w:color w:val="0077CC"/>
            <w:sz w:val="20"/>
            <w:u w:val="single"/>
            <w:shd w:val="clear" w:color="auto" w:fill="FFFFFF"/>
            <w:lang w:val="en-US" w:eastAsia="en-US" w:bidi="ar-SA"/>
          </w:rPr>
          <w:t>(1998), 53 B.C.L.R. (3d) 89</w:t>
        </w:r>
      </w:hyperlink>
      <w:r>
        <w:rPr>
          <w:rFonts w:ascii="arial" w:eastAsia="arial" w:hAnsi="arial" w:cs="arial"/>
          <w:color w:val="000000"/>
          <w:sz w:val="20"/>
          <w:lang w:val="en-US" w:eastAsia="en-US" w:bidi="ar-SA"/>
        </w:rPr>
        <w:t xml:space="preserve"> (S.C.). Counsel for the plaintiffs, Ms. Ellis, also concedes that the law of fiduciary relations has been held not to be engaged in cases where, without dishonesty or intentional disloyalty, harm is done to persons in the legal care of the Crown: See A.(C.) v. C.(J.W.) </w:t>
      </w:r>
      <w:hyperlink r:id="rId840"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(C.A.). These propositions of law were recently affirmed by the Supreme Court of Canada in the cases of K.L.B. v. British Columbia, </w:t>
      </w:r>
      <w:hyperlink r:id="rId838"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 xml:space="preserve">; M.B. v. British Columbia, </w:t>
      </w:r>
      <w:hyperlink r:id="rId409"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and E.D.G. v. Hammer, </w:t>
      </w:r>
      <w:hyperlink r:id="rId844"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are three categories of assault at issue in this case: sexual, physical, and combined physical and sexual assault. I will address each one in turn. I turn first to the issue of whether the plaintiffs' claims of sexual assault are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Section 8 of the Limitation Act, </w:t>
      </w:r>
      <w:hyperlink r:id="rId7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"Limitation Act") provides for an ultimate limitation period of 30 years. This time is postponed until the plaintiff reaches the age of majority. The relevant portions provide as follows: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3 (4) and subsection (2) of this section but despite a confirmation made under section 5, a postponement or suspension of the running of time under section 6 or 11 (2) or a postponement or suspension of the running of time under section 7 in respect of a person who is not a minor, no action to which this Act applies may be brought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other case, after the expiration of 30 years from the date on which the right to do so arose.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7 (6), the running of time with respect to the limitation periods set by subsection (1) for an action referred to in subsection (1) is postponed and time does not begin to run against a plaintiff until the plaintiff reaches the age of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Section 8 is subject to s. 3(4) which provides that certain actions "are not governed by a limitation period and may be brought at any time". The relevant actions included in s. 3(4) are: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 cause of action based on misconduct of a sexual nature, including, without limitation, sexual assault,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misconduct occurred while the person was a minor, and</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person's right to bring the action was at any time governed by a limitation period;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 cause of action based on sexual assault, whether or not the person's right to bring the action was at any time governed by a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Thus the ultimate limitation period of 30 years does not apply to sexual assault as it falls under s. 3(4) of the Limitation Act, and this section is specifically excluded from s. 8. Section 3(4) (k) and (l) operate retrospectively, such that previously extinguished causes of action can be revived: see P.(J.) v. Sinclair </w:t>
      </w:r>
      <w:hyperlink r:id="rId901" w:history="1">
        <w:r>
          <w:rPr>
            <w:rFonts w:ascii="arial" w:eastAsia="arial" w:hAnsi="arial" w:cs="arial"/>
            <w:i/>
            <w:color w:val="0077CC"/>
            <w:sz w:val="20"/>
            <w:u w:val="single"/>
            <w:shd w:val="clear" w:color="auto" w:fill="FFFFFF"/>
            <w:lang w:val="en-US" w:eastAsia="en-US" w:bidi="ar-SA"/>
          </w:rPr>
          <w:t>(1997), 37 B.C.L.R. (3d) 366</w:t>
        </w:r>
      </w:hyperlink>
      <w:r>
        <w:rPr>
          <w:rFonts w:ascii="arial" w:eastAsia="arial" w:hAnsi="arial" w:cs="arial"/>
          <w:color w:val="000000"/>
          <w:sz w:val="20"/>
          <w:lang w:val="en-US" w:eastAsia="en-US" w:bidi="ar-SA"/>
        </w:rPr>
        <w:t xml:space="preserve"> (C.A.) at para. 13. Further, the application of s. 3(4)(k) and (l) is not limited to claims against the actual perpetrator; it is broad enough to encompass claims of vicarious liability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all persons whose acts or omissions contributed to the damage suffered as a result of the misconduct: Sinclair,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claims are based on assaults that occurred before the enactment of the current Limitation Act. Section 14 of the Limitation Act is the transitional provision. It reads, in part: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(1) and (3), this Act applies to actions that arose before July 1,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virtue of these sections, the plaintiffs' claims of sexual assault are not statute barred by operation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next issue is whether the Crown can be liable for a tort alleged to have been committed before the Crown Proceedings Act, S.B.C. 1974, c. 24 (the "1974 Act") came into effect. Section 2(c) of the 1974 Act abolished the immunity from suit that the Crown enjoyed prior to its enactment.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This issue was discussed by Kirkpatrick J. in Arishenkoff v. British Columbia </w:t>
      </w:r>
      <w:hyperlink r:id="rId902" w:history="1">
        <w:r>
          <w:rPr>
            <w:rFonts w:ascii="arial" w:eastAsia="arial" w:hAnsi="arial" w:cs="arial"/>
            <w:i/>
            <w:color w:val="0077CC"/>
            <w:sz w:val="20"/>
            <w:u w:val="single"/>
            <w:shd w:val="clear" w:color="auto" w:fill="FFFFFF"/>
            <w:lang w:val="en-US" w:eastAsia="en-US" w:bidi="ar-SA"/>
          </w:rPr>
          <w:t>(2002), 4 B.C.L.R. (4th) 58</w:t>
        </w:r>
      </w:hyperlink>
      <w:r>
        <w:rPr>
          <w:rFonts w:ascii="arial" w:eastAsia="arial" w:hAnsi="arial" w:cs="arial"/>
          <w:color w:val="000000"/>
          <w:sz w:val="20"/>
          <w:lang w:val="en-US" w:eastAsia="en-US" w:bidi="ar-SA"/>
        </w:rPr>
        <w:t xml:space="preserve"> (S.C.). In this case, a group of Doukhobors who had been apprehended in New Denver, B.C. in the 1950's brought an action against the Crown. On a summary judgment application, the Crown raised limitation and immunity defences. At para. 20 Kirkpatrick J. determined that Crown immunity is preserved: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the language in the 1974 Act and the 1979 Act evidences an intention to preserve Crown immunity for causes of action that arose prior to August 1, 1974. There is certainly no express language or reason to imply retrospective operation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She also found in relation to the Crown Proceeding Act, </w:t>
      </w:r>
      <w:r>
        <w:rPr>
          <w:rFonts w:ascii="arial" w:eastAsia="arial" w:hAnsi="arial" w:cs="arial"/>
          <w:i/>
          <w:color w:val="000000"/>
          <w:sz w:val="20"/>
          <w:lang w:val="en-US" w:eastAsia="en-US" w:bidi="ar-SA"/>
        </w:rPr>
        <w:t>R.S.B.C. 1996, c. 89</w:t>
      </w:r>
      <w:r>
        <w:rPr>
          <w:rFonts w:ascii="arial" w:eastAsia="arial" w:hAnsi="arial" w:cs="arial"/>
          <w:color w:val="000000"/>
          <w:sz w:val="20"/>
          <w:lang w:val="en-US" w:eastAsia="en-US" w:bidi="ar-SA"/>
        </w:rPr>
        <w:t>, there is no language or reason to imply retrospective operation. Thus, the Crown still enjoys immunity from suit for wrongs that occurred prior to August 1,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question remained in Arishenkoff whether the common law discoverability principles might apply to allow for Crown liability for torts committed prior to August 1, 1974. Kirkpatrick J., following the line of cases from our Court of Appeal and the Supreme Court of Canada, found that the discoverability principles did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Kirkpatrick J. applied B.(K.L.) v. British Columbia </w:t>
      </w:r>
      <w:hyperlink r:id="rId903" w:history="1">
        <w:r>
          <w:rPr>
            <w:rFonts w:ascii="arial" w:eastAsia="arial" w:hAnsi="arial" w:cs="arial"/>
            <w:i/>
            <w:color w:val="0077CC"/>
            <w:sz w:val="20"/>
            <w:u w:val="single"/>
            <w:shd w:val="clear" w:color="auto" w:fill="FFFFFF"/>
            <w:lang w:val="en-US" w:eastAsia="en-US" w:bidi="ar-SA"/>
          </w:rPr>
          <w:t>(1999), 64 B.C.L.R. (3d) 23</w:t>
        </w:r>
      </w:hyperlink>
      <w:r>
        <w:rPr>
          <w:rFonts w:ascii="arial" w:eastAsia="arial" w:hAnsi="arial" w:cs="arial"/>
          <w:color w:val="000000"/>
          <w:sz w:val="20"/>
          <w:lang w:val="en-US" w:eastAsia="en-US" w:bidi="ar-SA"/>
        </w:rPr>
        <w:t xml:space="preserve"> (C.A.). In this case, the Court of Appeal found that the plaintiffs' cause of action should be determined on the basis of the discoverability rule introduced into Canadian law in Kamloops (City) v. Nielsen, </w:t>
      </w:r>
      <w:hyperlink r:id="rId904"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Esson J.A. explained the essence of the rule at para. 18: "the limitation period starts to run on the date on which the plaintiff actually discovers, or with reasonable diligence should have discovered, the damage". He referred to M.(K.) v. M.(H.), </w:t>
      </w:r>
      <w:hyperlink r:id="rId842"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where the court found that the discoverability principle should be applied generally to cases of abuse against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Esson J.A. noted at para. 23 that the common law discoverability rule has been broadened by the Supreme Court of Canada in cases of abuse against children: "The decision in M.(K.) v. M.(H.) may be seen as adding a new element to the discoverability rule". He referred to the conclusion La Forest J. reached in M.(K.) at para. 30 of that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only sensible application of the discoverability rule in a case such as this is one that establishes a prerequisite that the plaintiff have a substantial awareness of the harm and its likely cause before the limitations period begins to toll. It is at the moment when the incest victim discovers the connection between the harm she has suffered and her childhood history that her cause of action crystallizes.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Thus, the discoverability rule can be applied to postpone the accrual of a cause of action in cases of sexual abuse of children. It postpones the date of accrual not only past the date on which all the elements of the cause of action are present, but even to a time after all the elements are known. The date is postponed until the moment when the victim of abuse recognizes the connection between the harm suffered and the childhood history of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Madam Justice Kirkpatrick stated at para. 31: "B.(K.L.) (1999) has made it clear that the state of the plaintiff's knowledge is relevant to the accrual of the tort for the purposes of determining whether there is Crown immunity". She found that it was clear from the foregoing that the Crown can be liable for a tort alleged to have been committed before the Crown Proceedings Act came into force. There is no violation of the retrospectivity principle because the accrual of the cause of action is delayed until a date after August 1,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this case, the Crown submits three arguments why it is not liable for any wrongs alleged to have been committed before the Crown Proceedings Act came into force. First, the Crown submits that the Court of Appeal in B.(K.L.) was incorrect in concluding that prior to August 1st, 1974 the Crown was capable of committing a wrong. Second, the Crown submits that the Court of Appeal was incorrect in deciding that the application of the 1974 Act to tortious conduct occurring prior to August 1st, 1974 giving rise to a cause of action accruing after that date by operation of common law discoverability principles, did not offend the presumption against retrospectivity. Counsel for the defendant nevertheless agrees that this court is bound to follow B.(K.L.).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Crown's third position is that the evidence in this case does not support postponement of the causes of action by operation of the common law discoverability principles. The Crown says that the causes of action accrued because all of the material facts were known to the plaintiffs. Mr. Pearce on behalf of the Crown, submits that the plaintiffs knew the perpetrators at the time; knew what had occurred was sexual misconduct; knew the emotional effect of the abuse; and knew that harm had been inflicted.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all of the plaintiffs' causes of action for sexual assaults that occurred before 1974 are postponed by operation of common law discoverability principles. As Ms. Ellis submits, the dynamics of alleged childhood sexual assault are unique, and I agree that it would take a long time for the plaintiffs in this case to unravel their experiences and get to a point where they could disclose them. The plaintiffs, all young boys or adolescents when they left Brannan Lake, were not likely in a position to have an immediate substantial awareness of the harm they suffered and its likely cause. The plaintiffs may have known that they were sexually abused, but were not in a position to discover the connection between the harm they suffered and their childhood history until many years after the abuse occurred. For the most part, it was probably not until the plaintiffs received later counselling or were in relationships with partners who required them to address their past, that they were able to look for and discover the connection between the childhood history and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find that none of the plaintiffs' claims for sexual assault are statute barred by operation of either the Limitation Act or the Crown Proceeding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Physical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Section 3(2) of the Limitation Act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2 years after the date on which the right to do so arose a person may not bring any of the following actions:</w:t>
      </w:r>
    </w:p>
    <w:p>
      <w:pPr>
        <w:numPr>
          <w:numId w:val="1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4(k), for damages in respect of injury to person or property, including economic loss arising from the injury, whether based on contract, tort or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mentioned, s. 8 of the Limitation Act mandates an "ultimate" 30 year limitation period. Unlike an action for damages for sexual assault, an action for damages in respect of personal injury is not exempt from this provision. This 30 year limitation is, however, subject to postponement until the plaintiff reaches the age of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Section 6 of the Limitation Act provides that for certain causes of action, including personal injury, time does not begin to run against a plaintiff until the elements of the cause of action are known to the plaintiff, a reasonable person would regard those facts as showing that an action on the cause would have a reasonable prospect of success, and the plaintiff's personal circumstances permit the bringing of an action. This postponement section is essentially a statutory discoverability equivalent.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However, time runs under s. 8 notwithstanding "...a postponement or suspension of the running of time under s. 6...." Thus, as explained in B.(K.L.) 2001, supra by Mackenzie J.A. at para. 39, "the statutory discoverability test is excluded from consideration in determining the date the 'right arose' to commence the action". The issue that has arisen is whether the common law discoverability principles are also excluded from consideration in determining when the "right arose" to commence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Arishenkoff, Kirkpatrick J. confirmed that the common law rule of discoverability has no application to the British Columbia Limitation Act. This conclusion stemmed from two earlier Court of Appeal decisions of Mr. Justice Esson: see Bera v. Marr </w:t>
      </w:r>
      <w:hyperlink r:id="rId694" w:history="1">
        <w:r>
          <w:rPr>
            <w:rFonts w:ascii="arial" w:eastAsia="arial" w:hAnsi="arial" w:cs="arial"/>
            <w:i/>
            <w:color w:val="0077CC"/>
            <w:sz w:val="20"/>
            <w:u w:val="single"/>
            <w:shd w:val="clear" w:color="auto" w:fill="FFFFFF"/>
            <w:lang w:val="en-US" w:eastAsia="en-US" w:bidi="ar-SA"/>
          </w:rPr>
          <w:t>(1986), 1 B.C.L.R. (2d) 1</w:t>
        </w:r>
      </w:hyperlink>
      <w:r>
        <w:rPr>
          <w:rFonts w:ascii="arial" w:eastAsia="arial" w:hAnsi="arial" w:cs="arial"/>
          <w:color w:val="000000"/>
          <w:sz w:val="20"/>
          <w:lang w:val="en-US" w:eastAsia="en-US" w:bidi="ar-SA"/>
        </w:rPr>
        <w:t xml:space="preserve"> (C.A.) and B. (K.L.) 1999, supra. The possibility of the 30 year ultimate limitation being superseded by the common law discoverability rule has thus been precluded. The common law rule only operates outside the ambit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Thus, the determination of when the "right arose" pursuant to s. 8 is made without consideration of discoverability principles. The date of accrual is the date of damage or injury. Time runs from that date whether the injury is known or unknown. Once the date of injury is determined, there may be a postponement by virtue of s. 6. The ultimate limitation period, however, will never be more than 30 years after the age of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Arishenkoff, Kirkpatrick J. found that the false imprisonment was complete in 1956. Under the Statute of Limitations, R.S.B.C. 1948, c. 191, (the "Statute of Limitations") a cause of action for "imprisonment" would have been extinguished, at the latest, 4 years after the plaintiff reached 21 years of age in 1969. Section 14, the transitional provision of the Limitation Act, provides that "Nothing in this Act revives any cause of action that is statute barred on July 1, 1975". In para. 49, Kirkpatrick J. stated that s. 14 "clearly evidences the legislature's intention that the statute is to apply to all causes of action whenever they arose but that it will not revive a cause of action that was statute-barred before July 1, 1975". She therefore found the plaintiff's claim was statute-barred by virtue of the transitional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Kirkpatrick J. said that if she was wrong on the transitional provisions, s. 8 coupled with s. 6, assuming the postponement provisions were found to apply, might have permitted a suit to be brought in the case of Arishenkoff, as late as 1995. The writ was not filed until 2001 and was accordingly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this case, the date of accrual for all physical assaults was the date of injury. Applying the analysis from Arishenkoff to the plaintiffs here, they had four years after reaching the age of majority to bring their cause of action for "assault", pursuant to s. 3 of the Statute of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Accordingly, the claims of physical assault of R.A., A.G., G.G., R.H., R.P., R.S., I.S. and J.T. were all statute barred by 1975. B.G. and L.O. both reached the age of majority in 1974. Accordingly, their claims were not statute barred by 1975. The viability of their claims will turn on the s. 6 postponement issue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in Arishenkoff, if the transitional provision analysis is wrong, and the s. 6 postponement provisions are found to apply, the absolute latest time that all of the plaintiffs had a viable cause of action was 30 years after they reached the age of majority. The following plaintiffs' claims of physical assault were all filed more than 30 years after they reached the age of majority: R.A., G.G., R.H., R.P., R.S. and J.T.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following plaintiffs' claims of physical assault were filed less than 30 years after they reached the age of majority: A.G., B.G., L.O. and I.S. In case I am wrong on the transitional provision analysis, I will consider the s. 6 analysis in relation to all four of these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B.(K.L.) 2001, where the children for the most part had been physically and not sexually abused, the trial judge accepted the opinion of a psychologist that "none of these siblings has a substantial or thorough understanding of the psychological connection between the past abuse and their current maladjustment" (para. 45). She therefore found that the accrual of the cause of action was postponed pursuant to s.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appeal, Mackenzie J.A. found at para. 46 that "the trial judge adopted too stringent an application of ss. 6(4) and (5) in reaching that conclusion". He found that the only element not fully appreciated was the extent of the psychological harm resulting from the abuse. He said at para. 47: "...[T]he plaintiffs had the knowledge that they had sustained harm that was sufficiently serious to be actionable. In my opinion, that threshold knowledge was sufficient for a reasonable person to have been able to bring an action and time commenced to run". This decision, as mentioned previously, was recently affirmed by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Ellis submits that the plaintiffs were not able to recognize the connection between the physical assaults and the harm suffered until recently. She says the records indicate that the plaintiffs never disclosed anything about Brannan Lake; they blocked out the whole experience of Brannan Lake. She submits they tried not think about it because the whole thing was coloured by violence and a complete lack of control. Therefore, the plaintiffs were not in a position to even consider the impact of the physical assaults let alone the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the law now stands, the s. 6 analysis should not be applied too stringently. In my view, the plaintiffs in this case had the knowledge that they had sustained harm from the physical assaults when they occurred or shortly thereafter. As in B.(K.L.) 2001, the only element they did not appreciate was the extent of the harm. I find the plaintiffs had the threshold knowledge sufficient for a reasonable person to have been able to bring an action and time commenced to run. Accordingly, the claims for physical assault are all time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Combined Physical and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cases of combined physical and sexual abuse caused by the same defendant, s. 3(4) (k) and (l) should be interpreted sufficiently broadly to exclude, from an otherwise applicable limitation, claims for physical abuse: See V.(J.L.) v. H.(P.) </w:t>
      </w:r>
      <w:hyperlink r:id="rId905" w:history="1">
        <w:r>
          <w:rPr>
            <w:rFonts w:ascii="arial" w:eastAsia="arial" w:hAnsi="arial" w:cs="arial"/>
            <w:i/>
            <w:color w:val="0077CC"/>
            <w:sz w:val="20"/>
            <w:u w:val="single"/>
            <w:shd w:val="clear" w:color="auto" w:fill="FFFFFF"/>
            <w:lang w:val="en-US" w:eastAsia="en-US" w:bidi="ar-SA"/>
          </w:rPr>
          <w:t>(1997), 31 B.C.L.R. (3d) 155</w:t>
        </w:r>
      </w:hyperlink>
      <w:r>
        <w:rPr>
          <w:rFonts w:ascii="arial" w:eastAsia="arial" w:hAnsi="arial" w:cs="arial"/>
          <w:color w:val="000000"/>
          <w:sz w:val="20"/>
          <w:lang w:val="en-US" w:eastAsia="en-US" w:bidi="ar-SA"/>
        </w:rPr>
        <w:t xml:space="preserve"> (S.C.); aff'd </w:t>
      </w:r>
      <w:hyperlink r:id="rId906" w:history="1">
        <w:r>
          <w:rPr>
            <w:rFonts w:ascii="arial" w:eastAsia="arial" w:hAnsi="arial" w:cs="arial"/>
            <w:i/>
            <w:color w:val="0077CC"/>
            <w:sz w:val="20"/>
            <w:u w:val="single"/>
            <w:shd w:val="clear" w:color="auto" w:fill="FFFFFF"/>
            <w:lang w:val="en-US" w:eastAsia="en-US" w:bidi="ar-SA"/>
          </w:rPr>
          <w:t>(1998), 109 B.C.A.C. 165</w:t>
        </w:r>
      </w:hyperlink>
      <w:r>
        <w:rPr>
          <w:rFonts w:ascii="arial" w:eastAsia="arial" w:hAnsi="arial" w:cs="arial"/>
          <w:color w:val="000000"/>
          <w:sz w:val="20"/>
          <w:lang w:val="en-US" w:eastAsia="en-US" w:bidi="ar-SA"/>
        </w:rPr>
        <w:t>. It is clear that the court should not attempt to draw too fine a distinction between physical and sexual assaults that were committed by the same perpetrator.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V.(J.L.) the plaintiff had suffered both sexual and physical abuse by her step-father. Madam Justice Stromberg-Stein found at para. 133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victim of both childhood physical and sexual abuse should be in no different position from a victim of childhood sexual abuse alone by having their physical abuse action potentially limited by time... Based on the similarity of bringing actions for damages resulting from childhood sexual abuse alone and those resulting from both physical and sexual abuse, the scope of [s. 3(4)(k) and (l)] should be broad enough to encompass a claim for physical abuse which is suffered as a child at the hands of the same defendant against whom the sexual abuse is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K.L.B. 2001, Mackenzie J.A. stated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case stands for the proposition that in cases of combined sexual and physical abuse caused by the same defendant the court should give a generous ambit to [s. 3(4)(k) and (l)]. There is no obligation to attempt to make fine distinctions between the two categories for limitation purposes in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Therefore, where the plaintiffs in this case sustained both physical and sexual abuse by an individual perpetrator, the court should not attempt to make fine distinctions between the two, and the claims for both assaults should be treated as exempt from the ultimate limitation period in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submit that the physical assaults perpetrated by the same defendants all formed part of a single experience. The physical assaults were a manifestation of the power and influence that the staff had over the boys. The plaintiffs say that the sexual abusers used the physical abuse as an integral part of the violent and coercive atmosphere in which the plaintiffs felt compelled to submit to the sexual assaults and, apart from a few exceptions, to refrain from disclosing any of the abusive behaviour. In other words, the physical assaults were integrally linked to the sexual assaults. I agree with that initial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that the following alleged physical and sexual assaults by individual perpetrators are sufficiently inter-related and are therefore not time barred: the alleged physical and sexual assaults upon Ms. J.T. by T., H. and S.; the alleged physical and sexual assaults upon Mr. R.S. by Mr. Lawson; the alleged physical and sexual assaults upon Mr. R.P. by Mr. Lawson; the alleged physical and sexual assaults upon Mr. R.H. by Mr. Lawson and Mr. Twidale; the alleged physical and sexual assaults upon Mr. A.G. by Mr. Lawson; and the alleged physical and sexual assaults upon Mr. B.G. by Twidale's boys.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An issue arises, however, in relation to plaintiffs who have made claims of sexual and physical assaults against different defendants. The plaintiffs submit that the court should not make a fine distinction between these assaults. Ms. Ellis says s. 3(4) should be interpreted broadly where abuse was happening from more than one staff member. She submits the plaintiffs were not in a position to consider those physical assaults, because the sexual assaults enveloped the physical ones. Again, she submits that the physical assaults perpetrated by different defendants than the sexual assaults were virtually indistinguishable for the plaintiffs; they all formed part of a violent, coercive, fear-filled experience and the plaintiffs could not be expected to differentiate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However, in B.(R.A.R.) v. British Columbia, </w:t>
      </w:r>
      <w:hyperlink r:id="rId907" w:history="1">
        <w:r>
          <w:rPr>
            <w:rFonts w:ascii="arial" w:eastAsia="arial" w:hAnsi="arial" w:cs="arial"/>
            <w:i/>
            <w:color w:val="0077CC"/>
            <w:sz w:val="20"/>
            <w:u w:val="single"/>
            <w:shd w:val="clear" w:color="auto" w:fill="FFFFFF"/>
            <w:lang w:val="en-US" w:eastAsia="en-US" w:bidi="ar-SA"/>
          </w:rPr>
          <w:t>2001 BCSC 667</w:t>
        </w:r>
      </w:hyperlink>
      <w:r>
        <w:rPr>
          <w:rFonts w:ascii="arial" w:eastAsia="arial" w:hAnsi="arial" w:cs="arial"/>
          <w:color w:val="000000"/>
          <w:sz w:val="20"/>
          <w:lang w:val="en-US" w:eastAsia="en-US" w:bidi="ar-SA"/>
        </w:rPr>
        <w:t xml:space="preserve">, Stromberg-Stein J. distinguished V.(J.L.) on the basis that the physical and sexual assaults had been perpetrated by the same individual defendant, and in obiter did not extend the application of the principle to circumstances where different individuals were responsible for the sexual and non-sexual abuse in an institutional setting. The plaintiffs submit that B.(R.A.R.) is distinguishable on the basis that the Crown was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assaults, but was not found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view, this distinction is not persuasive. In B.(R.A.R.), the Crown was not held vicariously liable because the alleged assaults remained unproven, and there was insufficient evidence to identify the alleged perpetrators to determine whether the alleged torts occurred during the "scope of employment": see para. 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not prepared to extend the application of s. 3(4) to inter-related physical and sexual assaults where the assaults were not perpetrated by the same individual defendants. I am not prepared to say that the physical assaults were so inextricably linked to the sexual assaults perpetrated by different defendants that the plaintiffs could not have been reasonably expected to initiate proceedings for the former. Accordingly, I find the following claims are time barred: the claims of Mr. R.H. for the physical assaults by Twidale's boys; the claims by Mr. G.G. for the physical assaults by Twidale's boys, Pops Foster and Mr. Lawson; the claims of Mr. B.G. for the physical assaults by Mr. Twidale; and the claims by Ms. J.T. for the physical assaults by Employees 1 and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Turning now to the events themselves, the Crown submits that the central issue in this case is whether the alleged events happened. In short, the Crown says that the evidence of the plaintiffs as well as the similar fact witnesses is neither credible nor reliable and does not establish that the events complained of happened. Alternatively, the Crown says the evidence taken as a whole does not satisfy the higher threshold of proof required in cases of this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will set out in detail the specific allegations of the plaintiffs and similar fact witnesses, and then address whether the evidence satisfies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J.T. was born R.B.T., a transgender male, in Montreal on December 28, 1938. Meaning no disrespect to Ms. J.T., since she was male at the time of the alleged incidents I will use the masculine in this judgment. His family moved to British Columbia sometime shortly thereafter. After the break up of his parents, there were difficulties at home. J.T. arrived at Brannan Lake in March 1955, on the day the school opened, as a result of a charge relating to the theft of an automobile. He was admitted to the school for an indeterminate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J.T. makes a number of allegations of sexual and physical assault against both former staff and former 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J.T. alleges that very soon after he arrived at Brannan Lake he was raped and assaulted by a number of the other boys there. In particular, J.T. alleges that two groups of boys repeatedly assaulted him. He testified that T. and S. assaulted him in cottage 6 at night, and in the gym vestibule and swimming pool in the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second group of assaults was by a group led by H. and occurred in the evening in the gym vestibule and pool. He recalls being anally raped by one boy while being held down by another and having a sock stuffed in her mouth. He said he was told that if he reported the incidents to anyone the boys would beat him up and do it again. He said he was often made to masturbate one or more of the boys and perform fellatio. He claims these boys also beat him physically by kicking, punching him and twisting his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J.T. also alleges that T. and H. sexually assaulted and beat him in the security unit under the direction and supervision of two unnamed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addition to allegations of assault against fellow residents, J.T. claims that he was sexually assaulted by a young supervisor, Mr. Donnelly. J.T. testified that he had told Mr. Donnelly about the assaults by the other boys. He claims that he told him that he would help him and asked him to come back to his cottage the next night. Instead of helping him, J.T. alleges that he persuaded him to fondle his genitals and fellate him in the office of cottage 6. He says this happened several times, and on one such occasion S. observed him performing fellatio. J.T. said he was called into the Superintendent's office along with two other supervisors and questioned whether he had intercourse with Mr. Donnelly. He testified that he gave no answer to the question, but after that he never saw Mr. Donnelly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R.S. was born on May 25, 1943 in Vancouver. He was sent to Brannan Lake in November 1957 at the age of 14, following an incident where he and two other boys grabbed a woman's purse at a tram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R.S. alleges he was physically and sexually assaulted by Mr. Lawson in the segregation unit at Brannan Lake. He claims that while there, Mr. Lawson took him into the mattress room, fondled his genitals, performed fellatio, and hit him on the head with his wooden arm. He alleges he was sexually assaulted in this manner about seven times. R.S. testified that Mr. Lawson induced him to submit to the assaults by telling him that he would get out faster, and by offering him chocolate bars and cigarettes.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R.S. testified that he also observed inappropriate sexual behaviour by Mrs. Mack who he says permitted boys to observe her sitting and sewing while not wearing underwear.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R.P. was born on December 19, 1942. He was raised in North Battleford, Saskatchewan until the family moved to British Columbia in 1957. Soon after moving here, R.P. began getting involved with younger boys in what was known as the "Joyce Road gang". In 1959 R.P. stole a car, was apprehended and sentenced to Brannan Lake. He was admitted to the school on March 6, 1959.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R.P. alleges that when he was placed in segregation for smoking, Mr. Lawson sexually assaulted him. He claims that Mr. Lawson took him into the mattress room, examined his genitals and then began to fondle him. He kissed him on the stomach and performed oral sex on him. R.P. testified that Mr. Lawson sexually assaulted him in this fashion about five or six times. He recalled that Mr. Lawson did not threaten him in a direct way but led him to believe that he could be instrumental in his release from Brannan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R.H. was born on July 8, 1948 in St. Boniface, Manitoba, and moved with his family to Vancouver shortly thereafter. In 1963 R.H. was sentenced to an indeterminate sentence at Brannan Lake after pleading guilty to a "break and enter". He was admitted on January 4, 1964 at the age of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R.H. alleges he was physically and sexually abused by both Mr. Twidale and Mr. Lawson.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R.H. claims the physical abuse by Mr. Twidale was continuous, and was in the form of "turkey bites", and punches to the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R.H. alleges that about 6 weeks after he arrived at Brannan Lake he woke up to find Mr. Lawson looking down at him with his hand on his genitals. He was told not to say anything but to follow him to the office, which he did. R.H. testified that he followed Mr. Lawson into the bathroom of the office unit and there found Mr. Twidale as well as his cottage supervisor whom he thought was named Reed or Ward. R.H. alleges that Mr. Twidale had his penis out of his pants and told him to fellate him. Mr. Reed/Ward was standing next to Mr. Twidale with his hand on his own genitals. Mr. Lawson was rubbing up behind R.H. He says that Mr. Twidale grabbed R.H.'s hand to put it on his penis. R.H. then began making a great deal of noise to attract the attention of the staff who came running, only to find Mr. Twidale holding him claiming that R.H. had tried to escape. Subsequently R.H. was sent to segregation. He alleges he was physically assaulted on numerous occasions by both Mr. Twidale and Mr. Lawson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R.H. says that after getting out of segregation, he was bullied continuously by both Mr. Lawson and Mr. Twidale, and they continually pressured him for sexual acts. He claims he was threatened and directed by Mr. Twidale to stand in the marshy area until he was bitten by leeches. When he made a run for it, four of Twidale's boys caught him and punched and kicked him. R.H. says he was also subsequently paddled on two occasions by Mr. Twidale for refusing to work in the gravel pit, and for switching line-ups to avoid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R.H. testified that when his parents visited, he told them of the harassment he suffered from the other boys, but did not mention the staff abuse out of shame and fear that he would be hurt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G.G. was born on May 29, 1948. He is a status Indian who grew up on the X Reserve in south-eastern British Columbia. G.G.'s father was chief of the reserve during much of his childhood, as were his grandfather and his great-grandfather. His mother later became the first female chief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G.G. was sent to Brannan Lake for the first time on August 28, 1964 at the age of 16, following an incident where he and his cousin broke into a local cabin to steal matches, coffee, cups and a coffee 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G.G. alleges that during his first stay at Brannan Lake he was sexually assaulted by Mrs. Mack, the laundry matron. He testified that he first encountered Mrs. Mack when he went into the laundry room to pick up his swimsuit. He recalled that on the pretext of getting him a better swimsuit, Mrs. Mack took him into the back room of the laundry, where she purported to check his personal hygiene, fondled him and performed fellatio on him. G.G. says he was subsequently assaulted in a similar manner about 10 or 12 more times. He further alleges that on one occasion Mrs. Mack attempted to have G.G. perform oral sex on her, which he refused to do. She then had G.G. masturbate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G.G. explained that Mrs. Mack induced him to submit to the sexual assaults by offering him cookies, cakes and cigarettes, and promising to talk to fellow staff to help him move through the steps required to obtain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After approximately three or four months, G.G. was released from Brannan Lake and he returned home. He was readmitted to Brannan Lake on May 18, 1965, and remained for about four months. He cannot recall what led to his second period at the school. G.G. testified that during his second stay at Brannan Lake he told Mrs. Mack to "fuck off" when she approached him. He thinks he may have also threatened her. Mrs. Mack did not bother him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R.A. was born on October 29, 1946 in Calgary. His family moved to Cranbrook when he was quite young, and subsequently to Fort Langley and then Ladner. When he was 14 years old, R.A. was caught stealing money from purses in a church and taken to a juvenile detention centre. After two weeks there he was sentenced to Brannan Lake for a definite term of one year. He was admitted on March 7, 1961 and assigned to cottage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R.A. alleges that during his stay in cottage 7, he was sexually assaulted by the house parents Mr. and Mrs. Bennett about once or twice a week. He testified that Mrs. Bennett would come into the sleeping cubicle he occupied at the far end of the dormitory late at night. On several occasions she fellated him, had sexual intercourse with him and had him perform oral sex on her. R.A. testified that on several of these occasions he was aware of Mr. Bennett observing some of what was going on, and on one occasion Mr. Bennett entered the cubicle, climbed on top of him and attempted to penetrate him anally until Mrs. Bennett made him desist.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three occasions, R.A. alleges that Mr. Bennett came into the cubicle himself and made Mr. R.A. perform oral sex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it was an open dorm, R.A. testified that he assumed the other boys were aware of what was happening, although none indicated to him that they knew. He recalled that on one occasion when both of the Bennetts came into his cubicle he told them, "[t]his is not going to happen anymore. I don't want this to happen anymore" and told them if they tried anything he was going to scream. R.A. testified that the sexual assaults subsequently stopped, but that boys from the duplex approached him and suggested in a very threatening way that he quit making waves and co-operate.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Following a fight with some boys from the duplex, R.A. was transferred to a cottage in the main building. He was subsequently transferred to Mr. Twidale's cottage.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R.A. also alleges that he was assaulted by Mrs. Mack during the latter part of his stay at Brannan Lake, who allegedly demanded that he submit to fellatio. R.A. testified that he complied with her requests because she bribed him with cigarettes and he also felt she could get him into trouble or get him sent to segregation. R.A. alleges that on two or three subsequent occasions he was required to perform oral sex on Mrs. Mack who would then give him a package of cigarettes.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A.G. was born on March 31, 1952 in New Westminster. In 1964 A.G. was caught "breaking and entering" with his older brother, and was sent to Brannan Lake for an indefinite term. He was admitted on September 2, 1964 at the age of 12 and remained there for about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A.G. testified that his work duties at Brannan Lake involved cleaning the gym at a time when Mr. Lawson was supervising it. He testified that some of the older boys told him that Mr. Lawson's name was "Mr. Baconface". He said that he subsequently addressed him in that fashion which made Mr. Lawson irate. He alleges that on one occasion Mr. Lawson indicated that an area of the gym was not sufficiently clean, and told A.G., "it's not good enough, get your fucking ass out here and finish it properly". A.G. testified that he responded by saying "fuck you Baconface". A.G. alleges that Mr. Lawson then ordered him into the closet in the stage area, stuck his hand down the back of his pants and stuck his finger in his rectum, saying that he was going to make a man out of him. A.G. testified that he was so terrified that he wet his pants. He said Mr. Lawson warned him not to tell anyone, suggesting that if he did, there would be serious repercussions.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A.G. testified that Mr. Lawson did the same thing to him on two subsequent occasions. He recalled that Mr. Lawson put his finger in his rectum, smelled it and hit him on the head with his wooden hand on one of those occasions. He called him a "dirty little bastard", and said that he was going to spend the rest of his life in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A.G. testified that he subsequently transferred to tree-planting duties in order to avoid encountering Mr. Lawson, who would hit him on the head with his wooden hand whenever he saw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A.G. was released from Brannan Lake but readmitted on March 22, 1967 as a result of running away from home. He alleges that during this second period at Brannan Lake, he was sexually assaulted by Mrs. Mack on several occasions in the laundry, gym and pool area. A.G. alleges that on the first occasion Mrs. Mack masturbated him and performed fellatio. He recalled that there were at least 10 incidents, two of which involved sexual intercourse and the remainder involved mutual masturbation and oral sex. He testified that at times it was pleasurable, but at other times he did not want to engage in the sexual acts. However, he felt forced to do so because of Mrs. Mack's threats of extending his time at Brannan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A.G. also alleges that Mr. Twidale's boys continually used to beat him up and on two occasions one of these boys woke him up in bed by putting his penis in his mouth and telling him it was from the "turkey man". A.G. testified that he told Mr. Twidale he was going to tell. He said Mr. Twidale threatened him that if he told anyone he would have his boys kill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I.S. was born on October 25, 1950. He was sent to Brannan Lake on April 20, 1966 at the age of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I.S. alleges that he was sexually assaulted by Mrs. Mack on two occasions while at Brannan Lake. He testified that the first assault occurred approximately two or three months after he arrived at the school. He recalled that Mrs. Mack came up behind him when he was changing in the laundry and grabbed his testicles from behind. I.S. testified that Mrs. Mack then fellated him and threatened him not to tell anyone by mentioning that her husband worked at the institution. I.S. says this led him to fear physical harm from Mr. Mack.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I.S. alleges that he was also sexually assaulted by another older and bigger inmate named F. who was one of "Twidale's boys". He testified that F. grabbed him around the throat and ordered him to perform fellatio. He said that F. slapped and punched him and threw him into the wall. I.S. testified that he masturbated F. instead and that he had ongoing problems with F. bullying him. He testified that he disclosed the sexual and physical abuse by F. to another inmate, B.S. He said B.S. went immediately, found F. and he "beat the shit out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L.O. was born on May 9, 1955. He was admitted to Brannan Lake on February 3, 1969 and remained there until June 12, 1969.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L.O. alleges that he was sexually abused by Mrs. Mack on three occasions. He testified that the first assault occurred in the change room just four or five days after he arrived at the school. He recalled that Mrs. Mack came in while he was changing and started fondling his genitals and then took him into his office and performed fellatio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second incident allegedly took place three or four days later. L.O. testified that he was sent to work with Mrs. Mack who fondled his genitals again. He said that she then got him to fondle her breasts and genitals before she performed fellatio on him. The third incident allegedly occurred the following week. L.O. recalled lying on the floor of Mrs. Mack's office. He alleges that Mrs. Mack started fondling herself and then forced him to fondle her genitals while she performed fellatio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L.O. testified that Mrs. Mack induced him to submit to the sexual assaults by giving him cigarettes and threatening that he would get into serious trouble if he disclosed the incident. L.O. testified that he feared if he declined working in the laundry with Mrs. Mack that he would end up in segregation.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B.G. was born on October 8, 1955. He was sent to Brannan Lake on June 10, 1971 at the age of 15. B.G. alleges that he was sexually abused by Mrs. Mack and physically and sexually assaulted by Twidale's boys.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B.G. testified that shortly after his arrival at the school, he was placed in cottage 2 and went AWOL because he thought "the school was a torture chamber for kids". He said he was caught by four "chaser boys" who were under the direction of Twidale, and beaten severely. He said that Twidale's boys also directed the clean up of the kitchen to which B.G. was assigned as extra duty when he was in segregation. On two such occasions, he alleges he was raped by two of these boys, with one inserting his penis in B.G.'s rectum and the other inserting his penis in B.G.'s mouth. B.G. testified the boys threatened to kill him if he told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B.G. alleges that Mrs. Mack sexually assaulted him in the laundry room on about 15 occasions. He testified that she made lewd comments, and stroked and patted his crotch and buttocks. He testified that she performed fellatio on him in the clothes change room off the laundry. On about 10 of these occasions, he alleges he was forced to perform oral sex on her as well. B.G. recalls that Mrs. Mack would give him cigarettes after the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There were also a number of similar fact witnesses who made allegations of physical and sexual assault against numerous staff members and fellow inmates.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D.L. alleges he was sexually assaulted by seven staff persons, including Mr. Lawson and Mr. Bennett. C.S. alleges he was sexually and physically assaulted on three different stays at Brannan Lake by five different staff members including Mrs. Mack and Mr. Lawson. He also claims he was sexually assaulted by two or three unnamed boys. R.D. testified that he was assaulted by five individuals, namely Mr. Bishop, Mr. Wheat, a cook, an unnamed night watchman as well as William "Pops" Foster. P.M. alleges he was physically and sexually abused by Mr. and Mrs. Bennett, sexually abused by Mrs. Mack and an unidentified male supervisor, and physically abused by Mr. Twidale.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J.W. made claims of sexual abuse against possibly Mr. Mack and one unidentified supervisor. R.P. claims both Mr. Lawson and Mr. Twidale physically and sexually assaulted him, and that Mr. McGregor sexually assaulted him. P.M. testified that he was sexually abused by fellow inmates, two supervisors, and an unidentified person with a wooden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P.B. alleges he was sexually abused by Mr. Twidale and physically abused by an unnamed staff person. G.A. testified that he was physically abused by a Mr. Foster, (which one is not clear), sexually abused by Mr. Bennett and Mrs. Mack. M.M. testified that he was sexually assaulted by an unidentified supervisor. R.D. alleges he was physically assaulted by Mr. Twidale and a number of fellow residents. D.B. alleges Mr. Bishop and Mr. Twidale both physically and sexually abused him and that Mr. Burdett physically abused him. C.L. testified that Mr. Twidale physically and sexually abused him and two unnamed residents sexually abused him. G.C. testified that Mr. Bailey physically abused him and Mr. Twidale physically and sexually abused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will return to the issue of whether the discreditable conduct evidence proffered by these witnesses is admissible, and if so, what weight it is to be accorded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plaintiffs must prove on a balance of probabilities that they were physically and sexually assaulted. However, allegations of sexual abuse in civil proceedings are subject to a heightened evidentiary standard. This was discussed in the recent case of Gorman v. Tyhurst </w:t>
      </w:r>
      <w:hyperlink r:id="rId908" w:history="1">
        <w:r>
          <w:rPr>
            <w:rFonts w:ascii="arial" w:eastAsia="arial" w:hAnsi="arial" w:cs="arial"/>
            <w:i/>
            <w:color w:val="0077CC"/>
            <w:sz w:val="20"/>
            <w:u w:val="single"/>
            <w:shd w:val="clear" w:color="auto" w:fill="FFFFFF"/>
            <w:lang w:val="en-US" w:eastAsia="en-US" w:bidi="ar-SA"/>
          </w:rPr>
          <w:t>(2003), 13 B.C.L.R. (4th) 81</w:t>
        </w:r>
      </w:hyperlink>
      <w:r>
        <w:rPr>
          <w:rFonts w:ascii="arial" w:eastAsia="arial" w:hAnsi="arial" w:cs="arial"/>
          <w:color w:val="000000"/>
          <w:sz w:val="20"/>
          <w:lang w:val="en-US" w:eastAsia="en-US" w:bidi="ar-SA"/>
        </w:rPr>
        <w:t>, where the Court noted that in civil cases involving morally blameworthy conduct, the serious nature of the allegations and the often considerable delay between the events and the trial gives rise to certain evidentiary implications. At para. 6 Huddart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common law recognizes these and other difficulties, in cases where morally blameworthy conduct is alleged, as well as the gravity of the consequences, by demanding an exacting analysis of the evidence and a standard of proof on the balance of probabilities commensurate with the occasion: Bater v. Bater, [1950] 2 All E.R. 458 (C.A.) at 459; Continental Insurance Co. v. Dalton Cartage Co., </w:t>
      </w:r>
      <w:hyperlink r:id="rId909" w:history="1">
        <w:r>
          <w:rPr>
            <w:rFonts w:ascii="arial" w:eastAsia="arial" w:hAnsi="arial" w:cs="arial"/>
            <w:i/>
            <w:color w:val="0077CC"/>
            <w:sz w:val="20"/>
            <w:u w:val="single"/>
            <w:shd w:val="clear" w:color="auto" w:fill="FFFFFF"/>
            <w:lang w:val="en-US" w:eastAsia="en-US" w:bidi="ar-SA"/>
          </w:rPr>
          <w:t>[1982] 1 S.C.R. 164</w:t>
        </w:r>
      </w:hyperlink>
      <w:r>
        <w:rPr>
          <w:rFonts w:ascii="arial" w:eastAsia="arial" w:hAnsi="arial" w:cs="arial"/>
          <w:color w:val="000000"/>
          <w:sz w:val="20"/>
          <w:lang w:val="en-US" w:eastAsia="en-US" w:bidi="ar-SA"/>
        </w:rPr>
        <w:t xml:space="preserve"> at 171; R. v. Oakes </w:t>
      </w:r>
      <w:hyperlink r:id="rId626" w:history="1">
        <w:r>
          <w:rPr>
            <w:rFonts w:ascii="arial" w:eastAsia="arial" w:hAnsi="arial" w:cs="arial"/>
            <w:i/>
            <w:color w:val="0077CC"/>
            <w:sz w:val="20"/>
            <w:u w:val="single"/>
            <w:shd w:val="clear" w:color="auto" w:fill="FFFFFF"/>
            <w:lang w:val="en-US" w:eastAsia="en-US" w:bidi="ar-SA"/>
          </w:rPr>
          <w:t>(1986), 26 D.L.R. (4th) 200</w:t>
        </w:r>
      </w:hyperlink>
      <w:r>
        <w:rPr>
          <w:rFonts w:ascii="arial" w:eastAsia="arial" w:hAnsi="arial" w:cs="arial"/>
          <w:color w:val="000000"/>
          <w:sz w:val="20"/>
          <w:lang w:val="en-US" w:eastAsia="en-US" w:bidi="ar-SA"/>
        </w:rPr>
        <w:t xml:space="preserve"> (S.C.C.) at 226; M. (J.L.) v. H. (P.) </w:t>
      </w:r>
      <w:hyperlink r:id="rId905" w:history="1">
        <w:r>
          <w:rPr>
            <w:rFonts w:ascii="arial" w:eastAsia="arial" w:hAnsi="arial" w:cs="arial"/>
            <w:i/>
            <w:color w:val="0077CC"/>
            <w:sz w:val="20"/>
            <w:u w:val="single"/>
            <w:shd w:val="clear" w:color="auto" w:fill="FFFFFF"/>
            <w:lang w:val="en-US" w:eastAsia="en-US" w:bidi="ar-SA"/>
          </w:rPr>
          <w:t>(1997), 31 B.C.L.R. (3d) 155</w:t>
        </w:r>
      </w:hyperlink>
      <w:r>
        <w:rPr>
          <w:rFonts w:ascii="arial" w:eastAsia="arial" w:hAnsi="arial" w:cs="arial"/>
          <w:color w:val="000000"/>
          <w:sz w:val="20"/>
          <w:lang w:val="en-US" w:eastAsia="en-US" w:bidi="ar-SA"/>
        </w:rPr>
        <w:t xml:space="preserve"> (S.C.) at paras. 117-120.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It has consistently been held that the "clear and cogent" standard is the applicable evidentiary standard where allegations of sexual or physical abuse are raised in a civil trial: See V.(J.L.) v. H.(P.), supra, B.(M.) v. British Columbia, supra, and H.F. v. Canada (Attorney General),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this case, the alleged events giving rise to the allegations took place, in the case of some plaintiffs, almost 50 years ago. Many potential defence witnesses are dead; many of the key documents were destroyed. However, as noted above, difficulties in proving the case due to the passage of time do not affect the burden of proof; the allegations require "clear and cogent"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Before weighing the evidence in this case, I must first address whether the evidence of the similar fact witnesses is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Similar fact evidence is presumptively inadmissible because of the potential for reasoning prejudice and moral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Supreme Court of Canada has recently formulated a comprehensive framework for the admissibility of similar fact evidence in R. v. Handy, </w:t>
      </w:r>
      <w:hyperlink r:id="rId910" w:history="1">
        <w:r>
          <w:rPr>
            <w:rFonts w:ascii="arial" w:eastAsia="arial" w:hAnsi="arial" w:cs="arial"/>
            <w:i/>
            <w:color w:val="0077CC"/>
            <w:sz w:val="20"/>
            <w:u w:val="single"/>
            <w:shd w:val="clear" w:color="auto" w:fill="FFFFFF"/>
            <w:lang w:val="en-US" w:eastAsia="en-US" w:bidi="ar-SA"/>
          </w:rPr>
          <w:t>[2002] 2 S.C.R. 908</w:t>
        </w:r>
      </w:hyperlink>
      <w:r>
        <w:rPr>
          <w:rFonts w:ascii="arial" w:eastAsia="arial" w:hAnsi="arial" w:cs="arial"/>
          <w:color w:val="000000"/>
          <w:sz w:val="20"/>
          <w:lang w:val="en-US" w:eastAsia="en-US" w:bidi="ar-SA"/>
        </w:rPr>
        <w:t xml:space="preserve"> and R. v. Shearing, </w:t>
      </w:r>
      <w:hyperlink r:id="rId911" w:history="1">
        <w:r>
          <w:rPr>
            <w:rFonts w:ascii="arial" w:eastAsia="arial" w:hAnsi="arial" w:cs="arial"/>
            <w:i/>
            <w:color w:val="0077CC"/>
            <w:sz w:val="20"/>
            <w:u w:val="single"/>
            <w:shd w:val="clear" w:color="auto" w:fill="FFFFFF"/>
            <w:lang w:val="en-US" w:eastAsia="en-US" w:bidi="ar-SA"/>
          </w:rPr>
          <w:t>[2002] 3 S.C.R. 33</w:t>
        </w:r>
      </w:hyperlink>
      <w:r>
        <w:rPr>
          <w:rFonts w:ascii="arial" w:eastAsia="arial" w:hAnsi="arial" w:cs="arial"/>
          <w:color w:val="000000"/>
          <w:sz w:val="20"/>
          <w:lang w:val="en-US" w:eastAsia="en-US" w:bidi="ar-SA"/>
        </w:rPr>
        <w:t>. From Handy, the following statement can be taken to represent the formulation of the rule in Canada: evidence of other discreditable conduct may be admitted where the prosecution establishes, on a balance of probabilities: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context of a particular case the probative value of the evidence in relation to a particular issue outweighs its potential prejudice and thereby justifies its reception".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Binnie J. for the court emphasized that the admission of similar fact evidence, because it does depend on propensity reasoning, is exceptional, and a high degree of probative value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framework set out by Binnie J. for determining the admissibility of the similar fact evidence requires a specific analysis. First, the judge must assess the probative value of the evidence. This requires a consideration of (i) the strength of the evidence (including the potential for collusion); (ii) the identification of the issues in question; and (iii) the similarities and dissimilarities between the facts charged and the previous conduct. Second, the judge must assess the prejudicial effect of the evidence. Finally, the judge must weigh the probative value of the evidence against its prejudicial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PROBATIVE VALUE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As stated by Binnie J. in Handy at para. 73: "Probative value cannot be assessed in the abstract. The utility of the evidence lies precisely in its ability to advance or refute a live issue pending before the trier of fact". As in Handy, the issue in this case is not identification; rather, the issue is whether the alleged events happened. The similar fact evidence is therefore undoubtedly relevant to the allegations of abuse made by the plaintiffs. The evidence, if admissible and believed, shows a pattern of behaviour of Brannan Lake staff using their positions of power and influence in order to force the boys to submit to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Crown submits that the critical issue in assessing the probative value of the similar fact evidence in this case is the possibility for collusion amongst the witnesses and the plaintiffs. The Crown's position is that most of the allegations are sheer fabrications intended to support the testimony of the plaintiffs in this action and to assist the similar fact witnesses in their own potential law 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opportunity for collusion destroys the strength of similar fact evidence. In Shearing, Binnie J. noted at para. 40: "The theory of similar fact evidence turns largely on the improbability of coincidence. Collusion, by offering an alternative explanation for the "coincidence" of evidence emanating from different witnesses, destroys its probative value, and therefore the basis for its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Handy, the court concluded that where there is an "air of reality" to the allegation of collusion, the trial judge, in assessing the admissibility of the similar fact evidence, must be satisfied on a balance of probabilities that the evidence is not the product of concoction. This is inherent in deciding whether, as a matter of law, the evidence has sufficient probative value to overcome the prejudice. If this threshold test is passed, the trier of fact must determine what weight, if any, to give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Handy, the accused was charged with sexual assault causing bodily harm. The complainant's position was that she had consented to vaginal sex but not hurtful or anal sex. The ex-wife provided similar fact evidence; she testified that the accused had a propensity to inflict painful sex, including anal sex, and when aroused would not take no for an answer. This evidence concerned seven alleged prior incidents. The accused denied assaulting the complainant and committing any of the alleged assaults on his ex-wife. He argued that his ex-wife and the complainant had colluded.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Binnie J. found that there was some evidence of collusion between the complainant and the accused's ex-wife. He considered that the ex-wife had met the complainant a few months before the alleged sexual assault took place and had told the complainant about the accused's criminal record, and her own allegations of abuse. More significantly, the ex-wife told the complainant that she had received $16,500 from the Criminal Injuries Compensation Board, and that all she had to do to collect the money was say that she had been abused. Binnie J. found that this amounted to more than a mere opportunity to collaborate; he found that here there was the "whiff of profit". He held that the trial judge failed at his "gatekeeper function" when he did not consider the possibility of collusion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issue of collusion also arose in Gorman. In this case, the defendant Tyhurst was a psychiatrist; the plaintiff was one of his patients who sought treatment for anxiety. She alleged that during therapy, Tyhurst had manipulated her into a master/slave relationship. The trial judge admitted the similar fact evidence of two nurses, who described therapy that ultimately involved whipping as punishment for breach of orders. The similarities in the evidence consisted of a gradual introduction of abusive behaviour, the demeaning and degrading words used, the degree of control exercised, and the nature of the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On appeal, Tyhurst submitted that the respondent failed to disprove the real risk of concoction raised by the similar fact evidence, and that the trial judge erred in not resolving the issue of collusion as a condition precedent to the admissibility of the similar fact evidence. Huddart J.A. addressed the concept of collusion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concept of collusion is perhaps better described as contamination when, as in this case, it is used in the broad sense defined by Lord Wilberforce in Director of Public Prosecutions v. Boardman, [1975] A.C. 421 (H.L.) at 444: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use the words "a cause common to the witnesses" to include not only... the possibility that the witnesses may have invented a story in concert but also that a similar story may have arisen by a process of infection from media or publicity or simply from fashion....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Collusion therefore is not restricted to situations where witnesses have invented a story in concert; it may be present by virtue of an infected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Gorman, Huddart J.A. held that the possibility of the two nurses intentionally or accidentally reading newspaper articles about the case, or communicating with police and counsel, without more, could not trigger the gatekeeping function of the trial judge. There was no sufficiently persuasive evidence of actual collusion and thus, no reason to interfere with the trial judge's decision to admit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All of the similar fact witnesses in this case denied during their examination-in-chief that they colluded with each other to bring false claims or deceive the court. They generally denied that they discussed details of their evidence with one another. The majority denied that they read early newspaper articles which carried specific allegations against named perpetrators, which articles also included details of the monetary awards being sought for sexual abuse. They all denied knowing that the alleged perpetrators were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Despite these denials, I find that the similar fact evidence in this case does not pass the threshold test of admissibility. For the following reasons, I am not satisfied on a balance of probabilities that the evidence proffered by the similar fact witnesses is not the product of collusion.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COLLUSION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first newspaper article about a Brannan Lake lawsuit appeared in The Province on March 11th, 1994 and disclosed details of E.Y.'s claims of physical and sexual abuse against the Bennetts and a number of government officials. The article concludes with the following: "[E.Y.] wants others who say they were abused at Brannan Lake to call him at [phone number] or fax him at [fax number]". Similar fact witness D.L. gave evidence that as a result of the article in question, E.Y. was in contact with a number of people from Brannan Lake. It appeared from D.L.'s testimony that discussions ensued as to which staff persons might be offenders. D.L. also confirmed that he had one discussion with E.Y. concerning Mr. Lawson as a potential offender. D.L. said, "someone was saying that Mr. Lawson was giving kids a blow job, and this would be impossible for Lawson considering his mouth was so darn small it would put him in a most awkward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It is noteworthy that all disclosures of abuse at Brannan Lake came after the March 1994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 second article about Brannan Lake was published in The Vancouver Sun on March 7th, 2000. In this article, plaintiffs' counsel was reported as saying that "she believes all the guards in the [B.G. et al.] suit have since died". The article outlines that Ms. Ellis has had past success suing the BC government in the case of four former inmates of another government facility and those damages ranged in that case from $175,000 to $300,000. The article further elaborates that there was a guard who smacked boys on the head with his wooden hand and sexually abused them, that there was a woman who worked at the jail who forced the boys to engage in sexual acts, and that one guard would grab and twist boys' nipples. The article reports that boys were strapped on their bare buttocks, were sent to solitary confinement where they were forced to sit on the floor and ordered not to speak, and that older boys called "chasers" would hunt down boys who escaped from Brannan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While the newspaper articles provided an opportunity for contamination that may be common to any case that attracts public comment, the extensive contact in prison amongst the witnesses is not common to such cases and additional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will provide but a sampling of examples of such contact: C.S. testified that he knew some of the plaintiffs from being in Oakalla together many years ago, and admitted that he has discussed this lawsuit with "Dixie" J.T., another plaintiff in the class action lawsuit. J.T. also conceded he has spoken to C.S. about the case. P.M. is presently incarcerated at Mission Institution with B.G. P.M. testified that B.G. referred him to Ms. Ellis. Both B.G. and P.M. have claims against Mrs. Mack for sexual abuse and Mr. Twidale for physical abuse. P.M. has connections with several other plaintiffs and similar fact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P.B. testified that while at Mission, he and B.G. "ate together at the same table... always ate together... who you eat with is who you're close to, yeah". G.A. testified that he is in Matsqui with plaintiff I.S. and that he talks to him every day. Counsel Ms. Ellis and therapist Ms. Peterson both had contact with plaintiffs L.O., B.G., G.G., R.P. and 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Many of the plaintiffs and similar fact witnesses see the same counsellor, Irene Peterson, through the RHAP program. For example, P.B. was referred to the RHAP program by B.G. and both saw Irene Peterson. P.B. was asked how he felt about suing and he testified that "I never brought it up. [Irene Peterson] brought it up. ...and after awhile she wanted [B.G. and I] to get CBC in... I had mixed feelings about it". P.B. also indicated that he learned that Mr. Twidale was dead when B.G. burst into a counselling session with Ms. Peterson, heard him say the name Twidale, and stated: "Pat, Twidale, Twidale's dead".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L.O. testified about the sessions that "I would go out and somebody else would come in. She was seeing three of us actually around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Besides the contact between witnesses, I also have concerns about their motivation for testifying. In my view, the "whiff of profit", as outlined by Binnie J. in Handy, was likely at least a partial motivation for making allegations. In this case, eight similar fact witnesses have initiated their own legal actions. Six more have indicated they will do so. I have real concerns that their testimony has been motivated by the desire for financial gain in their own cases. Further, the witnesses know that their testimony will not only benefit themselves but will benefit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find that the potential for financial gain, the newspaper articles, and the constant contact amongst the similar fact witnesses and the plaintiffs gives rise to an infected process. The witnesses were a group of children who attended school together and subsequently saw each other repeatedly over the next 30 or 35 years in prison. They were later exposed to media reports and publicity surrounding E.Y.'s legal proceedings as well as this lawsuit. This is very real evidence that the process triggered an opportunity for concoction and collaboration. As outlined above, I find the evidence of the similar fact witnesses does not meet the threshold test of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addition many of the similar fact witnesses made allegations of sexual abuse by staff members, particularly Mr. Twidale, involving more egregious misconduct of an inflammatory and prejudicial nature dissimilar to that alleged by R.H., who is the only plaintiff at this trial alleging sexual abuse attempts by Mr. Twidale. The prejudicial effect of such evidence, in my view, would greatly outweigh its probative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Thus, the allegations in this case must be proved without reference to the sexual impropriety evidence of the similar fact witnesses. I recognize however that much of the similar fact witnesses' other evidence relating to the atmosphere and operation of Brannan Lake over the years is admissible for the limited purpose of establishing a potential contextual matrix for the plaintiffs' allegations of sexual/physical mistreatment.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must also consider whether there is "clear and cogent" proof of the allegations of physical/sexual assault from the evidence brought forth by the plaintiffs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have similar concerns about the plaintiffs' evidence as I do about the similar fact witnesses'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Like the similar fact witnesses, none of the plaintiffs disclosed the alleged abuse they suffered until after the publication of the first newspaper article in 1994. Plaintiffs G.G., R.H., L.O., J.T., R.A. and R.S. did not issue statements of claim until after the March 7, 2000 article had been published.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Many of the plaintiffs first disclosed the abuse to counsel. For example, A.G. first disclosed the alleged incidents of sexual abuse to Ms. Ellis. He said he overheard a conversation B.G. was having about Brannan Lake and asked him about it. B.G. told him if there he had any kind of problems to contact the lawyer. A.G. testified that he waited almost two years before making the call "because then people start looking at you like you're - I don't know, different I guess. Or queer, or they look at you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J.T., like many others, read one of the newspaper articles, and first disclosed his allegations of abuse to Ms. 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Like the similar fact witnesses, there are also many very close connections amongst the plaintiffs. For example, A.G. and R.A. came from the same home town, have known each other for 30 years and have lived in the same wing of Matsqui Institution. These plaintiffs both make allegations of sexual assault against Mrs. Mack. L.O. and R.A. have committed many bank robberies together. While R.A. testified that he was "partners in crime" with L.O., he also said that he knows R.P., L.O. and B.G. "all about even". All but R.P. make allegations of sexual abuse against Mrs. Mack.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B.G. and R.A. have been incarcerated in the same institutions and ran a legal poker game in Matsqui together. Both make allegations of sexual abuse against Mrs. Mack, and B.G. also supported R.A.' allegations against Mr. and Mrs. Bennett. R.P. and R.S. met in Oakalla in 1972, although R.S. says he met R.P. and did drugs with him before they entered the prison system. Both make allegations of sexual and physical abuse against Mr. Lawson; both say the abuse occurred in the "mattress room" in the segregation unit. These are but a few examples of such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There was some evidence at trial of actual discussions about the abuse occurring. R.A. testified that he had a conversation with plaintiffs B.G. and L.O. in 1994 about Brannan Lake. He admits that in this conversation, B.G. mentioned that "he had a problem with chasers when he ran away", that "Mrs. Mack had given him head" and that there was counselling available through the RHAP program for sexual abuse. At trial, R.P. denied his own testimony on examination for discovery at which time he had testified that he told B.G. "Lawson blew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Many of the plaintiffs also have the same counsellor, Irene Peterson. A.G. said that he chose Ms. Peterson "because the other fellows I'd spoken to had seen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Collaboration and infected process amongst the plaintiffs are pervasive and a major concern on initial consideration of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 R.B.T. also known as J.A.T.: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J.T. filed his claim in June 2001, over 46 years after his date of admission to Brannan Lake School in March 1955. He makes a number of extremely serious allegations of sexual and physical assault against both former staff and former residents. Like other plaintiffs he did not tell anyone of any abuse at BLS until he prepared to commence litigation. J.T. like many others read an article in the paper about the BLS litigation and as a result he contacted Ms. Ellis and retained her ultimately. J.T. has never filed a police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J.T. claims that starting virtually on the first day he arrived at BLS he was repeatedly raped and assaulted by other boys and staff knew what was going on, yet stood idly by. J.T. says that he specifically told a relief staff person at some point but he did not believe him and did nothing at all to stop the abuse. In other cases he states that unnamed staff were aware of him being assaulted in the gym and turning a blind eye to the abuse. He alleges that one staff person, Mr. Donnelly, forced him to perform fellatio and fondle him, and that other unnamed staff beat him and then allowed or directed residents of the school to beat him and rape him under their supervision. He claims to have been paddled with a wooden paddle while secured to a round or curved object in the security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J.T. claims that two groups of boys assaulted him: T. and S. in cottage 6 at night, and in the gym vestibule and swimming pool in the evening. The second group of assaults was by a group led by H. in the evening in the gym vestibule and/or pool. T. and H. are also alleged to have sexually assaulted him and beat him in the security unit under the supervision of two unnamed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Dealing with the claims of sexual assault in the cottage at night, it is clear that the assaults could not have occurred as alleged as one of the boys did not arrive at BLS until June according to the register of the school. The court has also heard evidence from night watchman Alvin Brown about how the dorms were patrolled at night with several night watchmen looking into the dorms and periodically going through them to check on each of the boys. Many witnesses have also testified about the "blue lights" used as night lights in the cottages. Several have also commented about how bright it was and one witness testified that it prevented him from sleeping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Similarly other witnesses (former staff and residents) testified that each cottage in the main building had a window in the hallway that allowed staff to look into the sleeping area of the dorm. For example, Ken Lockhart, former Supervisor, gave evidence that when standing in the main hall one could look in and see all the beds in the dorm from the hall. Due to the position of the door into the dorm, beds were not placed immediately under the window in a place where they could not be easily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J.T. stated in direct evidence that these sexual assaults were occurring on virtually a nightly basis in the dorm. No corroborating evidence has been called by J.T. notwithstanding the alleged frequency of the assaults would suggest that someone other than the perpetrators would have seen or heard the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J.T. also claims that he was repeatedly sexually and physically assaulted while participating in gym activities variously by T., S. and H. in various configurations. He claims that groups of boys would take him off from the main gym into the vestibule by the stage and rape him, force him to perform fellatio and beat him up. Similar assaults including an attempted drowning took place in the pool. This allegedly took place under the eye of gym and/or pool staff and occurred during a significant portion of J.T's stay at BLS. There are several improbabilities to J.T.'s claims regarding these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First, it must be remembered that J.T. says that Mr. Donnelly was not the supervisor in the gym when these assaults took place. Donnelly was employed at the school for the majority of J.T.'s stay at BLS. He also gave evidence that he always worked in the afternoon shift (which is corroborated by Mr. Bailey and Mr. Parker) and that he did primarily sporting activities with the boys. Again this is corroborated by Mr. Bailey. If J.T. had been going to the gym regularly as he implies, it is extremely unlikely that he would not have encountered Mr. Donnelly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Second, as many witnesses have confirmed, the boys had choices about the kinds of activities that they wanted to participate in. J.T. agreed that he eventually stopped going to these activities because of the assaults. J.T. spent his daytime hours in the laundry/linen room which means that the gym/pool assaults would have taken place in the evening consistent with the evidence at trial regarding when the recreational activities took place. If J.T. was being subjected to the brutal and repeated assaults, why would he continue to attend? Why not simply stop going to the sporting activity? There were all sorts of other activities such as TV, hobbies, and reading that were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Finally, it is difficult to conceive of these brutal attacks being repeated day after day without them coming to the attention of staff. It is also difficult to accept that a group of boys could go "missing" in the gym for the period of time it would take to sexually assault J.T. without the gym instructor going to look for the missing boys. J.T. agreed in cross-examination that staff regularly "counted" boys and that included while the boys were having gym. He also agreed that he has no knowledge that any staff actually witnessed these sexual assaults taking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J.T. was someone who the staff knew needed to be monitored, and the school was taking steps such as placing him to work in the linen room during the day for this reason. It is inconceivable that they would take these steps in the daytime and yet offer no protections or special monitoring in the afternoon. While it is possible that some bullying may have occurred in the gym or pool by other boys that was not immediately detected by staff and stopped, the events described by J.T. are not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J.T. also alleges that he was sent to security after going AWOL on a scheduled visit home. He claims that in security he was stripped and then shackled or strapped onto a device of some sort to be "paddled" with a wooden bat. He does not know who these employees were and he just assumes that they were "regular staffing". After the paddling was over the two guards allegedly called over T. and H., who were present in the security unit, and told them to "do your thing and make it good". J.T. claims he was then beaten and raped. This evidence is bizarre and incredulous.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Although the records maintained by BLS available in connection with J.T. indicate that he was having trouble with other boys and was engaged in homosexual activity, there is nothing to indicate that he was being violently assaulted. The written records support the contention that to the extent that he was engaged in homosexual activity it was consensual. The records of his social worker post-BLS indicate that J.T. admitted having homosexual relations with boys at BLS. J.T. also agreed in cross-examination that when he spoke to the social worker that he never told him that the homosexual contact was non-consensual.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J.T. admitted that he was close with Mr. Oviatt, one of the supervisors at BLS. He agreed that he was a very "kind" and "caring" person and that it was his impression that he cared about him. However, notwithstanding this closeness, including home visits for dinner and church with his family, he never told him of the brutal assaults he was receiving at the hands of boys. The reason given for not telling Mr. Oviatt was that "I thought he would hate me" and that "he would be disgusted with it and turn away from me". He did not tell staff member Mrs. Whitney either even though J.T. says that he worked in the linen room every day full time for the entire year that he lived at BLS. The Crown suggests that the reason J.T. did not disclose the assaults to Mr. Oviatt is because the sexual contact with boys was not coerced, and J.T. felt ashamed to admit to homosexual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However, J.T. says he did disclose to a cottage supervisor in the unit but cannot remember his name. In cross-examination he was forced to admit that at discovery he had stated that he had not told any supervisor about the assaults taking place in the living unit. He then recanted his earlier testimony and agreed that the statements made at the examination for discovery were true. This evidence supports the fact that no disclosure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J.T. alleges that he went to Mr. Donnelly, who he describes as being a part time worker who worked in cottage 6, and told him about the sexual assaults by the other boys. J.T. (5'7") described Donnelly as being "taller than me" (5'9" or 5'10") and having dark hair. Donnelly testified that he was only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He claims that Donnelly said he would help and asked him to come back again the next night. However, instead of helping him, Mr. Donnelly forced him to masturbate him and later perform fellatio on him in the office of cottage 6. J.T. claims that this always happened at night. J.T. claims that during one of these assaults that a boy named S. observed J.T. performing fellatio. J.T. says that he was called to the office of the Superintendent along with two other supervisors and questioned about whether he had intercourse with Mr. Donnelly shortly after this event with S. He claims that he gave no answer to the question, but after that he never saw Donnelly again. J.T. places the assaults as occurring at night and that Donnelly worked on the graveyard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There are several important inconsistencies in J.T.'s story regarding the Donnelly assaults. First, the court heard evidence from Mr. Donnelly that he worked at BLS from about May 1955 to sometime in 1956. He gave evidence that he worked in Cottage 3, and specifically did not work in Cottage 6. He also stated that he worked straight afternoon shifts and that his recollection was that the shift was 4-12 midnight. Mr. Bailey, also a former Senior, gave evidence that Mr. Donnelly always worked in Cottage 3 and that he did not recall any other duties. Sam Parker, Senior in the 1955-1965 era, gave similar evidence. Bailey also testified that Donnelly worked straight afternoons and did a number of sporting activities due to youth and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court also heard evidence from Sam Parker that in the early years there were three separate shifts and that the day and afternoon shift did not rotate as they did in the later years. The night shift has always been handled by night attendants or watchmen and this has been confirmed by several Crown witnesses, all of whom have no personal stake in making such an assertion. J.T. describes the assaults as taking place at night, and that his impression was that Donnelly worked the graveyard shift. Parker's evidence regarding straight shifts is consistent with Donnelly's claim that he only worked afternoon shift, not nights, and given that the weight of evidence is that the afternoon shift was 3-11 p.m. it can be inferred that this is what Donnelly worked during his employment at BLS.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On this basis, it is clear that Mr. Donnelly would not have been present in Cottage 6 at night and supervising the boys while they were sleeping. He would not have been in a position to sexually assault J.T. in the office of cottage 6 as alleged. The evidence also suggests that the offices were rather small and had doors that opened near to the entrance to the dorm. It would be extremely risky for staff to engage in repeated acts of sex with boys in an area in such close proximity to the cottage dorm. Mr. Donnelly also testified that at the time he was employed at the school that the office looked directly onto the dorm (i.e. no day room) and had a window in it. This would have made any sexual contact in the office quite unlikely given the closeness of 20-25 boys in their beds.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Donnelly, who at the time of his employment at BLS was in his mid to late 20's, was recently married and, had been employed at the school for nearly a year when he stated he left to get other work. He gave evidence that his young wife (whom he remained married to for nearly 50 years) did not like him working straight afternoons. Mr. Donnelly went on a day off to Victoria with a friend and was able to get work at the Hudson's Bay Company and started right away. He advised BLS that he would not be coming back to work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J.T. implies that Mr. Donnelly's departure from the school was due to Donnelly being "caught" by S. in a compromising position with J.T. and the subsequent questioning of J.T. by the Superintendent of the School. The inference to be drawn is that these events were linked and that Mr. Donnelly was terminated. Mr. Donnelly denies that he was fired or that he was involved in any sexual wrongdoing involving a boy. There is no evidence of any efforts or attempt to locate this "eyewitness" who could have supported J.T.'s claim. Mr. Hassard, the then Superintendent, is now deceased. Mr. Shogun, then Deputy Superintendent, is also deceased. The only other person who is alive and who was holding a senior position at the school is Mr. Mabbett. Mr. Mabbett was responsible for staff supervision at the time when this "meeting" with J.T. and senior staff allegedly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Mabbett remembers Mr. Donnelly and stated that he had no recollection of the reasons why Donnelly departed the employ of the school. He stated that he would have expected that he would know of something like this happening at the school, i.e. a man being fired for sexual improprieties at the school. Had Mr. Donnelly actually been fired for sexual misconduct with a boy, given both the seriousness and the unusual nature of the allegation, it is reasonable to assume that Mr. Mabbett would have known of the reasons and not forgotten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Parker has a recollection that Mr. Donnelly was fired for some sexual matter involving a boy, but he has no first hand knowledge of such an event. He did say that he overheard some boys saying that they got a man fired, and as Donnelly was the only employee who had left recently, that he thought they were referring to Donnelly. Bailey gave evidence that he heard about a "frame up" of Mr. Donnelly but stated that he only heard a rumour and that he heard from Mr. Parker that the staff member was "framed". Mr. Bailey stated that he heard "nothing from any authority source" and that it was "more or less rumours".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It is plausible that because of Donnelly's sudden departure that Parker and/or the boys at BLS assumed that he was fired. This could also include J.T. making the same assumption, and if a rumour that Donnelly had been fired for sexual improprieties was circulating, it would explain the choice of Mr. Donnelly as his alleged abuser. Many employees gave evidence that staff matters were often kept confidential, thus no one may have been aware of the real reasons for his abrupt departure (i.e. the new job in Victoria) and the "rumour mill" filled in. It is conceivable that when Mr. Parker went to see Mr. Hassard later regarding Mr. Donnelly and Mr. Hassard told him to "let it go", it was because no matter what the boys were saying Mr. Donnelly had simply quit without notice and it did not really matter at that point in time to straighten out the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It should also be noted that J.T. admitted in cross-examination that he made no mention of being observed by S. in the office of Cottage 6 at his examination for discovery nor did J.T. suggest that any meeting had taken place with BLS senior staff as he now suggests. His evidence at discovery was that he met the Superintendent only once when he first arrived at the school. At trial J.T. stated that this answer was not true. He also admitted that at discovery he indicated that it was a few months after the sexual assaults ended that he noticed that Donnelly was not around anymore and thought he just quit or something. This evidence is at odds with his current version of being summonsed to the Superintendent's office and Donnelly suddenly being gone from the school after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have concluded that J.T.'s evidence may be grossly exaggerated with a revisionist interpretation of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His homosexual contacts with other boys were likely consensual and less frequently than alleged. Dr. O'Shaughnessy, the plaintiffs consulting Psychiatrist, also opined that J.T. has traits of histrionic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It would be dangerous to rely on his allegations of staff sexual assault and negligent supervision by the staff relating to sexual abuse by other inmate boys.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 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R.S. arrived at BLS in 1957. He testified that he was placed into an induction unit where he stayed for about three weeks before being moved to cottage 3. He testified that his cottage supervisors were Mr. Foster and Mr. Bishop. He alleges that while he was at BLS that he was physically abused by Mr. Bishop and sexually abused by Mr. Lawson by being forced to submit to fellatio.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a similar fashion as other plaintiffs, R.S. made no disclosures of this alleged abuse for close to 40 years. He never made a complaint to the police. He did not tell any of the many examiners over the years about the abuse, not even the physical abuse. For example in the 1990s, R.S. saw a counsellor (Bob Lee) bi-weekly for 18 months. He made no mention of BLS abuse. He agreed in cross-examination that he had seen at least six or seven psychologists over the years and had never discussed physical or sexual abuse at BLS with any of them. He conceded, however that he had disclosed the physical and emotional abuse he suffered at the hands of his father. Again, in connection with Parole Board hearings, R.S. never disclosed any physical or sexual abuse at BLS until after he read the Vancouver Sun article published on March 7, 2000. R.S. also agreed in Cross-examination that he was used to a pattern of "lying and deception" in prison to cover up his heroin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R.S. has the same monetary motivations as do all the other plaintiffs to fabricate or exaggerate his claim. He is currently unemployed and on lifetime parole. Realistically he has very little prospect of obtaining gainful employment given his criminal history and age. He currently lives on $4 per day provided by the federal government. He did not have to pay for any of the courts costs or disbursements associated with this lawsuit. He has no assets, no savings, and no job. After his full parole begins, he will be cut off the $28 per week he is currently receiving. He plans to move in with his daughter because he has no means of supporting himself. R.S. agreed that he has "nothing to lose financially in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R.S. also testified that he started counselling with Irene Peterson (also counsellor to B.G., R.A., A.G., L.O., R.P., and two similar fact witnesses) in 1999 to enable him to have something to "give" to the Parole Board. During the first 14 month period of time that he was in counselling with her he did not disclose any BLS abuse. R.S. testified he read an article in the Sun (Exhibit 11) regarding four inmates suing for abuse at BLS.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Sun article (Exhibit 11) describes in detail the allegations of abuse, the one armed guard with the wooden hand, the amount of money obtained in previous cases, the fact that counsel for the four men believed that all the staff were dead and that counsel expected other people to come forward. It is in this context that he advised Peterson that he had been abused 42 years after leaving BLS. He wanted to get funding for therapy, which he had previously been paying for himself, through RHAP and asked Mrs. Peterson to give him the name of the lawyer who was helping the other men. Within a few months he too had initiated a lawsuit against the government alleging abuse against several dead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R.S. admitted in Cross-Examination when asked about the importance of everyone having the same story he stated that he understood that "Yeah, that would be important, I would imagine,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R.S. claims to have made a disclosure to his daughter about 8, 9 or 10 years ago of being "molested and assaulted" while at BLS after reading an article about "Dippy Dan". His daughter testified that he had told her about being made to run around the gym before this date, but disclosed sexual abuse in about 1994 or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R.S. gave testimony that Mr. Bishop was a fairly short stocky man with two prosthetic arms, "two hooks for arms". When questioned in cross-examination about whether he had a "vivid" memory of Bishop having two prosthetic arms, he said yes. In Bishop's application for employment to BLS (dated approximately 1956) Foster is stated to be only 5'6" tall and weighing only 156 pounds. Bishop indicates that he has had his left arm amputated 2" above the left wrist. Other witnesses have indicated that Bishop had one arm amputated, not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R.S. alleges that Bishop made him, and sometimes other boys, run around the gym as punishment. He conceded in cross-examination when questioned about whether this was always done for a disciplinary reason he agreed "Yes. There was always a reason". He also agreed that Bishop always ran around the gym with the boys. This in itself suggests that this "discipline" was not egregious as alleged because the supervisor did the same activity he was asking of the boys. At trial he indicated that this had happened about "10 times", while at discovery he said it happened about "three to four times". The other incident of abuse is alleged to be an incident where Bishop "choked" him in response to R.S. putting metal and toilet paper into light sockets and lighting the toilet paper. R.S. agreed that he knew that his light socket activity was not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most serious allegations that R.S. makes are against Mr. Lawson. He claims that on several occasions Lawson performed fellatio on him while he was in the security unit. Like others R.S. describes Lawson as having been in a fire; a burned and oily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R.S. claims he was sent to security six times and that the reason he was initially sent to security was for smoking cigarettes. There is evidence from several former staff members that the kinds of offences that would result in a stay in security generally were for the more serious offences such as running away, fighting or insubordination. Additionally, the records of BLS written at the time state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chief supervisor reports that R.S. has not been difficult to program for although he's been involved in many misdemeanours which have not been too serious. His work habits are improving and he has been making a real effort throughout the whole school program. His behaviours have been treated by removal of some privileges. And this was found to be most effective. He is quite immature and likes to act the big shot.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Crown submits that R.S. did not get sent to the Security Unit, and that if he had it would likely be recorded in the manner that other boys' detentions were recorded, as shown in the file review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R.S. stated that he did not tell any staff at BLS what was going on regarding sexual abuse, although he had indicated at his examination for discovery that "I could talk to them all pretty well" referring to the other staff at BLS.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R.S.'s version of the abuse is that Lawson would perform fellatio on R.S. In contrast, R.S. told his daughter a different version in which Lawson forced him to "perform sexual whatever on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R.S. claims that Lawson sexually assaulted him in the mattress room while getting his mattresses each afternoon. The "mattress room" was located adjacent to the entranceway to the Security Unit. It had a mesh window in the door, which would make observation by anyone entering the Security Unit an easy task. The court heard evidence from Mr. Bailey, Mr. Noble, and Mr. Cronin, among others, about staff having keys that accessed virtually all the rooms at BLS, including the Security Unit. As admissions to the Security Unit were not planned or scheduled, Mr. Lawson would have no safe way of knowing when he could carry out his sexual misdeeds undetected as a Senior could arrive unannounced with a boy at any time. The Superintendent could stop by or a caseworker could drop in to see one of their boys. The location of the mattress room right by the entrance to the Security Unit meant that Mr. Lawson was engaging in extraordinarily risky behaviour when he allegedly abused boys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R.S. also gave evidence that he did not observe any staff sexually molesting boys. He did, however, give evidence that Mrs. Mack did not wear panties. He allegedly observed this on an occasion with another boy down in the laundry room. He testified that he somehow ended up in the laundry room and was able to lie down on some laundry bags and look up Mrs. Mack's skirt and observe that she was not wearing underwear. He wasn't sure if it took place in the morning or afternoon. Given the evidence about the level of staff activity in and around the laundry room during the majority of the day, it is unlikely that any such activity took place as the laundry room would have been staffed with other women at the time this peeping was going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Similar to D.L.'s "shiny shoe" trick with Mrs. Bennett, this allegation is likely a story designed to assist those men making claims against Mrs. Mack by implying that she is a loose sort of woman who doesn't wear panties. The Crown suggests the rumours and stories about Mrs. Mack are more based on myth or teenage boy fantasy, than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R.S. gave his evidence in a quiet, distant and guarded manner. However because of reservations previously outlined concerning his evidence, I am not sufficiently persuaded that R.S.'s allegations regarding Mr. Lawson are necessarily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 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Crown submitted that there were a number of discrepancies in R.P.'s testimony with respect to Lawson. In his testimony, he remembers being pinched by Lawson and that he had "slight bruises" on the back of his arms from the pinching. On his examination for discovery, he testified that the pinching "doesn't leave a mark or anything". When confronted, he explained "I think what I meant by that was didn't leave a scar or a permanent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He also testified that he was whacked with Mr. Lawson's wooden arm a couple of times and that he was punched on the arm quite a few times. On examination for discovery, he had agreed that he was only hit once with the wooden arm and agreed that on that occasion it was for some act of insolence. He agreed that the examination for discovery answer was true. There is also a contradiction between his testimony at trial and examination for discovery with respect to which of Lawson's arm was the wooden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At trial, he testified that at one point he thought Lawson had a moustache but upon reflection, he was satisfied that he didn't have a moustache. He agreed on cross-examination that on examination for discovery, he had testified that Lawson had a little thin moustache, army-type moustache "I remember my dad had the same type of moustache, military thing or something". He said that his testimony was a "mistake". It is obvious that R.P., following the examination for discovery, realized that Mr. Lawson could not have had a moustache given the fact that his face was badly burnt, but given the nature of his allegations the fact that Mr. Lawson had or did not have a moustache, should have been something that R.P. would have a clear memory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R.P. also agreed that if he had shouted out something in protest from the mattress room where Lawson was perpetrating his assaults, there were other people in the Segregation Unit that would have heard him. He further testified that the special favours that Lawson was giving to him would also have drawn special attention to those inmates that something was going on between Lawson and himself. This, it was submitted, Lawson would not have done if he were actually doing the things that R.P. alleged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Further, he testified that Lawson told him to keep his mouth shut and that if he didn't keep his mouth shut, Lawson would put in bad reports which would result in a lengthening of his stay. However, on examination for discovery, he stated that Lawson did not say "if you do this you will be here forever" or words to that effect, but that Lawson gave examples of other people who ran away and as a result of running away had to spend extra time. R.P. agreed that a simple warning by a supervisor at that stage of his stay at Brannan Lake would have been good advice, namely to keep his nose clear for the remainder of the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One of the more serious discrepancies lies in the fact that R.P. is sure he was sent to Segregation for smoking a cigarette. He testified that he was sent there three weeks to a month before his appendicitis caused him to be transferred. Evidence from other witnesses demonstrates that R.P. would not have been sent to the Segregation Unit at all for something like cigarette smoking. Segregation was reserved for serious matters such as going AWOL or hitting a staff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It is also difficult to believe R.P. when he says that when he commenced his lawsuit he did not know that Lawson was dead or that most of the Brannan Lake documents were destroyed. He stated that he was not aware that logs which would have recorded the dates he spent in Segregation and the reasons he was sent there were no longer in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One of the most important pieces of evidence for the Crown is the letter of June 9, 1959 from Mr. Hassard, the then BLS director, to R.P.'s probation officer. This was a pre-release letter which suggests that R.P. had fully recovered from his appendectomy and was back in the general population and that R.P. was never disciplined for any serous misdemeanours. It further stated that the "discipline used with respect to the minor detentions has been limited to temporary loss of privileges", which is entirely inconsistent with R.P.'s stay in the Segregation Unit. If R.P.'s testimony is accepted, the implication is that the letter was written in language as an attempt to cover up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R.P. was also asked whether he did report to the probation officer following his release and he said that he believed that he did. When asked whether he told them about the things that happened to him with respect to the appendicitis and everything else, R.P. answered "I don't remember if I did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If the events did occur as R.P. described, it is difficult to believe that R.P. would not have disclosed them to anyone over the years. His explanation was that he was ashamed and embarrassed to disclose what had happened to him. He said that when he finally did come forward with it when he was in Matsqui, he testified that he already knew about the lawsuit. He claimed that the reason for coming forward was that while he was in Matsqui, "I thought I was going to die there. I had been there 30 years before and I was there again. I thought it was time to clean the slate". It was submitted that the thought of getting a large damage award was probably the real motivation to come forward with the disclosure, especially having regard to the fact that he had no difficulty disclosing his earlier sexual abuse that occurred prior to Brannan Lake. Further, he also agreed that the "con code" that was in place in the prison system including Brannan Lake, did not consider fellatio (when you were on the receiving end) to be a homosexual act. In fact, on cross-examination, he agreed that when he witnessed "Debbie" K. performing group oral sex on a number of boys, it appeared to be sort of acceptable behaviour among the boys to receive oral sex. On re-examination, he was asked if he saw that incident before Mr. Lawson performed oral sex on him or afterwards. He answered that it was before Mr. Lawson took him to segregation.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For the above reasons, R.P.'s evidence is questionable as to veracity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 R.H.: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R.H. states that upon his first admission to Brannan Lake he was placed in the Security Unit for a period of one week and kept in the security "cages", as he put it, for one week without being let out except to shower. This is clearly inconsistent with other evidence presented, although if he was brought in on a weekend, he might have been held there until Monday morning at the latest.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He states that one of the supervisors in his cottage was named Reed or Ward. There is no evidence of a Reed or Ward who acted as a cottage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He states that one of the work activities he was assigned was to dig gravel from one pile and put it into another with no apparent purpose. The evidence given at trial generally does not support the suggestion that inmates were given meaningless activities to keep them occupied. There always seemed to be an endless supply of outdoor work on meaningful projects and there was simply no need or reason to place inmates on meaningless activities. Nor is there any corroborating evidence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R.H. refers to Twidale as the "Turkey Man", because, he said, he raised turkeys on the side. This was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On his examination-in-chief, R.H. stated that when the incident occurred in which he was removed from his bed after midnight, Mr. Twidale, Mr. Reed or Ward and Mr. Lawson were the three individuals in the washroom. There is no evidence that cottage supervisors also acted as night watchmen and the positions of the individuals in question called for either a morning shift or an afternoon shift. There would be no reason for them to be in the cottage at that time of the day and it is highly unlikely they would have been there at such a time as to draw attention to themselves from the night watchmen (of which there would have been three or at least two plus a Senior) to serve the six cottages in the main building. This would also have risked drawing attention to their absence to their respective wives and families. This testimony is also inconsistent with a statement which R.H. made to Dr. O'Shaughnessy where he tells Dr. O'Shaughnessy that resident B. was there in addition to the three guards. Further, B., if he exists, or any of the boys who would have been in the cottage and heard the commotion, were not called as witnesses to corroborate this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When he was sexually propositioned in the washroom, R.H. testified that he grabbed a garbage can and threw it against the metal partitions for the toilets (although he told Dr. O'Shaughnessy he threw it against the metal doors of the toilets), started screaming and yelled for help. He said that two or three staff came running including "Pops" Foster (whom he described as a very nice man, an ex-boxer who spent time teaching the kids how to box). He then states that he was taken to the Isolation Unit and spent two weeks there. He further testified that on the night that he was placed in the cells, Mr. Twidale hit him on the side of the head and thereafter, every time they were on shift, either Twidale or Lawson would come by and kick or punch him, often in the presence of staff. This occurred at least eight or nine times and he claimed he was bruised by the kicking and punching and bloody a few times, but was never taken to hospital. The evidence suggests that if this had occurred, these individuals would have been reported and the incidents investigated.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Crown submitted this would not have occurred for the following reasons: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cottage supervisors were not authorized to place an inmate in the cells for a long period of time. Only the Chief Supervisor had such authority.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only would he have been visited regularly by the Chief Supervisor, but also by the case worker (who incidentally R.H. can't recall but admits that it is possible he was assigned a case worker).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R.H. had been hit and kicked as alleged and had the injuries to prove it, this would have been made known to the various supervisors who supervised the Security Unit during the two-week period as well as to the Chief Supervisor and the case worker; had this come to the attention of any staff person in authority, undoubtedly an investigation would have occurred. In addition, Mr. R.H. would have been given medical attention for the cuts that he alleges he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At trial, R.H. said that he told Sam Parker what happened and that Parker replied that he didn't believe R.H. On Cross-Examination, he said that he told either Parker or Bennett although he thinks it was Parker but that it was definitely not Bailey. He was then confronted with his Examination for Discovery where, when asked whether he remembered the name of any other staff members who would have come to the Segregation Unit during the time that he was held there for one to two weeks, he stated that he thought Mr. Bailey was the person who came. Furthermore, he was also confronted with his Examination for Discovery where he testified that at no time did he make any complaint to a staff member of any of the physical or sexual abuse that he suffered at Brannan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With respect to the incident at the lake when he was allegedly required by Twidale to stand in the lake to allow leeches to attach themselves to him, he says that there were two cottages of boys and two supervisors present. He said he then had to run a gauntlet between four boys, one of whom was one of the B. brothers and another individual named K.J. No witnesses were called to corroborate this incident. Mr. R.H.'s testimony does not include any recollection of having to remove any leeches from his body. Further, on cross-examination he testified that after the gauntlet incident, he ran to his cottage and stayed there by himself and subsequently rejoined the normal routine of school. By all accounts, allowing a boy to be unsupervised like this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He also states that a few days later he ended up at the nurse's station with pneumonia and told her what had happened. R.H. would know that the records regarding his admission at BLS were destroyed and the Crown is not in a position to affirm or deny whether or not he was even taken to the nurse's station. Nor does the Crown have alive a former nurse from this timeframe who could testify as to whether such an incident occurred. R.H. compounds this incident by suggesting that he was placed in the Security Unit for merely getting out of bed after being in hospital for a week. The inference is that the nurse placed him in the Security Unit. Such a suggestion seems absurd.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R.H. also testified that he was further placed in the Security Unit, twice for switching lines in gym assembly to avoid being with Twidale, once for refusing to work and once for smoking. With respect to the refusal to work, R.H. stated on cross-examination that at the end of a work day, Twidale arbitrarily took him to the Security Unit on the trumped-up charge of refusing to work and this was in front of the whole group. He stated that on Twidale's direction alone, he stayed in the Security Unit for one week. R.H. called no witnesses to corroborate this arbitrary use of power even though it allegedly occurred in the presence of a whole work crew. With respect to the smoking incident, he could not recall who took him to the Security Unit but the supervisor on duty stated that he smelled smoke in the day room where he was reading and accused R.H. of smoking. R.H. protested that he wasn't smoking, but he spent a few days in the Security Unit. Again, these placements in the Security Unit could not have been authorized by Twidale or any other cottage supervisor. It is highly improbable that any supervisor would attempt to arbitrarily impose a period of imprisonment in the Security Unit without securing the proper authority from the Senior and the Chief Supervisor and could not to do so in circumstances where there was no valid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R.H.'s above periods in the Security Unit were also associated with visits by Lawson and Twidale where he was punished for his two "escapes" from the gym by the application of the paddle by either Lawson or Twidale. The paddle was described as being 30 inches in length and six to eight inches in width, with a nine-inch handle with indentations on the paddle. On cross-examination, R.H. was "not sure if there were holes" and he stated that the paddling raised blisters. All the evidence suggests that the wooden paddle with holes was a myth. J.T. was the only other witness to allege that he was hit by a "bat" (on one occasion). All of the other witnesses referred to being paddled with a flexible strap. Not one of the 13 BLS witnesses who attended between J.T.'s stay in 1955 and R.H.'s stay in 1964 say they were paddled with a wooden paddle or bat. Virtually all other BLS witnesses attest to the paddle being a flexible strap and the only persons who assert there were holes in the strap were B.G. and J.T. (who claims to have been hit with a strap and a bat). A.G. suggested the strap was perforated. It was therefore submitted that R.H.'s testimony is a complete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According to R.H., he spent time in the Security Unit on a total of seven occasions, all for conduct which, according to the Crown's witnesses and some of the Plaintiffs' witnesses, would not have normally given rise to being sent to the Security Unit for any period of time. While R.H. was correct to say there was wire mesh on the doors (after he was shown an exhibit with a photograph of the Security Unit), he incorrectly stated that there were no windows in the cells. The Crown submits that there is every likelihood that R.H. spent no time in the Security Unit and was never administered any corporal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R.H. stated that he did not disclose any of this alleged abuse to his mother and father either during their visits to him at BLS or after his release. He stated that he told his parents that he was bullied by other boys because he was afraid, ashamed and frightened that he wouldn't be believed and would get into more trouble. On Cross-Examination, R.H. stated that he had a good relationship with his mother who was loving, caring and forgiving. With respect to the incident at the lake, the alleged arbitrary times he was taken to the Security Unit and paddled, and with respect to the times he was regularly hit and struck by Lawson and Twidale, there is no logical explanation why he would not have told his parents about those incidents either during the visits or certainly after he left Brannan Lake. Further, even with respect to the washroom incident (since it was merely an attempt to coerce R.H. into sexual relations and since he reacted by resisting actively and calling attention to the incident by the night watchman), it does not make sense that he would be so ashamed as to not tell any person about these incidents throughout his entire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R.H. testified that on one occasion, he walked into a washroom off of the hallway and observed Lawson with a 10 to 11 year old boy and that it was common knowledge that Lawson was abusing kids in the Duplex. He said Lawson's supervisory duties included the Duplex. There is no other evidence to suggest that Lawson's duties ever included the Duplex.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For the above reasons, I am not sufficiently persuaded that R.H.'s allegations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 G.G.: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G.G. was a resident of BLS on two separate occasions. The first was in 1964 for 3 1/2 to 4 months and the second was in 1965 for approximately 4 months. He claims he was sexually abused during his first stay only by Mrs. Mack and physically abused by Mr. "Pops" Foster and by Mr. Lawson. He also claims that he was bullied by other boys at the behest of Mr. Twidale, as well as being made to "crab walk" and carry bed rolls around the "triangle". G.G. states that he had no problems during his second stay at BLS.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G.G. gives varying descriptions of the incidents of sexual and physical assault in his direct testimony, cross-examination and in his interview with Dr. O'Shaughnessy.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G.G. claims that he was taken to the gym and made to box with another boy after getting into a fight shortly after his arrival at BLS. After the fight was over, he claims that Foster took him into a washroom near the gym, and beat him badly enough to cause him to vomit blood and pass blood in his urine. G.G. testified that he was left in the bathroom for an hour and then transported to the security unit where he was struck by Lawson. This is contrary to what he told Dr. O'Shaughnessy where no information was provided about an assault by Mr. Foster in the washroom and being left unattended. After a severe beating it is unlikely that it would not have been detected and contrary to the practice of close supervision with potential of escapes.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direct examination G.G. stated that shortly after arrival at BLS he was made to fight a boy in the gym. After, Foster then severely beat him and took him to security. He testified that Foster told Lawson that G.G. had been in a fight in the gym. In cross-examination he said that Lawson came into the cell, told him to get undressed, and when he did not move fast enough Lawson struck him on the head with his arm. He said that Lawson said something about not fighting with staff. He claims to have been knocked out (or at least thinks he was) and when he came to a man was bandaging him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G.G. also claims that Mr. Twidale, who was not his cottage supervisor, used to wake the boys up in the middle of the night at approximately 4:00 a.m., make them roll up their mattresses and bedding and run around the "triangle" at the school. The Crown submits that this allegation is simply not 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Mrs. Twidale testified that her husband did not work at night during the 1960s. He worked either morning or afternoon shifts. Other witnesses testified that staff did not switch between day/afternoon shift and graveyard shift. The graveyard shift was covered by staff in a completely different job classification and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G.G. also agreed in cross-examination that Exhibit 24 showed the dorms and the beds as they looked when he was at BLS in the mid 1960s. He would not agree that the mattresses were similar, as due to the passage of time he was not certain they were similar. The Crown submits that the mattresses were likely similar and that it would be virtually impossible for anyone to roll up and carry these mattresses around given their dimensions. In any event, even if they were different, G.G. describes the boys as having a two feet or wider roll with their mattress, pillow, sheets, and blankets all rolled up together and being made to run outside with this in the middle of the night. Again it is hard to conceive of this occurring as alleged. It is also important to note that in the Statement of Claim, G.G. claims that Foster was the one who required him to run around the "triangle" with his bed roll, not Twidale.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G.G. claims that he got the blanket treatment on his first day which he described as getting a blanket thrown over him and the boots being put to him by other boys when the supervisor was in his office. He claims that Twidale's "go to" boys were responsible for this blanket treatment. G.G. was not in Twidale's cottage and there is no evidence that Twidale ordered or directed this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G.G.'s most serious allegations are that he was sexually abused by Mrs. Mack in the laundry room on approximately 10-12 occasions. He claims that she performed fellatio on him and fondled his genitals, as well as forcing him to touch her genitals. These assaults allegedly took place "usually after 3:30, mostly after dinner or supper". He claims that he was sent to the laundry room for extra work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G.G. gave quite different accounts of the circumstances of the abuse with Mrs. Mack as well as describing different acts in his Statement of Claim. He testified in chief that the first sexual contact was when he went to go to the pool and he hung back from the group of boys because he was concerned about them coming after him. He described some of the boys as getting changed into their suits in the laundry area. In the course of getting a properly fitted suit, G.G. says that Mrs. Mack then allegedly inspected him, undressed him, then laid him down on some bags of fresh laundry and performed fellatio. In contrast in his interview with Dr. O'Shaughnessy, G.G. provides a very different scenario indicating that the first sexual contact was when he was assigned extra duty in the laundry and after cleaning up he was told to go to a back room where Mrs. Mack inspected him for cleanliness. At this point she then fellated him. He does not tell Dr. O'Shaughnessy anything about the "bathing suit"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his direct examination he gave no evidence that Mrs. Mack tried to have intercourse with him or tried to masturbate him. Nothing appears in the expert report prepared by Dr. O'Shaughnessy to suggest that G.G. told him of these things. Yet, in cross-examination G.G. suggested that these acts had occurred. His Statement of Claim makes no claim that Mrs. Mack tried to have intercourse with him, but it does claim that she masturbated herself in his presence. Again, no evidence was provided at trial regarding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highly structured environment at BLS meant that boys were engaged in scheduled activities almost constantly. There is evidence from a range of witnesses regarding the military like structure in which the school was operated for most of its years, and the lack of "free" time for boys. Boys were not permitted to wander around the school at will, and if they were sent to a particular area of the school, it was normally under strict conditions. The afternoon program (3-11 p.m.) was a series of scheduled activities primarily in the areas of sports and hobbies. Boys did these activities until supper, then were assigned again in the gym to after supper activities, then returned as a group to their respective cottages. The boys generally showered and changed into their pyjamas at this time. "Scoff" took place at around 8:00 p.m. in the cafeteria and then the boys returned back to cottage for quiet time before lights out at around 10:00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court heard evidence from many staff about the extremely high level of activity around this area of the school at all times of the day. Ken Lockhart, who worked at the school from 1966 until its closing in 1977, gave evidence about his activities supervising boys cleaning the lower halls outside of the laundry room during the years. This activity occurred on an almost daily basis. Bob Morgan, the school engineer from 1964 to 1974, gave evidence that he was frequently in the laundry room to work on the machinery, that he often stopped by unannounced, that he would pass by the laundry room quite often, and that he worked all three shifts during the years that he worked at BLS.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He also testified that this area of the school was used for a variety of afternoon and early evening activities such at TV, hobbies, woodworking, and arts and crafts. Ken Lockhart's evidence regarding the high activity in the lower halls area after school and in the evening was corroborated by several other staff such as John Moore, Fred May, Marie-Ange Thurstein, John Noble and Bob Cronin. Indeed, many of the similar fact witnesses and plaintiffs conceded in cross-examination that there were many activities that took place in this area of the school. There are many rooms present in the vicinity of the laundry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In light of this evidence, the only conceivable time that G.G. could have been in the laundry room was between approximately 6:00 to 7:30 p.m., based on his evidence that the sexual activity usually took place after 3:30 p.m. "mostly after dinner or supper". During this time, the laundry room would have been busy with boys stopping by to pick up or drop off swimming suits, boys watching TV, boys doing hobbies in the arts &amp; crafts area, boys doing woodwork and the like. There were also other areas with staff in that area. Len Bailey gave evidence that as the "Senior" that he used to stop by to say hello to the laundry room staff when he was working on either the day or afternoon shift, and several staff have testified that the door to the laundry room was generally open, not closed. Marie Ange Thurstein gave evidence about the "social" aspects of working in the laundry room, and how frequently people stopped by to visit the ladies while they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evidence is also fairly clear that the laundry room staff worked on a different shift schedule than the cottage supervisory staff and, with the exception of Mrs. May and Mrs. Bennett who also worked in the Duplex, the laundry staff worked some sort of shift work. G.G., however, suggests that Mrs. Mack worked in the day time and then returned after supper to work the "extra duty" shift. He also suggests this is possible because she and Mr. Mack lived on the property only 100 yards away. Mr. and Mrs. Mack did not reside on the property. G.G. claims that every time he happened to get sent down for "extra duty" in the evening that Mrs. Mack would always be on duty. Given what is known about the shift patterns, this seems like extraordinary coincidence.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It is clear from the testimony of many former Brannan Lake staff that the laundry room was an area of high activity which left no real opportunity for sexual activity of the kind described by G.G. and others to occur. Given the passage of so many years, the destruction of records and plans, and the fading of memories it is difficult to determine exactly what the layout of the laundry room was at the material time. G.G. describes a back room where the sexual activity allegedly took place. This is similar, although not identical, to R.A.' and L.O.'s descriptions of an "office" in the laundry room. B.G. also describes something like an enclosure within the laundry room with half walls. What does appear to be the consensus however from the many witnesses who have no personal interest in the issue is that the laundry room was one large room, with windows at the end to the outside of the school, cubby holes for the boys clothes and a Dutch door at the opposite end which opened into the main hallways of the lower floor of the school. The door was generally left open, probably due to the heat present in the laundry room from the industrial washers and dryers.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G.G. testified that his initial sexual contact was in the laundry room where he was changing into swimming trunks for swimming. Apart from G.G. the preponderance of evidence is that boys did not get changed into their swimming trunks in the laundry room. The consensus of the evidence is that boys changed from their street clothes into their swimming trunks in the change room adjacent to the pool. It makes no sense that boys would change, in an open area in front of female staff, and then walk outdoors to the pool. The boys would then have to walk wet after swimming into the outdoors and back into the laundry room where they would presumably change out of wet clothes into their street clothes.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G.G. also claims that he stayed back in the laundry room because he was concerned about some boys bothering him in the pool. It is also clear from the evidence that staff constantly "counted" boys to try and ensure that none went missing. G.G. agreed in cross-examination that staff made a count of boys at shift change and had lists of boys and their respective assignment. The Plaintiff J.T. also agreed in Cross-Examination that boys were regularly counted by staff. If a boy was noticed to be missing between stopping at the laundry room to pick up a bathing suit and arriving at the pool, a staff person would have likely either immediately gone to look for the boy (if someone was available to look after his group), or called the senior to advise that a boy had gone AWOL. In either case, a staff member would have most likely returned to the laundry room to search for G.G. within minutes of him not arriving in the pool area. G.G. described the sexual acts as taking 20 to 30 minutes each time. It is unlikely that G.G. could be gone for 20 to 30 minutes without being noticed and searched for by staff. It is also unlikely that no one would have come by the laundry room or stopped in over the course of such a lengthy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Like the majority of the others who have come forward in this lawsuit, it is striking that disclosure of any kind of wrongdoing associated with BLS only came out in the context of bringing forward a claim for money against the government. The first person G.G. apparently told about BLS abuse was lawyer Megan Ellis, after overhearing a conversation amongst other inmates about BLS. L.O. recommended that he contact Ms. Ellis, which he did. At no time did G.G. make a complaint to the police. His first "action" in connection with BLS was to call a lawyer and advance a civil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G.G. admitted that he did not tell anyone at BLS about the sexual abuses by Mrs. Mack or the physical abuses by Mr. Foster or Mr. Lawson. Among other reasons he claims that there was a culture among the boys of chastising the "rats". This explanation does not cover off why he failed to tell anyone after release from BLS.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For example, it is clear from the evidence that G.G. described severe abuse at the Indian Residential School over the years, including sexual abuse. For example, in the late 1990s G.G. wrote an "Autobiography" for the Violent Offenders Program he was taking in prison. The autobiography describes severe physical, emotional and sexual abuse at the Indian Residential School; but does not describe any such abuse at BLS. Indeed, the Autobiography notes that: "The Catholic Residential School was more a prison, tougher than my two stints in the Bisco Reform School for Boys... grades 1 and 2 were probably the worst two years of my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He also describes severe dysfunction in his early life to many examiners, which he now suggests were lies that he made up because that is what people like the prison officials wanted to hear. It is important to note that these "lies" were repeated to a psychological examiner, parole officials, probation officers and others. The early records also reference other traumas but fail to mention BLS. One has to question why he would be prepared to lie about his own parents, whom he claims to care about, in terms of their alcohol use and treatment of him to benefit himself and cover up abuse by BLS employees who were strangers to him. It would be easier to tell stories about BLS which would not involve maligning his own family if he needed something to "tell" the prison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plaintiffs have relied on therapist's notes to bolster the credibility of their claims. In the case of G.G., it is clear from the evidence of Dr. Redhawk-Howes that G.G. was informed that her records would be disclosed in the course of litigation. She confirmed that he was aware of this as she wanted to ensure that she had his informed consent. Clearly the "record" was created at a time when litigation was not only contemplated but actively underway as G.G. did not seek her assistance until March 2002. His Writ was filed on June 29, 2001. As Dr. Redhawk-Howes notes also indicate, G.G. was referred to counselling by "Megan Ellis Law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G.G. testified that his cousin C. was at BLS at exactly the same time as him. In his autobiography G.G. describes C. as an "important person" in his life. It is likely that C. would have been in a position to comment on some of the physical injuries that G.G. said he suffered at the hands of Mr. Foster or Mr. Lawson, given that C. would have seen G.G. on a daily basis in the gym at assembly, in the dining room and elsewhere at BLS. C. might have also been able to testify about the "extra work duties" given to G.G. The inference to be drawn from the failure to call C. as a witness is that his evidence would not have supported G.G.'s description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G.G. has a lengthy and serious criminal record including convictions for perjury, uttering a forged document, false pretences, armed robbery, escape from lawful custody, and failing to appear. He, again like most of the plaintiffs, has nothing to lose in bringing forward this lawsuit. He has his disbursements paid for by legal aid, he does not have to pay court fees because he has been declared to be indigent by the Court, and he is getting counselling paid for by the state. It is also apparent that G.G. has much to gain by claiming what he is now claiming. After spending the majority of his life in prison, he likely has no assets and no real means of supporting himself. The court heard evidence from his therapist, Dr. Redhawk-Howes, that G.G. was under significant stress due to his lack of financial resources upon release from prison and this topic was a frequent focus of their counselling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Dr. O'Shaughnessy describes the sexual contact with Mrs. Mack as being G.G.'s first sexual experience but of note is G.G's statement to Mr. Adams, a psychological consultant, that his first sexual experience was in a relationship with a same age girlfriend which G.G. acknowledges was post BLS.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G.G. gave evidence about suffering a head trauma post BLS. Dr. O'Shaughnessy gave evidence on the impacts that such an injury can cause. The Crown submitted that, among other things, it has an impact on the overall reliability of his testimony 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Mr. G.G. has also had contact and conversations with several of the plaintiffs over the years. He stated in direct that he heard conversations about Mrs. Mack over the years "there were discussions about Mrs. Mack and Brannan Lake... I mean, a lot of people had done time, ended up in the penitentiary, and some of them could talk about it and laugh about it..." G.G. also testified that he got involved in the litigation when he overheard plaintiff "L.O. talking about it" in RHC and then he apparently told L.O. about what happened to him although he claims he did not go into detail. L.O. apparently referred him to Megan Ellis and told G.G. to call right away. G.G. then called Ms. Ellis and started the lawsuit. G.G. also knows R.A. and says it is "possible" he talked to R.A. about BLS, however then said he didn't remember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G.G.'s evidence is fraught with concerns about his reliability. I am not prepared to accept his evidence concerning Mrs. Mack.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 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R.A. was a resident of BLS from March 8, 1961 to March 7, 1962. He claims that he resided first in the Duplex (Cottage 7) where he was supervised by the Bennetts and later in the main building in cottage 4 supervised by Mr. Carmichael and then Cottage 3 where he was supervised by Mr. Twidale.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R.A. alleges that he was sexually abused by Mr. and Mrs. Bennett on numerous occasions in the Duplex (Cottage 7). The acts complained of include fellatio, cunnilingus and intercourse with Mrs. Bennett, and forced fellatio on Mr. Bennett, touching of genitals and attempted anal intercourse. These events are alleged to have occurred in the sleeping cubicle of cottage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R.A. also alleges that he was forced into submitting to fellatio and cunnilingus by Mrs. Mack in the laundry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He also describes physical assaults (squeezing sides and a cigarette burn) and forced "duck walking" at the hands of Mr Carmichael and Mr. Twidale encouraging him to get into a fight with another resident of BLS. He also describes being knocked unconscious by Mr. Bishop while on duty in a work gang.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keeping with the pattern of the other plaintiffs, it is notable that Mr. R.A. never made any allegations of a physical or sexual nature against any BLS employee or resident until the 1990s. R.A. saw numerous psychologists over the years through the prison system as well as applying for Parole. At no time in the nearly 40 years from his release date until the mid to late 1990s did he ever hint or suggest that anything untoward had occurred at BLS. Indeed, R.A. disclosed to several examiners that he had been at reform school (BLS), as well as disclosing sexual abuse by a "Big Brother" and physical abuse at the hands of his step father. It is telling that nothing negative about BLS was related by 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He first disclosed that he had been sexually abused to B.G. and physically abused to Irene Peterson. Only after talking to B.G., another plaintiff, did he get the idea to make a claim and get money for counselling paid for by the government through the Residential Historical Abuse Program ("RHAP"). R.A. testified that he wanted to get a counsellor outside of the prison system and he found out from B.G. that there was counselling available through RHAP but that in order to qualify that it had to be for sexual abuse. B.G., who also makes a claim of sexual abuse against Mrs. Mack, was described by R.A. as being his "business partner" in running a poker game out of Matsqui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R.A. had many opportunities to disclose what was allegedly happening to him, but did not. During the year that R.A. was at BLS, for example, his mother came to visit him on at least four occasions. They went off the BLS premises and were not accompanied by any BLS staff. He also frequently received letters from his mother (once weekly). R.A. stated that he wrote her "not that often", but the written records show that his mother wrote him at least 70 letters as of January 31, 1962 and that R.A. had corresponded "frequently". He also gave evidence that he had access to a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R.A. admitted that he made a complaint to the police in 1999 because he understood that he needed to do so in order to get money for counselling, which was something that he wanted. At the time of making a written statement about BLS to the police he had already retained a lawyer to represent him (although later in his testimony he changes his evidence and states that it was shortly after he went to the police). Regardless of which version is correct, it is clear that he had civil proceedings in mind at the time of making his first disclosures. Additionally, Mrs. Peterson had already told him at the time of the police report that he could sue for "physical and emotional damage" and he stated that was the reason he was only now "at this late date taking steps against Brannan Lake" by reporting to the police. Mr. Bennett gave evidence that no criminal charges have ever been brought against him or his wife arising out of any matter, including R.A.' complaints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Regarding the specific allegations of abuse there are significant discrepancies among the various versions, alterations of events and collusion amongst the other Plaintiffs and similar fact witnesses regarding the details of the abusers, the claimed abuse and the layout of the various areas of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For example, R.A. claims that Mr. Bennett forced him to perform three acts of fellatio on Mr. Bennett after R.A. says that he rebuffed Mrs. Bennett's sexual advances. He stated that this was the most serious of all the sexual abuse. However, R.A. admitted in cross-examination that this particular allegation was not described at all in his interview with Dr. O'Shaughnessy, his interview with Dr. Daylen or in his examination for discovery. He agreed that he had been asked whether he had described all the abuse that had taken place at BLS, and that he had not told the truth at his examination for discovery when he said "yes". The description provided at discovery did not include these alleged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Similarly he describes being forced to perform cunnilingus on Mrs. Bennett on almost every occasion that he had sexual contact with her, and yet surprisingly this specific allegation is not described at all in his Statement of Claim. The Crown suggests that the reason for this significant omission was that it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R.A. stated that he was in Cottage 7 for six weeks to two months and that the Bennetts were away on vacation for three weeks during that time. He described the Bennett's abuse to Dr. O'Shaughnessy as happening about "every two weeks" which means that it could not have occurred more than two or three times in the limited time he was in the Duplex, although he testified to more frequent occurrences.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He also described the sexual experience with Mrs. Bennett as being his first, although he admitted in cross-examination that he told Dr. Brink that his first sexual experience was with a same age girlfriend at age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R.A. describes all the sexual contact with the Bennetts as occurring in the cubicle of Duplex Cottage 7. He describes the cubicle as being in the top left hand side of cottage 7 and that it had walls nearly up to the ceiling and had a curtain across the doorway. Mr. Bennett testified that the cubicles never had curtains covering their entranceways and he describes the wall height as being approximately four feet high. Mr. May testified that the cubicle walls were about 3 feet high in Cottage 8. It can be inferred that the layout in Cottage 7 was likely similar. This evidence regarding the low wall height is corroborated by the evidence of W.A., former BLS resident, who lived in the Duplex in 1962, shortly after R.A. was resident in the duplex. W.A. described the walls as being about 4' high. Other witnesses also describe the cubicle wall height as being much less than ceiling height. Even R.A. conceded in cross-examination that the walls might have been much lower than ceiling height.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It seems clear that if the abuse had occurred as described with Mr. Bennett standing outside the cubicle that every boy in the cottage could have seen or heard the event, not to mention the night watchman. Moreover given the low height of the cubicle walls and the lack of a curtain, it also seems inconceivable that Mr. Bennett would be standing at the entranceway with his pants off or down and possibly masturbating where he could be observed by many. No eyewitness to any sexual acts between R.A. and the Bennetts has testified notwithstanding R.A.' assertion that everyone knew about the abuse and that a boy named Bird was also being sexually abused in the next cubicle.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R.A. describes the duplex office as being at the opposite side of the cottage, contrary to the floor plans and contrary to the descriptions given by several other witnesses such as Andy Bennett, W.A., Fred May, and Alvin Brown. The evidence appears to be certain that the observation area was located at the end of the dorm near the cubicle, not at the opposite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More importantly, R.A. describes the sexual abuse as occurring at night, during the "Sleeping time". It is clear from the evidence that the night shift was staffed by night watchmen, not by cottage supervisors and specifically not by the Bennetts. At the time of day that R.A. describes sexual abuse as occurring, the Bennetts were off shift and would be at home with their own son, not in the dormitory of the duplex. R.A. agreed in cross-examination that the Bennetts had a child living with them while he lived in Cottage 7 (although he describes the child as a girl). In 1961 their son, Andy Jr., would still have been a young boy and it is unlikely that he would be left home alone at night while the Bennetts were in the dorm.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night watchman would also be on shift and would remain on shift in the duplex between the hours of 11 p.m. and 7 a.m. when the day cottage supervisor came on shift. R.A. agreed that the night supervisor came on shift and sat in the little office between the two cottages in the Duplex. The night watchman would also patrol the dorm with a flashlight to check on the boys.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Given the close proximity of the cubicle to the office, the presence of the night watchman, the number of other boys who would be present in the remainder of the dorm it is inconceivable that the frequent sexual acts described by R.A. could have occurred without detection.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Mrs. Peterson testified about how she takes notes and confirmed that when she puts something in quotes in her notes that it is verbatim from what she has been told. It can be presumed that she also reviews her notes for the purposes of accuracy after she prepares them. R.A. also tried to suggest that an error had been made because he was undergoing EMDR therapy with Mrs. Peterson, but she did not indicate that he ever received such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R.A. also told his therapist, Irene Peterson, that he had been "sodomized 3 or 4 times a week for several months" while at BLS and that at times there was sex "daily". R.A. did not give any evidence at trial that such a series of assaults had taken place, and argued at trial that this note regarding sodomy in Mrs. Peterson's notes was in error. It is important to note that R.A. signed and dated the description of the abuse at the time (November 30,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R.A. testified that he attended school during his time at Duplex Cottage 7 (approximately three months) and for three months or perhaps longer during his time in cottage 3. However, according to the records maintained by the school and dated January 31, 1962, he attended the "academic school programme since committal and is approximately three quarters of the way through Grade VII". This would mean that he attended school until at least 5 weeks before his departure from BLS.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R.A. claims that approximately six months through his stay he ceased school and started to work on a work gang under the supervision of Mr. Bishop, who he claims physically assaulted him by squeezing his sides and by hitting him on the head with his prosthetic arm. Based on the documentary records suggesting that he attended school, this claim seems suspect. The Crown suggests that the documentary evidence supports the theory that R.A. was in school for his entire stay at BLS. It is also consistent with the evidence of the various school employees who stated that boys under 15 were required to attend school. R.A. did not turn 15 until October of 1961, more than halfway through his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R.A. testified that Mr. Twidale supervised a fight between him and a boy by the name of J.W. in Cottage 4. This contrasts with both his written and verbal statements to the police in 1999 when he stated that the fight was with a boy named L.B. When questioned about the contradiction R.A. offered a bizarre and convoluted story about various people changing their names over the years and that somehow this led to confusion on his part as to which boy he was "required" to fight under the supervision of Mr. Twidale.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R.A. also states in his Statement of Claim that Twidale "regularly directed other inmates at Brannan Lake School to physically assault and beat up" R.A. R.A. gave no evidence at trial that anything like this occurred at BLS.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R.A. also claims to have been sexually assaulted by Mrs. Mack in her "office" in the laundry room on three or four occasions. He describes various acts of fellatio and cunnilingus involving Mrs. Mack taking place during the "daytime" in the laundry room while other boys were present in the laundry room but no other staff were present, yet no boys were called to corroborate this. This "office" is said to be located within the laundry room and to have windows into the main laundry room, with a desk, filing cabinets and shelves.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It is of note that the only other witness to describe an "office" in the laundry room is R.A.' friend and accomplice in bank robberies, L.O. R.A. testified that he knew L.O. well: "L.O., I know L.O. better than the rest of the guys. Him and I were partners in crime". R.A. later admitted in cross-examination that "actually, R.P. and L.O. and B.G., I know them all about even". As well, R.A. and L.O. are connected through years of incarceration together and that R.A.'s daughter dated L.O.'s stepson.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R.A. also variously described Mrs. Mack as having mostly grey hair (at discovery), brown with grey in it (at trial) and light brown or blonde (to the police). The court has heard much evidence that in fact she had red hair and photographs submitted at trial supports this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There was evidence from many witnesses about the white nurses-type uniform that the laundry matrons wore, yet R.A. described her as wearing printed flower-like skirts and sweaters at his discovery. At trial he said she wore underwear, while at discovery he stated that she did not. His story as to what sexual acts occurred with Mrs. Mack changed from his discovery to trial to cross-examination. Mrs. Peterson's report also indicates that he stated that he had sexual intercourse with Mrs. Mack, which is an allegation not repeated in court or in his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There is evidence from several former employees such as Ken Lockhart, John Moore, Bob Cronin, Jimmy Mack that there was no office present within the laundry room and that Mrs. Mack did not have an office. Given the nature of her duties to wash and mend clothes, it is difficult to conceive of any reason why she would need an office or a desk and filing cabinets.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evidence also establishes that on the day shift there were always at least two women working in the laundry room up until the late afternoon. There was a morning/day shift which overlapped with the two cottage house matrons working 9 a.m. until approximately 12 noon. The day shift has been variously described as 7 a.m. until 3 p.m. and also as 9 a.m. until 5 p.m. A second laundry matron came on duty at 1 p.m. until 9 p.m. The laundry room door was usually open and the area where the laundry room was located was a busy part of the school both on the day shift and the afternoon shift. The laundry was adjacent to the stores (staffed by a store man), the motor mechanics shop, the hobby room, the TV room, and other rooms used on a daily basis by numerous staff and boys. Mrs. Mack's son also gave evidence that during the majority of the 1960's that he had a paper route and that he often stopped by unannounced to visit his mother in the laundry room. Many other former staff gave evidence about dropping by unannounced to the laundry room at all times of the day shift and afternoon shift to visit the laundry matrons, see how they were doing or to generally carry out staff supervisory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During the course of cross-examination, R.A. repeatedly admitted being less than candid with both Dr. O'Shaughnessy and Dr. Daylen during the course of their interviews with them. He also admitted to lying to the Parole Board in order to try and present a better picture of himself to the Board to get release from prison. He also admitted giving Dr. O'Shaughnessy false information about being asked by Mr. Twidale to be a "chaser" and that he failed to tell Dr. O'Shaughnessy about being hit by Mr. Bishop or having his foreskin "inspected" by Mr. Bennett. R.A. also admitted to providing exaggerated evidence at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R.A. agreed that he was not subject to any corporal punishment (strap) during his time at BLS. He stated that the boys did have rumours about a "paddle" but he had no first hand knowledge of it. R.A. also agreed that the "paddle" was something in use at Haney Correctional Institute in the l960's. If R.A. was getting into fights and disrupting the activities of the school to the degree that he suggests, it seems likely he would have received the strap. The lack of strapping supports an inference that he was not getting into the kind of fights and trouble that 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During his evidence, I found R.A. to be verbally facile but evasive in cross-examination. His evidence was laden with contradictions. His account about Mr. &amp; Mrs. Bennett having sex with him in the dorm cubicle is so bizarre as to be incapable of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 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A.G. describes Lawson as "a nightmare", that he looked like Freddy Krueger, a person in a horror movie whose face was burnt and who looked like a demon, "a monster, for lack of a better expression". He also testified Lawson "was an evil looking individual" and "had a personality to match". The photographs tendered in evidence through George Lawson Jr. demonstrates that A.G.'s description of Lawson is inapt. More importantly according to his son George Lawson Jr., he never lifted a finger in anger with his son nor did he ever observe his father being angry with anybody at any time in his entire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A.G. stated that Lawson seemed to be in control of the gym area and pool area because when he had janitorial duties in those areas, Lawson was always there. There is no evidence to suggest that Mr. Lawson was at any time in charge of those areas, nor is it likely he ever would have been left to supervise the pool given his disability with respect to swimming. It is worth noting that George Lawson Jr. never remembered, unlike other children of staff, attending the Friday night pool sessions for staff and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On examination-in-chief, A.G. said that the boys called Lawson "Bacon Head" or "Bacon Face" and told A.G. that Lawson's name was "Bacon Head". A.G. said he was na've enough to believe this and approached Lawson, asked him a question and called him "Bacon Head". Lawson got quite upset and, as A.G. put it, the relationship got off on the wrong foot. It is most unlikely that even A.G., at the tender age of 12, would have been na've enough to think that Mr. Lawson's name was "Bacon Head". A.G. alleges that the first incident with Lawson occurred after he had performed his janitorial duties in the pool area. He said he was getting ready to go swimming when Lawson came up to him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You're not finished. I said, no, I'm finished, I did it again. And he said, it's not good enough, get your fucking ass out here and finish it properly. And I said, fuck you, baconface. And he ordered me into the closet there, the stage area, bathroom area, and he performed some inappropriate behaviours.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What--what specifically did he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took me into the closet and stuck his hand down the back of my pants and stuck his finger in my rectum.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that if A.G. told anyone, Lawson would kill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On cross-examination, it was suggested to A.G. that when he called Mr. Lawson "Bacon Face or Bacon Head" it made him extremely upset and not only humiliated him but made him very angry, which A.G. conceded. He was then asked to confirm that when Lawson took him into the closet and stuck his finger in his rectum, Lawson was still in a state of anger, but A.G. stated that when he was taken into the closet it wasn't immediately after that incident. A.G. stated that Lawson didn't immediately take him to the closet "because there were so many people... there was quite a few people around. So he disciplined me verbally and the next day is when he performed the sexual assault on me". When it was put to him that he never mentioned that the sexual assault took place the following day on his examination-in-chief he replied "I never mentioned it at any time" referring also to his examination for discovery and to statements made to Dr. O'Shaughnessy and Dr. Coen.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A.G.'s second inconsistency respecting the first incident occurred when, on cross-examination, he was asked, "so let me get this straight. You are saying that today... let's deal with the first occasion. He didn't like your cleaning up, you called him this name, he did nothing that day?" A.G. replied in part, "he didn't have a problem with my clean-up that day. It was the other fellows talked me into going up and calling him Mr. Bacon Head because I didn't know that was his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With respect to the second and third sexual assaults by Lawson, A.G., on examination-in-chief, was asked whether Lawson ever did anything like that again. A.G. responded that there were two other occasions where he inserted his finger up A.G.'s anus "out of anger for my not cleaning up well enough and my telling him to fuck off". On cross-examination when attempting to confirm his evidence in-chief that he didn't smell his finger on the first incident, A.G. responded that he did it the first time - not only did Lawson smell his finger the first time after sticking it up his anus but he also did it the second time. On the third occasion, A.G. states that he was so much in shock that "he peed himself and everything" (which answer was also inconsistent with his examination-in-chief because during in-chief he said that he peed himself and was in semi-shock on the first occasion). On the occasions when Lawson stuck his finger up his anus and smelled his finger it made Lawson more angry according to A.G. All three episodes make no sense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On cross-examination, A.G. also mentioned that, with respect to the second and third incidents, Mrs. Mack queried him as to why was there blood in his underwear and A.G. told her that he got a sliver in his rear end from the obstacle course. When asked whether he ever told that to anyone before giving his evidence, Mr. A.G. replied in the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A.G. agreed that the anal penetration by Lawson was not perceived by him as sexual activity but as retaliation or punishment for what he had said to Lawson.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During his testimony in-chief, A.G. also testified that Lawson physically assaulted him with his wooden hand just about every day; he said that Lawson did it in the gym during assembly when other staff were present. He also observed Lawson hitting other boys and at no time did staff persons ever intervene. He said that it became part of the daily routine "just normal behaviour". On A.G.'s second stay at Brannan Lake, he did not encounter Lawson as often but on cross-examination he indicated that he would encounter him occasionally in the hallways and that Lawson would clout him with his wooden hand "every once in a while just out of spite, I guess". He also testified that Lawson treated other residents in the same fashion. A.G.'s description of Lawson's behaviour as a staff person at the school is completely inconsistent with the evidence tendered at trial by defence witnesses and many of the plaintiff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A.G. also said that Mr. Wheat's used to punch him arbitrarily in much the same fashion and that Mr. Wheats also treated other residents in the same way. This is also inconsistent with the evidence of Crown witnesses and the evidence of some of the plaintiff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A.G. also testified that a boy by the name of "Roddy", who lived in the cottage opposite his cottage during A.G.'s second stay at Brannan Lake, came over one night when he was sleeping and stuck his penis in his mouth. A.G. said Roddy woke A.G. up saying, "this is from the 'Turkey Man'", at which point A.G. screamed to attract attention and Roddy ran and laid down and pretended he was sleeping when the guard came around. A.G. agreed that there is nothing to suggest that Mr. Twidale had actually directed Roddy to perform this deed and to state those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During A.G.'s first stay at BLS, he worked in the laundry room for a week and a half, possibly two weeks, and he testified that he was not sexually assaulted during that period of time. During his second stay, however, at a time when he was cleaning the changing room to the swimming area, Mrs. Mack approached him when he was naked in the changing room to the swimming pool. He testified that the laundry room area was connected to the swimming area and he testified that mutual oral sex occurred and then continued over a period of nine to nine and a half months. He estimated that he had no less than 10 encounters with Mrs. Mack and that the encounters would occur two or three times a month. The encounters included two occasions where sexual intercourse occurred in the rec room above the gym. As A.G. described it, the laundry room was adjacent to the gym and from the laundry room there was a wicket there and Mrs. Mack could see into the changing room. According to A.G., Mrs. Mack was supervisor for the swimming pool/gym/laundry area (it would appear from the evidence that he was referring to the janitorial maintenance of those areas at least). The encounters, according to A.G. during in-chief examination, occurred during clean-up of the changing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He described that the wet towels and dirty clothes lying around would be sorted into different bins as part of the clean-up duties. On cross-examination, he said he threw the towels into a bind and then cleaned up the change room area. After he had finished cleaning, it was his free time to do with as he chose and his choice was to use it for swimming time. This evidence is contrary to all the other evidence at trial. First of all, the laundry room was not connected to the swimming area or the gym area. Secondly, Mrs. Mack never performed supervisory duties in the gym and swimming pool area. Thirdly, the common procedure with respect to towels and swimsuits would be that they were picked up from the laundry room when a group was going to go swimming and returned to the laundry room after the swim (not by some janitorial work crew the following day). Fourthly, no boys at the school were ever left unsupervised and there is certainly no evidence to suggest that any boy would ever be allowed to go for a swim by himself unsupervised.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With respect to the assaults by Lawson, A.G. testified that even though he blamed himself in the sense that he "felt that I'd overstepped my bounds", he always thought that the punishment used by Lawson was "excessive" and that from the time it happened onwards he knew that what Lawson did was both wrong and unfair and that it constituted an unjustified assault on his body. Despite the arbitrary and brutal treatment allegedly directed against A.G. by Lawson, Wheats and Twidale, no mention is made of this to the various psychologists and psychiatrists he has visited over the years. There was no reference to the brutal treatment received at the hands of Brannan Lake staff until last year. He also admitted to telling various psychologists and psychiatrists within the prison system over the years that he blamed his lifestyle with his earlier upbringing.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With respect to his two murder convictions in 1978, A.G. admitted that he told Dr. Saad in March 1980 that he appealed the convictions because he was framed by the police and that he has told various people at various times that he committed the acts in self defence. When confronted with a statement by A.G. to Dr. Steven Lustig, on or about August 9, 1993, that showed A.G. felt there was not enough evidence to convict him and that his lawyer did a poor job, A.G. did not recall such a statement. He did, however, recall telling Dr. Lustig that he thought the sentence was too harsh. When confronted with the statement in the report of Johann Brink dated May 22, 1997, which attributed to A.G. the statement that his sentence was unfair and that the victims were Greek and the judge was Greek, he conceded he made those statements. He also acknowledged that part of the report which refers to A.G.'s transfer from William Head back to Matsqui. The report states that A.G. once tried to arrange the cancellation of the transfer by offering information about a female staff member engaged in sexual improprieties with an inmate and that, when confronted, A.G. admitted that it was a fabrication. In cross-examination, A.G. stated it wasn't a fabrication although admitted to saying that it was a fabrication. He offered no explanation to the Court as to why he would tell Johann Brink it was a fabrication if it was not a fabrication. One is left with the impression that it was a fabrication, which demonstrates A.G.'s propensity to lie to manipulate the system to his advantage. More importantly, it demonstrates A.G.'s propensity, not only to lie to better himself, but to make defamation statements of a discreditable nature about an innocent female staff person within the prison system. Alternatively, if A.G. is to be believed when he says that the story was not a fabrication when he told Johann Brink it was a fabrication, again it demonstrates a propensity to 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This is a man who was diagnosed as having early childhood conduct disorder, anti-social personality disorder and heroin addiction. He is still serving a life prison sentence for two counts of murder which occurred in 1978 from a botched robbery where he stabbed two persons in attempting to escape. A.G.'s veracity and reliability are seriously questionable.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I.S. makes an allegation of sexual abuse only against Mrs. Mack. He alleges he was physically abused by Wheats, Twidale and Lawson. He also indicates that he was sexually abused by two former inmates, R.L. and "F.".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I.S. has spent most of his life in incarceration. He is currently imprisoned at Matsqui Institution and has spent time in Mission, Kent and Ferndale Institutions. At trial, Mr. I.S. conceded that, over the years, men incarcerated together who had been admitted to BLS as youths have talked about having sex with Mrs. Mack at BLS.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I.S. claims that he disclosed to his parents that he was beaten by a boy at BLS named "F.". He also claimed he disclosed the sexual and physical abuse by F. to another inmate, B.S. He said B.S. went immediately and found F. and "beat the shit out of him". He also maintains that he disclosed his abuse at BLS to Gayle Harvey, a woman he lived with for about four years, some years ago, as a result of problems they were having sexually. I.S. told the Court that Mr. Spencer and Ms. Harvey are both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He testified that his first full disclosure of abuse was made to B.G. He said the trigger for the disclosure was a story he saw on CTV television about other people who were claiming they were abused at BLS. He phoned the television station and from there "ended up" talking to B.G. He further claims his first detailed disclosure about the sexual abuse he alleges were made to Megan Ellis. He was, in turn, referred by Ms. Ellis to the RHAP Program and was undergoing counselling with Martin Bartel. I.S. stated that he has not made full disclosure of the abuse he alleges took place at BLS to Mr. Bartel. Though his funding to see Mr. Bartel has been funded by the Province based on I.S.'s allegation of abuse at BLS, in cross-examination, I.S. testified that he did not consider Bartel's therapy to relate to BLS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I.S. testified that he has known B.G. for over 30 years and have crossed paths a number of times. He denied that they are friends, calling B.G. an acquaintance. It is worth noting that I.S. knows B.G. and acknowledged giving B.G. his bike to him which indicates more than a passing acquaintance. He acknowledged that he has spoken to B.G. a number of times about the lawsuit, in "vague detail", but "we didn't discuss anything in particular about any abuses in particular". The Crown submitted that it is not credible for Mr. I.S. to suggest that he and B.G. did not discuss any details of their abuse, especially as the issue supposedly arose out of a story on CTV. That a story would appear on television with only "vague" mention of the abuses being alleged is highly doubtful.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I.S. also acknowledged that he has seen at least six different psychiatrists or psychologists throughout his years of incarceration and attended the intensive "Violent Offender Program" at the Regional Health Centre at Matsqui Institution. He has never disclosed abuse at BLS to any of those professionals. Rather, he has repeatedly provided them with detailed descriptions of the anger and confusion he feels as a result of childhood abuse from his own father. At trial, I.S. took the untenable position that all of the allegations of abuse by his father made to the various professionals were fiction and that the only problems he had relating to his father were due to his own drug use and criminal lifestyle. In a piece of testimony that can only be described as bizarre, he testified that he had a friend who had taken a psychology programme in prison and had advised him to lie to the professionals about understanding the connection between his invented childhood abuse and criminal lifestyle, in order to appease the professionals and secure an earlier release from prison than would otherwise be possible. The Crown says that this is not credible: the records of the psychologists prove that I.S. has been consistent in his report to them since at least 1985 in a very detailed manner about the childhood abuse he suffered. He now states to the Court that he and his father were "very good pals". Alternatively, if this evidence were accepted by the Court, the Crown submits that one can take the same view of his evidence at this trial, i.e. he is a clever manipulator making false allegations to achieve his own ends. Either interpretation leads to one conclusion: I.S. is deceptive, dishonest and manipulative.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One of the difficulties presented in this case, with all the Plaintiffs but particularly with I.S., is that I.S.'s memory with respect to events, particularly dates, was not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I.S. alleges that he was physically abused by Mr. Twidale, Mr. "Wheats" and Mr. Lawson. He described Mr. Twidale as having "buggy eye" and "smelled repugnant". This does not match any description of Twidale. By this, he did, however, state that Twidale lived on a turkey farm across the road from the school and was nicknamed "Turkey Man". This testimony points to collusion with other Plaintiffs. I.S. has confused the Plaintiffs' stories about Mr. Wheat and Mr. Twidale. In fact, Mr. Wheat (not "Wheats") was the farmer who lived across the road from BLS. (Mrs. Wheat testified that she still resides on the property adjacent to what is now the "Nanaimo Correctional Centre".) Mrs. Twidale testified that she and her husband never had turkeys on their farm (a number of miles away across the lake from BLS) during the time that Mr. Twidale worked at BLS. The Crown says that these allegations are fabrications.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I.S. described Wheat, Twidale and Lawson as screaming, and very violent. He said Mr. Wheat had a short fuse and "would all the time put his forearm against your throat and throw you into a wall and keep you there". I.S. stated that Mr. Wheats used to pick him up like a rag and pin him against the wall and on one occasion hit him across the side of his face with the back of his hand. He stated that Wheats and Twidale used to think it was "hilarious" when boys were involved in a fight with one another, but he did concede that both of them would intervene if they thought the fight was "going overboard".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According to I.S., Mr. Twidale had a habit of pinching and twisting boys' nipples and of rapping them on the head with a knuckle or a key. He said Twidale did these things to him on several occasions, sometimes in the presence of other staff. Twidale allegedly told him that if any boy ever went onto "his turkey farm" when on AWOL, he would shoot them. I.S. further claimed that Twidale, on one occasion, forced him to eat a cigarette.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He describes Mr. Lawson as having "a long, black glove" over a wooden arm. He said Mr. Lawson used to hit him over the head with his stump, his wooden arm. He said Mr. Lawson had a terrible temper. This description of Lawson flies in the face of Mr. Lawson's son's testimony that his father was mild-mannered and never hurt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I.S. claimed a supervisor of cottage 6, whose name he could not recall, screamed at the boys and was able to bend a dime in half. Again, this evidence appears to be confusion on I.S.'s part about the evidence he was supposed to be making in support of other Plaintiffs' evidence. Several Plaintiffs' witnesses have suggested that Mr. Burdett, a Senior Supervisor who did not supervise a particular cottage of boys, threatened them by bending a dime in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I.S. makes an allegation of sexual abuse against Mrs. Mack. He said she ran the laundry room. He said on the first instance, he went into the laundry room, inside the laundry room was a second room where the swimming trunks were kept and where the boys changed into their trunks to go swimming. He said he was late and therefore alone, and that he could see Mrs. Mack "down below". This evidence contradicts that of Crown witnesses and many plaintiffs' witnesses who said that boys changed into their trunks in the pool change room. (Common sense dictates that this testimony is inaccurate: it would necessitate boys walking down the halls to the laundry room from the pool in dripping wet bathing suits which would both cause a mess to be mopped up and cause the floors to be slippery.) Mr. Morgan, the Building Engineer, in particular testified that there were no interior rooms in the laundry room. Mrs. Mack was said to have performed fellatio on I.S. on the first occasion and there was mutual oral sex on the second occasion. He claimed that after the second occasion, no further assaults occurred because he refused to go to the pool. He said as a result of refusing to go to the pool, he thought he was thrown into Segregation, but he couldn't specifically recall that. I.S. provides no explanation as to why he could not simply pick up his trunks with the other boys and go to the pool change room shown on the floor plans of the School and proceed to the pool. The only explanation for this is, the Crown asserts, that the assaults never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I.S. also testified that he was sexually abused by a boy named "F.". He was not able to identify from the BLS Register the name of his inmate assailant, Mr. F. He said that Mr. F. was a favourite of Mr. Twidale's. He said the older boys were permitted to "roam around" the School, a scenario not supported by any of the Crown's former staff witnesses. He said Mr. F. beat him when he refused to perform fellatio on him, but nonetheless allowed him to manipulate him manually. He said this happened on one occasion only because thereafter, he disclosed the abuse to resident B.S., who allegedly beat up F. and F. left I.S. alone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I.S. also testified that there were "go boys", older boys at the school who supervised work details and received special privileges. He stated that these boys were also used to chase after boys who had run away. He claims he was beaten by these boys, sometimes in the presence of staff. He said he "didn't recall" whether he had ever reported these beatings to staff, "but if I did, we would just be ignored". The Crown questions how he can testify that he was ignored if he does not recall making a report. Later, I.S. testified that he was beaten and urinated on by a "go boy" when he witnessed him involved in sexual activity with another boy.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 found I.S. to be facile in relating his evidence. Like most of the other plaintiffs he has been diagnosed as having an anti-social personality disorder. His capacity to fabricate or exaggerate past events in order to produce pity or curry benefit for himself has been amply demonstrated. I have concluded his allegations are of dubious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 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L.O. testified that his allegations of sexual abuse by Mrs. Mack occurred in Mrs. Mack's office located within the laundry room. L.O. testified that the very small office was "not much bigger than the desk both ways, so maybe 6' x 6'. Maybe 6' x 8'", and said "there was just windows along the top, like small, small windows". He also testified that there was a wooden a standard-sized desk there and a chair. Crown evidence indicates there was no such office nor even a desk in the laundry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The plaintiff testified that clothes change was around the corner from the pool. He also allowed that the room could have been within the boundaries of the outer wall of the pool area. The evidence shows that there were showers and changing room facilities adjacent to the pool and that while the plaintiff may have been correct in remembering that he would have picked up his swimsuit in the laundry room, the evidence suggests that any changing would have occurred in the changing rooms adjacent to the pool and that boys did not change into their swimsuit in the laundry room. On all three of the incidents he describes with Mrs. Mack, there were other boys with him at the time and the incident occurred after the other boys left the clothes change/laundry room to go to the pool. This would not have happened given the actual location of the laundry room and L.O.'s own testimony that boys were always supervised. The Plaintiff would always have been escorted as part of a group to the laundry room to pick up bathing suits. After all the boys had picked up their bathing suits, the group would have proceeded, escorted by a supervisor, to the pool area and there would not have been an opportunity for a boy to be left behind to proceed to the pool in his own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After the third incident, "it was starting to bother me I guess by that point" remarked the plaintiff and he tried to avoid going to the changing room by avoiding pool activities. In actual fact, there was no need to avoid going to the laundry room to avoid being left alone with Mrs. Mack because of the procedure to proceed as a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plaintiff's recollection was that these incidents occurred during the day. Crown witnesses and some plaintiffs' witnesses testified that normally, there were at least two laundry staff in the laundry room during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According to the plaintiff, all of the subject incidents occurred within the first two weeks of his arrival at BLS and after the third incident, he says he went AWOL. He testified that upon his arrival, he was placed in cottage 1 which was used as an induction unit. During the first two weeks, he said he was assigned work duties and did not attend school. The evidence suggests that cottage 1 was not used as an induction unit, and that he would have been placed in his cottage unit shortly after arrival. It further shows that he would have gone to school and not working on the various work projects as he testified. In other words, he would not have been assigned to a work crew in the laundry room area during those first two weeks as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Plaintiff's testimony that the Bennetts were the supervisors of cottage 7 is contradicted by the evidence of Andy Bennett and their witnesses. L.O. was at Brannan Lake between February 3, 1969 and May 1969, at a time when the Bennetts were not supervising cottage 7. His recollection that Mrs. Bennett was usually the supervisor on the afternoon shift at the time when the boys went to bed does not accord with her work schedule when she was supervising cottage 7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When L.O., on examination-in-chief, was asked whether there was anything unusual about Mrs. Bennett's conduct with the boys or her attitude to the boys, all L.O. could remember was that she was "fairly friendly". Later in testimony he testified that "she was maybe overtly friendly with some of the boys, flirtatious I guess you would call it, and he didn't like it". He stated that as a result, Mr. Bennett yelled and screamed at the boys in cottage 7 a lot and took it out on the whole cottage with running laps around the cottage. This seems to make no sense as it bears no relationship to any improper conduct on the part of the boys and, in any event, Mr. Bennett did not supervise cottage 7 when L.O.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With respect to allegations of physical abuse, his therapist, Irene Peterson's notes indicate that on May 21, 1998, L.O. told her that he was beaten by four or five different staff on several occasions who would chase him, pull his hair, punch him, kick him in the groin and stomach. He said they would also throw him into the Segregation Unit for weeks. He further testified that he was beaten on numerous occasions by staff including one occasion where "staff put on boxing gloves and went at me". These disclosures to Irene Peterson are at odds with his evidence at trial in which he limited the physical assaults to "Burdett's Posse" (other residents) and allegations against a supervisor named "Greg" or "Craig" who slapped him and used excessive force with boxing gloves.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With respect to slapping, on examination for discovery, the plaintiff had testified that Craig or Greg used to slap him on the back of the head "every other day at least". At trial, he testified that he was slapped on the back of the head on "a couple of occasions, not hard, but it was more of a pushing motion just to get me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With respect to the first incident with the boxing gloves, L.O. testified that Greg told the cottage boys he was going to give them instructions on how to box properly and that during his engagement with L.O. he would explain what he was doing to the cottage boys. On examination-in-chief, he was asked whether this was boxing instruction or was it somehow different and he answered "I thought it was different". On cross-examination, he agreed that from the strength of the punches he was not sure whether Greg fully understood that his punches were actually hurting L.O. or whether Greg was using the opportunity to deliberately hurt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With respect to L.O.'s testimony that following the first incident with the gloves he was peeing blood and had to stay in the school hospital overnight for observation, there are no school medical records available to corroborate or contradict the plaintiff. It was submitted that given the evidence in the personnel records and history of the school investigating other incidents of possible staff abuse arising from injuries, it is likely that if L.O.'s allegation had occurred, the matter would have been investigated and a determination made that Greg did not punch the boy excessively. In any event, it is highly unlikely that Greg or Craig would have gone on the repeat this incident a further eight to ten times as the plaintiff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L.O. was slow, deliberate and detached in his presentation of evidence but his collaborative discussion with plaintiffs R.A. and B.G. concerning Mrs. Mack makes his evidence suspect. Coupled with the shortcomings in his evidence mentioned previously, I am not prepared to accept his allegations concerning Mrs. Mack.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Shortly after B.G.'s arrival at BLS on June 10, 1971, he testified he was placed in Cottage 2 and went AWOL because he thought "the school was a torture chamber for kids". He said he was caught by four "chaser boys" who were under the direction of Twidale or Wheat. During examination-in-chief, he said the boys beat him, slapped him and pulled his hair. In cross-examination, he was confronted with an extract from his examination for discovery wherein he said he was beaten unconscious. When asked whether the answers were true, he answered in the affirmative. A few questions later, however, when a further excerpt of his examination for discovery was put to him in which he stated "I lost consciousness", and he was asked whether the answers were true, he replied that to the best of his recollection he didn't lose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On cross-examination, when it was suggested that after his beating he complained of broken ribs and asked to be taken to the nurse, he stated that he could not recall asking to be taken to the nurse. Question 573 of his examination for discovery was put to him wherein he stated that following the beating he asked for assistance, that "I knew I had broken ribs, just by the way if I took a deep breath I got a stabbing pain, and I kept trying to tell the guard, I think my ribs are broken ... I need to see the nurse. And he would say, you're all right, there is nothing wrong with you". In response, B.G. could not recall asking for the nurse but definitely recalled having broken ribs because he couldn't get a deep breath and the problem continued "for a couple of months past the time of segregation". B.G. maintained that at no time did he complain about the problem or go to the nurse to get treatment or see a doctor about his eye or his ribs, even though he admitted that it would have been evident to all of the staff who saw him after he returned that he had been beaten. When it was put to him that his injuries would have been evident to his cottage supervisor, he responded by saying that it would have been evident but "my answer to anybody that asked was I fell in the river bed while I was trying to escape". He also allowed that his teacher would have known about his injuries as well. It is unlikely that staff persons at Brannan Lake would not have insisted upon B.G. seeing the nurse and/or a doctor if he had sustained the injuries he maintains 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When he was in segregation, he maintains that he saw part of a beating that occurred in the Segregation Unit with the strap that "was a barber-type strap with holes drilled in it". The existence of such a strap was not borne out by the evidence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B.G. also admitted that all the cells had doors to them, some with wire mesh and some with spiral bars instead of mesh. The evidence is clear that at the time B.G. was at Brannan Lake, there were no doors to the cells and at no time were there ever any spiral bars on some of the cell doors. He also maintained that he saw a box horse similar to a normal gym box horse less a couple of the larger components. Again, this is inconsistent with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B.G., on his examination-in-chief (and confirmed in the early part of his cross-examination), testified to the following: he commenced Brannan Lake on June 14, 1971, he started the school program after his arrival in June 1971 and that four or five months later he left school and started a work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His first assignment was to kitchen duty where he said he worked for three or four weeks. He then applied for a job change. He wanted to work outside on the lawn mowers; instead, he got placed in Twidale's potato field. Twidale gave him a new assignment which was to dig a hole which Twidale said was to be his own grave. As he was getting close to finishing the job and the work crew was having morning coffee over a campfire, he hit the bush running. He said he got as far as Nanaimo, was gone for two days, and then was returned to the school whereupon he was placed in segregation.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After being placed in segregation, he said he was assigned work duties in the kitchen. According to B.G., the guard that was working in segregation would phone Twidale's unit and Twidale would send down five or six of his boys who would take him to the dining room to do work. When he was working in the kitchen, he states that he was taken by Twidale's chaser boys and raped in the bathroom (which was located in the area of the classrooms) on two different occasions. He states that on the first occasion the chaser boys went up to the guard and asked the guard if it was okay to take him to the bathroom. After he was raped, he said he couldn't stop bleeding for a period of time and one week later the whole procedure was repeated except that after the second occasion he ran and dove out of the bathroom window which was on the 2 floor and "hit the ground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He testified that on this occasion, he was AWOL for close to a month. He made it to Vancouver but was later picked up by the Vancouver Police and taken to the juvenile detention hall and returned to Brannan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Upon his return to Brannan Lake he was placed in segregation and "within 2 weeks to a month" two trustee boys were sent to get him and he was taken to Chapman's office. At this point, he testified that he told Chapman about all of the assaults and the grave-digging incident with Twidale. He was sent back to segregation and called back a week "or a little over" a week at which point he was given a dishonourable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On examination-in-chief, he was asked to clarify whether the incident in the potato field with Twidale was before or after the chaser boy rapes and he indicated that it was before. Even in cross-examination, he initially confirmed that the potato field incident occurred before the chaser boy rapes. However, later in his cross-examination-examination, he reversed the order. He did not make any other changes. More importantly, he confirmed after he changed his testimony as to the sequence of the two events that both events occurred after he had left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On cross-examination, it was strongly suggested to B.G. that neither event occurred because the records clearly showed that his leaving the academic program coincided with an AWOL shortly before Christmas and that the records further showed that after he went AWOL shortly before Christmas he never returned to Brannan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There is a conflict in the documents as to the date B.G. went AWOL in December. Crown document #147 [Exhibit 101] which was put to B.G., was a Brannan Lake record showing the date of his AWOL to be December 19 as does a letter from John Noble dated December 20, 1971 [Tab 8, Exhibit 49]. The running record of Social Services, however, shows that on December 22 he went AWOL from Brannan Lake School and was picked up on a charge of Robbery with Assault on December 23. Another Social Services record which recorded dates of physical movements [Tab 2, Exhibit 49] shows that the AWOL occurred on December 22 and that he was placed in the Juvenile Detention Home (in Vancouver) on the same day. It was submitted that the inconsistency in the record as to the actual date of the AWOL is immaterial. What is material is that this same record shows that on January 21, 1972, B.G. was placed into the boarding house of Mrs. Minow where he remained until February 23 at which time he was placed in the juvenile detention home and later sentenced to Haney Correctional Institution on February 29. That record is also consistent with a psychiatric assessment conducted by Dr. P.S. Stephenson dated February 3, 1972 which states that Dr. Stephenson saw B.G. "today". Dr. Stephenson was attached to the Catholic Family and Children Service in Vancouver at the time and was preparing a report for the Court on the pending charge. There is also a letter dated February 3, 1972 from John Noble to the Catholic Family and Children Service [Tab 9, Exhibit 49] confirming a telephone conversation of the same day to advise "that B.G. is formally discharged from our school effective today, February 3, 1972. We will forward to you any personal effect that he left here". Nowhere is there any suggestion in any of the records that B.G. returned to Brannan Lake School after his AWOL shortly before Christmas in 1971. All of the records suggests that after he went AWOL he remained in Vancouver until he was sentenced to Haney.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On February 4, 1972 Mr. Frank Murphy, Principal, signed a report of B.G.'s attendance in the school program at Brannan Lake [Tab 10, Exhibit 49] which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demonstrated some resistance towards school assignments in September; however, as time progressed he began to experience success in both Math IX and Science IX. Shortly before he left he was attempting to complete both subjects. He making good progress in the last few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report concludes by stating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marks for Grade IX as of December 22, 1971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Math IX</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Science IX</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English IX</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Social Sciences IX</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 IX</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Health &amp; Guidance</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B.G.'s letter of November 22, 1971 [Exhibit 101] to a social worker named "Jill", states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going to school while I am here but just to make the time go faster. I should be getting out in March some time. I guess Christmas will be the hardest around here, but I will try to hack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In cross-examination, B.G. agreed that the letter to Jill at least suggests that he was going to school at the time of the writing of the letter. Crown document #147 [Exhibit #101] also states under the printed heading, "Months in School", the handwritten number "6". Therefore, all of the records suggest that B.G. would have been in attendance at school up to the time of his AWOL. On two occasions in his testimony, he testified that when he was in the academic program, he did not participate in a work program. All of the evidence suggests that the two incidents in question could not have occurred as he has described them and, in particular, that he never worked in the kitchen for three to four weeks after he left school and he never transferred to Twidale's work crew in the potato field as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The story about the grave-digging, appears to be a fantasy. B.G. testified that when Twidale gave him instructions to dig his own grave, he did so in the company of the other chaser boys who were complicit in the "torture". In other words, he believed that Twidale uttered this death threat and was going to commit this act of murder with six witnesses to the event. B.G. testified that to this day, he firmly believes that Twidale, who he describes as "insane", would have committed the murder, notwithstanding that the grave was there for everybody to see while it was being dug over a period of two weeks and that it was quite possible that the whole school would have known about it. Further, given his history of going AWOL, it is inconceivable that he would have waited two weeks before running away if he really believed that he was going to be murdered. It is also inconceivable that he would not have told anyone of this threat (especially after he had no compunction about telling Chapman about the grave-digging incident later when he was no longer in a threatened position following his return to Brannan Lake). B.G. states that he remembered the name of one of the chaser boy tormentors in the potato field (D.B., with whom he had other run-ins while at Brannan Lake), but never took the trouble to find out the names of his other tormentors. This is difficult to believe because he also testified that with respect to D.B. he "waited to hear his name in any other institution" out of the desire to get revenge.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It is even more inconceivable that the two chaser boys who raped him on two different occasions (also members of Twidale's work crew during the grave-digging incident) could not be identified by B.G. As 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like to have known their names, but I don't know. I didn't ask anybody their names. I didn't want to be questioned.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B.G. was also unable to identify the name of the supervisor who was supervising the work duties when the incident occurred. He suggested on cross-examination that the man who was supervising the work in the kitchen was "the man from the Segregation Unit". This is another inconsistency, because there was always only one supervisor in the Segregation Unit at a given time and the segregation supervisor obviously could not have been supervising the kitchen work crew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B.G.'s story about being escorted from the Segregation Unit to the kitchen by the chaser boys is also inconsistent with the evidence of procedures in place at the school, which did not permit boys who had been placed in segregation to also go on work duties and did not allow boys to supervise other boys at any time or to travel around the school unsupervised.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The incidents with Mrs. Mack may be fantasy. The first incident allegedly occurred when he was told to bring down his blankets and towel for a blanket and towel change. He said Mrs. Mack gave him a pass for that duty. All of the evidence suggests that bedding changes or clothes changes were done by the Cottage as a group, not individually. Secondly, his description as to the place where the assaults occurred is in error. B.G. has the laundry room right beside the gym. He has a floor to ceiling wall that goes half way across a large room to divide the two areas and he has Mrs. Mack sitting behind a desk with some shelves on the front of the desk such that one standing at the wicket in the doorway could only see the head of Mrs. Mack. Both the location of the laundry room and the description of the laundry room area bears no resemblance to reality. Crown witness Jack Morgan testified that the interior of the laundry room was a large, open room and that the layout of the laundry room had not changed from 1965, when he started working there, until the present. Mr. Morgan was an engineer who worked at this facility continuously until his recent retirement. He testified that it was his job to maintain and repair the equipment in the laundry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On the first occasion with Mrs. Mack, he believes he was alone. He testified that he didn't "think" there were other workers there at the time but acknowledges "there was another woman who worked there but ... you didn't see her much". He is correct in his recollection that there were probably other laundry workers there during the times that he said these events occurred. However, it is unlikely that such events would have occurred in the presence of these other laundry women or even in the vicinity of these other laundry women (assuming it was possible to find a private nook somewhere in the laundry room). Other incidents occurred when Mrs. Mack was allegedly supervising the hobby shop or supervising pool activities. All of the evidence confirms that Mrs. Mack did not perform such activities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With respect to Twidale, B.G. claims that Twidale hit him on the back of his thumbs during gym assembly with his jackknife, and that it was something that he did to "everybody". The preponderance of evidence at trial strongly suggests that this was unlikely. He also testified that Twidale would pinch him or as he put it, give him a "turkey bite". He states that he actually saw one kid's nipple halfway ripped off by Twidale. This seems another piece of fantasy.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B.G. described Wheat as being tall, clean cut, with a watery look to his eyes from drinking, a man who he claimed manhandled boys by smacking, punching and cuffing them to the side of the head. This description of Wheat does not match other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Mr. B.G. had a clear recollection of Mr. Lawson, who he called "Bacon Face". He had a clear recollection of Lawson hitting various people and giving them big goose eggs by knocking them on the head. B.G. said he could remember these events occurring in the hallways and that the events were usually precipitated with some direction to "move along, quit talking" or for "some infraction". He testified that the man appeared to be in retirement. Mr. Lawson died on December 23, 1968, two-and-a-half years before B.G. was admitted to BLS. B.G.'s evidence on that aspect is a deliberate lie. It would appear B.G.'s motive to lie was to assist his co-plaintiffs, R.P., I.S. and A.G., all of whom made allegations against Mr. Lawson.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B.G. also testified that he had heard from other boys when he was at Brannan Lake that the Bennetts "had their own little sex show" in the duplex with younger kids aged 11, 12 and 13". He said it was common knowledge at Brannan Lake when he was there that one would want to avoid going to the duplex because of the things that went on there. He denied that he acquired that knowledge from R.A. although he admitted that he knew that R.A. had been in the duplex. B.G. remembered being interviewed by the police on August 18, 1999 at Matsqui Institution. The transcript of the interview reveals that B.G. told the police that the Bennett's were a husband and wife team who were constantly abusing young people. The police officer asked B.G., "were there any boys that you knew that happened to" to which B.G. replied, "Well, I know guys that its happened to". When asked, "Do you want to give me his name?" B.G. hesitated but then answered "R.A.", which he acknowledged at trial referred to 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B.G. then stated "I didn't mean it to come out that I knew what had happened to R.A. I knew R.A. had been in the duplex and I knew something had happened to R.A., but I didn't have the details". After which he was put to this extract from the interview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Oh yeah, R.A., he was there a couple of years before me. I think you know that R.A. is one of those guys I've talked to .. I've talked to here, yeah.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B.G. also gave the police officer the names of P. "B." (P.B. gave evidence as a similar fact witness) and L.O. (plaintiff) as people he might wish to interview. The evidence is clear that the Bennetts neither lived nor worked in the duplex during the time that B.G. was at Brannan Lake. His story about the Bennetts is a fabrication and was made, as with the Lawson fabricated evidence, with the intention of helping a friend and a plaintiff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B.G.'s testimony that he disclosed all of the abuse as he has testified at trial to Mr. Chapman is difficult to believe. If he did tell Mr. Chapman what he has told the Court, one could certainly not fault Mr. Chapman for disbelieving the allegations. Further, it is inconceivable that if the abuse occurred as alleged, he would not have disclosed it to others prior to the commencement of the lawsuit. B.G.'s letter to Jill Madden, his social worker, dated November 22, 1971 [Exhibit 101] and Miss Madden's letter in response dated December 2, 1971 suggests that B.G. had established a good relationship with Miss Madden. There is no suggestion in the November 22 letter that life has been brutal at Brannan Lake although it is clear that as Christmas is just around the corner, he knows it is going to be hard on him but he believes that he can "hack it out". The letter of August 17, 1972 from Mrs. J. Chetty to the warden at Haney Correctional Centre acknowledging his invitation to attend B.G.'s graduation also makes mention that she would be bringing to the graduation "Mrs. Sue Molken, B.G.'s former worker with whom he has kept in contact". She goes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B.G. is quite fond of Mrs. Molken and I know that he has asked her to come in a letter written recently to her. Mr. Sparks said that this would be alright but I want to inform you that it is confirmed that she will be coming with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Even though B.G. doesn't remember Sue Molken coming to his graduation it would appear that he established a close relationship with her as well as Mrs. J. Chetty. If abuse at Brannan Lake had occurred, one would have thought B.G. would have disclosed it to these concerned social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When he started the Violent Offender Program in 1994, B.G. had to complete a form entitled "Analysis of Needs/Stressors. Under the headings, "Marital/Family/Relationships and History", "Sexual Values," and "Sexual Learning Experiences", reference is made to his dysfunctional family background and abuse by mother, but no reference is made to Brannan Lake. It would appear that during this program, he shared with the group his childhood abuse history. He was also shown a report of Dr. Latorre dated December 31, 1995 where reference is made to the fact that B.G. "is now admitting to certain incidents of child abuse which he had heretofore failed to report". The report chronicles a fairly detailed history of his early childhood abuse at the hands of his mother and her friends. When asked whether the level of detail that he gave to Dr. Latorre was "any different than what you gave to the group in your Violent Offender Program", B.G. replied, "Not really. It's all along the same line". He acknowledged that in the Violent Offender Program he disclosed his early childhood issues in a very intimate way so that he could deal with the impact of those issues (anger, trust, shame, etc.). When asked why he didn't share the Brannan Lake issues with the group 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 loved my mother and I was trying to deal with the issues surrounding her. I did not love anybody at Brannan Lake enough to put effort into them. This was my mother. This was the person who loved me. This was the lady I loved.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Nevertheless, B.G. maintained that he took the Violent Offender Program because he wanted to get out of jail. If the Brannan Lake abuse would have been much less difficult emotionally to deal with and B.G. simply wanted to talk about something so that he could be seen to be doing something to put him in good favour to get out of jail, one would have thought, that he would have talked about the Brannan Lake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In giving his evidence, B.G. at times became upset and cried, but without tears. He has been diagnosed as having an anti-social personality disorder, recurrent major depressive disorder and tendencies to be manipulative and deceitful. His caught out fabrication about his experiences with Mr. Lawson (already deceased) at this trial confirms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I place no credence to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CONCLUDING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This was a long, difficult and troubling trial. All of the plaintiffs and most of their similar fact witnesses came from troubled backgrounds, suffered psychologically throughout their lives, became substance abuse dependent, were chronically engaged in criminal activities and spent most of their adult lives in prison. Their lives were unfortunately misspent, wasted and tragic.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Reaching late middle age these men are now generally physiologically burned out, not likely to re-offend and cognizant now of limited time left in their lives. Some appear to be sorry that their wasted lives have deeply hurt members of their immediate family and have reconciled with them. Their family members' evidence at this trial were emotionally touching. Some plaintiffs have now controlled their substance abuse and those now on parole are generally living on welfare. Although these plaintiffs say they are now coming forward with their allegations of historical Brannan Lake School staff abuse to seek closure to their troubled past and to ensure that there is no future repetition of what happened to them for others, I felt their primary motive in fact was to secure some sort of pension fund for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The defendant Crown called every former Brannan Lake staff member still available (some aged in their 80s and 90s) as witnesses at this trial. Surviving family members of staff alleged to be abusers were also called as witnesses. These witnesses gave evidence describing the operation of Brannan Lake School and the character of the accused staff members completely opposite to that advanced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Basically the plaintiffs painted a picture of the offending staff members as callous and sadistic pederasts. Other staff and family members remember them as conscientious caring and responsible custodians dedicated to the operation of the school. Therefore the plaintiffs' allegations and credibility had to be especially scrutinized. Ultimately, as discussed previously I found the plaintiffs evidence to be wanting in either veracity or reliability to justify finding in their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Much evidence was led at this trial concerning the history and operational conditions of Brannan Lake School. The flavour and character study of various staff members were vividly portrayed. I had to remind all counsel a number of times that although a contextual matrix may be relevant in part to understand the allegations advanced and to be countered, this trial was not a commission inquiry of Brannan Lake School's history of positives or mistakes. This was also not to be an exercise in looking at past events with present day spectacles.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Brannan Lake School was started up at a time when the rehabilitation treatment model for young offenders was still evolving. The operational description was that of a place of confinement without perimeter gates. Structure and discipline were taught and emphasized by the staff to the boys. It was hoped that the habits taught and inculcated would continue for the boys in their future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Some boys adapted to the regime; others did not. Many of these boys were emotional troubled and conduct disordered. They could be an unruly lot; insubordinate, undisciplined and rebellious. Some were already socially deviant and hardened before they arrived at Brannan Lake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Most of the early staff members were discharged World War II armed force Veterans, who grew up during the economic depression of the l930s. They had limited formal education but were at the stage of raising young families of their own and saw a career as a child care worker at Brannan Lake School as an attractive and secure placement for them and their families. Most lived in the immediate rural vicinity of Brannan Lake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These men were used to military discipline and obedience. Proper deference to superior rank was expected and their generational philosophical outlook was to be manly, self-reliant and responsible. Their aim was to inculcate proper life habits for the boys with a no-nonsense approach. If a boy became troublesome in his behaviour I have no doubt that to maintain control these men could be rough and ready with their hands. As these boys were sent to Brannan Lake School under Juvenile Court Detention Order, the staff were also responsible as custodians to prevent potential escapes.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Overcrowding and limited resources were constant recurring problems at Brannan Lake School. Escape by boys were frequent. Local communities in the Brannan Lake area were outraged when escapees committed property crimes and vandalism.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Run away boys sometimes spoke to the media and described Brannan Lake School as an appalling place. When media and political opposition raised concerns and criticism, political pressure mounted in the Provincial Legislature resulting in gradual improvements initiated by senior civil servants. I have no doubt in the meantime the staff and administration at Brannan Lake were stressed by their responsibilities and the constant public criticism.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In 1966, John Noble became the Director of Brannan Lake School and introduced a more lenient atmosphere of social work treatment based programs. More social workers and teachers were hired; more secondary education grades were added; academic curriculum was expanded; more outdoor work training programs were started and more life skill counselling programs were made available. New child care workers hired were required to have higher formal education credentials with some social work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Mr. Noble also restricted the use of corporal punishment by staff and unjustifiable man handling of boys by them were grounds for summary dismissal. More strict reporting accountability of events during staff work shifts were required. Solitary confinement cell doors were eventually removed. Notwithstanding gradual improvements to the operations of Brannan Lake School, boys continued to run away from Brannan Lake School. No doubt there were boys for whom rules, structure and restrictions were not to their liking or tolerance. However some boys also deliberately made feeble attempts to run away near the expiration of their sentences at Brannan Lake School in order to extend their term of stay. There were emotional stories of boys who enjoyed the only family like experience they had in their lives at Brannan Lake School and were concerned that if returned to their troubled homes, they would have difficulty coping and likely revert to their previous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Some boys reported their stays at Brannan Lake School as a positive learning experience and kept in communication with some Brannan Lake School staff members. Some boys asked those staff members for employment references and some returned later with their wives and children to visit socially with staff members at their homes near Brannan Lake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Other boys at this trial reported their stay at Brannan Lake School as being unpleasant, intimidating or fearful. Much depended on how they coped and related to other inmates and staff members. Eventually in 1969, Mr. Noble managed to persuade the Provincial Government to amend the legislation to provide that placement admission to Brannan Lake School would be determined by the Superintendent of Child Welfare after consideration of whether other community based placement/treatment programs were available or suitable rather than by direct sentence order from the Juvenile Court. This relieved the pressure of overcrowding somewhat until more alternative community placement and treatment programs became available such as group or foster homes and local community based counselling and treatment clinics. I am mindful of the fact that there were later complaints by children placed in these group homes of some physical and sexual abuse by staff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This trial was a comprehensive historical review of Brannan Lake School's operations, its staff and the boys placed there over its more than 20 year existence. Some of the evidence I heard was depressing and troubling; other parts however rekindle faith in continuing human effort to strive for improvements in nurturing future generations of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For the reasons expressed above, the plaintiffs' actions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3"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Biddlecombe v. Sheepwash, [2015] B.C.J. No. 2570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14-18, 21-25, 29, October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and November 23-25,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25,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S62698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2570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2189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3460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260 A.C.W.S. (3d) 722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61 R.P.R. (5th) 238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Erin Mary Biddlecombe, Plaintiff, and David Alan Sheepwash, Bonny Jane Sheepwash, James Clark, doing business as Axios Commercial &amp; Home Inspections and James Clark,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4"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4" w:name="Keywords_25"/>
      <w:bookmarkEnd w:id="214"/>
      <w:r>
        <w:rPr>
          <w:rFonts w:ascii="arial" w:eastAsia="arial" w:hAnsi="arial" w:cs="arial"/>
          <w:b/>
          <w:color w:val="000000"/>
          <w:sz w:val="20"/>
          <w:lang w:val="en-US" w:eastAsia="en-US" w:bidi="ar-SA"/>
        </w:rPr>
        <w:t>Civil litigation — Civil procedure — Pleadings — Amendment of — Statement of claim — Application by the plaintiff Biddlecombe to amend her pleadings during the trial allowed — Biddlecombe's claim related to her purchase of property from the Sheepwash defendants, who objected to the proposed amendments — The proposed amendments did not raise a new cause of action but instead provided further specific particulars — The amendments did not purport to reverse or otherwise fall afoul of the doctrine of caveat emptor — Any prejudice could be remedied on terms such as permitting defence counsel to conduct further cross-examination.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Proceedings — Practice and procedure — Pleadings — Application by the plaintiff Biddlecombe to amend her pleadings during the trial allowed — Biddlecombe's claim related to her purchase of property from the Sheepwash defendants, who objected to the proposed amendments — The proposed amendments did not raise a new cause of action but instead provided further specific particulars — The amendments did not purport to reverse or otherwise fall afoul of the doctrine of caveat emptor — Any prejudice could be remedied on terms such as permitting defence counsel to conduct further cross-examination.</w:t>
      </w:r>
    </w:p>
    <w:p>
      <w:pPr>
        <w:jc w:val="both"/>
        <w:rPr>
          <w:rFonts w:ascii="arial" w:eastAsia="arial" w:hAnsi="arial" w:cs="arial"/>
          <w:sz w:val="20"/>
          <w:lang w:val="en-US" w:eastAsia="en-US" w:bidi="ar-SA"/>
        </w:rPr>
      </w:pPr>
      <w:bookmarkStart w:id="215" w:name="Counsel_37"/>
      <w:bookmarkEnd w:id="2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5"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Erin Mary Biddlecombe representing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David and Bonny Sheepwash: P. McMurchy.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6" w:name="Judgment_37"/>
      <w:bookmarkEnd w:id="216"/>
      <w:r>
        <w:pict>
          <v:line id="_x0000_s1186" style="position:absolute;z-index:2517995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 re Application to further</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amend Notice of Civil Claim</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7" w:name="P.W. WALKER J. (orally)"/>
            <w:bookmarkEnd w:id="217"/>
            <w:r>
              <w:rPr>
                <w:rFonts w:ascii="arial" w:eastAsia="arial" w:hAnsi="arial" w:cs="arial"/>
                <w:b/>
                <w:color w:val="000000"/>
                <w:sz w:val="30"/>
                <w:lang w:val="en-US" w:eastAsia="en-US" w:bidi="ar-SA"/>
              </w:rPr>
              <w:t>P.W. WALKER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Dr. Biddlecombe applies to amend her pleadings during the trial. Although she brings the application after she closed her case, she provided notice to the defendants, Mr. and Mrs. Sheepwash, of her intention to do so (and on what basis) before they opened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Dr. Biddlecombe says that her proposed amendments are appropriate because they conform to the evidence that was adduced in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test in respect of applications to amend pleadings during trial is set out in numerous cases, with more recent ones being </w:t>
      </w:r>
      <w:r>
        <w:rPr>
          <w:rFonts w:ascii="arial" w:eastAsia="arial" w:hAnsi="arial" w:cs="arial"/>
          <w:i/>
          <w:color w:val="000000"/>
          <w:sz w:val="20"/>
          <w:lang w:val="en-US" w:eastAsia="en-US" w:bidi="ar-SA"/>
        </w:rPr>
        <w:t>G.M.G. v. M.A.</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2013 BCSC 1834</w:t>
        </w:r>
      </w:hyperlink>
      <w:r>
        <w:rPr>
          <w:rFonts w:ascii="arial" w:eastAsia="arial" w:hAnsi="arial" w:cs="arial"/>
          <w:color w:val="000000"/>
          <w:sz w:val="20"/>
          <w:lang w:val="en-US" w:eastAsia="en-US" w:bidi="ar-SA"/>
        </w:rPr>
        <w:t xml:space="preserve"> at para. 13 and </w:t>
      </w:r>
      <w:r>
        <w:rPr>
          <w:rFonts w:ascii="arial" w:eastAsia="arial" w:hAnsi="arial" w:cs="arial"/>
          <w:i/>
          <w:color w:val="000000"/>
          <w:sz w:val="20"/>
          <w:lang w:val="en-US" w:eastAsia="en-US" w:bidi="ar-SA"/>
        </w:rPr>
        <w:t>Lam v. Chiu</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2012 BCSC 677</w:t>
        </w:r>
      </w:hyperlink>
      <w:r>
        <w:rPr>
          <w:rFonts w:ascii="arial" w:eastAsia="arial" w:hAnsi="arial" w:cs="arial"/>
          <w:color w:val="000000"/>
          <w:sz w:val="20"/>
          <w:lang w:val="en-US" w:eastAsia="en-US" w:bidi="ar-SA"/>
        </w:rPr>
        <w:t xml:space="preserve"> at para. 10. The five principles to be considered are taken from </w:t>
      </w:r>
      <w:r>
        <w:rPr>
          <w:rFonts w:ascii="arial" w:eastAsia="arial" w:hAnsi="arial" w:cs="arial"/>
          <w:i/>
          <w:color w:val="000000"/>
          <w:sz w:val="20"/>
          <w:lang w:val="en-US" w:eastAsia="en-US" w:bidi="ar-SA"/>
        </w:rPr>
        <w:t>Macdonald v. Macdonald</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(1996), 21 B.C.L.R. (3d) 379</w:t>
        </w:r>
      </w:hyperlink>
      <w:r>
        <w:rPr>
          <w:rFonts w:ascii="arial" w:eastAsia="arial" w:hAnsi="arial" w:cs="arial"/>
          <w:color w:val="000000"/>
          <w:sz w:val="20"/>
          <w:lang w:val="en-US" w:eastAsia="en-US" w:bidi="ar-SA"/>
        </w:rPr>
        <w:t xml:space="preserve"> (S.C.) as follows:</w:t>
      </w:r>
      <w:r>
        <w:rPr>
          <w:rFonts w:ascii="arial" w:eastAsia="arial" w:hAnsi="arial" w:cs="arial"/>
          <w:sz w:val="20"/>
          <w:lang w:val="en-US" w:eastAsia="en-US" w:bidi="ar-SA"/>
        </w:rPr>
        <w:cr/>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amendment] inconsistent with the pleadings already filed on behalf of the party seeking the amendment;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inconsistent with evidence already tendered by that party and his witnesses at trial and on discovery;</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had been asked for at the outset of the trial, would it have changed the whole course of the trial;</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it be unfair to the opposite party;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necessary for the purpose of determining the real issues raised or depending upon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consider those principles in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proposed amendments are to paragraphs 7, 15, and 17 of the existing amended notice of civil claim. They seek to add two additional elements to the plaintiff's existing pleading concerning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deal with the proposed amendments to paragraph 7 first because they contain the substantive amendments. As it currently stands, paragraph 7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in reliance on the answers given by the Defendants Sheepwash to the Residential Property Disclosure Statement and on the information contained in the Inspection Report provided by the Defendant Clark, completed her purchase of the Property from the Defendants Sheepwash.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proposed amendments take the two points concerning reliance and segregates them into sub-paragraphs (a) and (d), and then inserts the following as sub-paragraphs (b) and (c):</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assurances and representations of the subject property made, either fraudulently or negligently, by the Defendants Sheepwash to the Plaintiff, specifically the following: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verbal assurances given by the Defendants at the signing of the Contract of Purchase and Sale on March 27, 2010, that there were no other receipts. In particular, in the kitchen, in the presence of the Plaintiff and her spouse, Ms. Mia Tremblay, and their realtor, Ms. Jen Stanger, [sic] Ms. Stanger asked to have the receipt/paperwork for the house. Mr. Sheepwash produced invoices for a new roof, new windows, window coverings, and a receipt from Roto Rooter. Ms. Stanger then said, "Is that all?" The Defendant, Mr. Sheepwash responded, "That's all". The assurances that there were no more receipts created the impression that less work had been done to the house than actually had been done. The concealment of the presence of additional receipts/paperwork and invoices hid potential habitability issues with the house and induced the Plaintiff to proceed with the purchase of the house.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verbal assurances and representations as to the habitability of the home made by Mr. Sheepwash during the home inspection on March 31st, 2010. Specifically, while downstairs in the "safari room" with the home inspector, Mr. James Clark, the Plaintiff' and her spouse, Ms. Mia Trembaly, their real estate agent, Ms. Jen Stanger, as well as the Plaintiff's sister in law, Ms. Joan Tremblay, the Defendant, Mr. Sheepwash was asked by Ms. Stanger to remove the wall panel located on the Northumberland side of the house (located directly underneath the north corner of the landing of the front of the house). Mr. Sheepwash responded, "No, there is no reason to remove a panel". The Plaintiff trusted the Defendant that there was no reason to investigate the wall behind the panel, and nothing to affect the habitability of the house.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verbal assurances and representations as to the habitability of the home made by Mr. Sheepwash during the home inspection on March 31st, 2010. In particular, when Mr. Clark, the Plaintiff, Ms. Stanger and Mia and Joan Tremblay continued into the recreation room, Ms. Stanger asked Mr. Sheepwash if one of the cedar panels located on the Northumberland side of the house (located directly underneath the south corner of the landing of the front of the house) could be removed. The Defendant Sheepwash answered, "No, there is nothing to see". The Plaintiff trusted the Defendant and there was no reason to investigate the wall behind the panel, and nothing to affect the habitability of the house.</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 relationship between the Plaintiff and the Defendants Sheepwash resulting from having been introduced by a family member, who was a long term resident in the neighbourhood, and because both the Plaintiff and the Defendant David Alan Sheepwash were employed in the medical profession, 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refer to the proposed amendment paragraph 7(b) as the "first proposed amendment" and the one for paragraph 7(c) as the "second proposed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respect of the first proposed amendment, Dr. Biddlecombe says that there are three specific representations and assurances that the paragraph addresses: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Sheepwash told the plaintiff that there were no receipts other than those he had provided to her, in relation to any work done on the home.</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inspection of the House, and after he was asked if they could remove a wall panel in a downstairs bedroom to see behind it, Mr. Sheepwash told the plaintiff, her real estate agent, and the property inspector, that there was nothing to see behind a wall panel that later turned out to be covering a very large nest built by moisture or corn ants.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Sheepwash told them when they asked if a panel in the downstairs recreation room could be removed for inspection that there was no reason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take from her submissions that Dr. Biddlecombe advances this amendment for two purposes. First, it informs the factual matrix concerning the alleged special relationship between herself and the vendors, Mr. and Mrs. Sheepwash, her approach to and assessment of the property inspection and resulting report, her reliance on Mr. and Mrs. Sheepwash's statements contained in a property disclosure statement that they completed and signed ("PDS"), and her decision to complete the transaction. Second, she asserts that each representation provides a basis of tort liability beyond the representations made by Mr. and Mrs. Sheepwash in the PDS.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Related to the first proposed amendment, Dr. Biddlecombe proposes to amend paragraph 15 to insert the words, "and the assurances and representations as set out in paragraph 7(b) above", after the words, "As a result of the fraudulent and/or negligent misrepresentations of the Defendants Sheepwash contained in the Residential Property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also proposes in respect of the proposed first amendment, to amend paragraph 17 by adding sub-paragraph (c) as follows:</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fraudulent and/or negligent verbal assurances and verbal representations of the Defendants Sheepwash as to the habitability of the subject Property when they knew they would be relied upon by the Plaintiff, the Plaintiff has suffered loss and damages as described in Part 1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Consequently, if I permit the first proposed amendment, then those proposed for paragraphs 15 and 17(c) would also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respect of the proposed second amendment, Dr. Biddlecombe does not assert it as a basis of liability independent of the claim concerning the representations in the PDS. According to Dr. Biddlecombe, the amendment is to inform the nature of her purported reliance on the credibility of Mr. and Mrs. Sheepwash's statements in the PDS and those that he made verbally.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and Mrs. Sheepwash object to the proposed amendments on a number of bases. I summarize them in the following list:</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Biddlecombe's case is currently confined to a breach of contract claim so that allowing the amendments would let Dr. Biddlecombe advance a tort claim that is now time-barred.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amendments fall afoul of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and in effect, purport to reverse it.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amendments fall afoul of a legal principle that when a purchaser retains a property inspector, the purchaser is seen to have relied on the inspector and not the vendors such that the onus shifts to the purchaser to prove otherwise (which they argue Dr. Biddlecombe has not done).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impugned representations must be limited, as a matter of law, to those contained in the PDS.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proposed amendment fails to provide particulars and does not conform with the evidence.</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Biddlecombe has unduly delayed in seeking the amendments and has failed to provide an explanation for it.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Prejudice is presumed.</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Prejudice exists in fact if the amendments are allowed.</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amendments are not connected to the existing claims.</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 "habitability" is not defined.</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proposed amendment concerning a trust relationship is not defined and is lacking in particulars.</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 concerning receipts is irrelevant because the issue of receipts arose after the Contract was signed.</w:t>
      </w:r>
    </w:p>
    <w:p>
      <w:pPr>
        <w:numPr>
          <w:numId w:val="2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Fraud is not sufficiently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will first deal with the submissions of Mr. and Mrs. Sheepwash that the proposed first amendment does not conform with the evidence adduced in the case thus far. In reviewing the evidence in detail, I find that most of the wording of the proposed first amendment conforms with the evidence and provides particulars that meets the defendants' objection that previous versions lacked particularity to identify who, what, when, and the legal and factual effect. I will now discuss those circumstances where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wording in paragraph 7(b)(i) - "at the signing of the Contract of Purchase and Sale on March 27, 2010" - is not specifically referred to in the evidence. There is a lack of clarity as to when precisely the discussion concerning receipts took place. Otherwise, the wording in that sub-paragraph conforms with the evidence. Accordingly, if the amendment is permitted, those specific words would have to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next instance is found in paragraph 7(b)(ii), where there is a reference to a request to remove a specific wall panel. The impugned word is "the", which is contained in the sentence, "Mr. Sheepwash was asked by Ms. Stanger to remove the wall panel located on the Northumberland side of the house..." To conform with the evidence, the word "the" should be replaced with the word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final instance is found in paragraph 7(b)(iii), where there is a reference to the location of a specific wall panel. The evidence is that a request was made to remove a panel in the recreation room but there is no evidence concerning a specific panel. Accordingly, if the amendment is permitted, the words, "(located directly underneath the south corner of the landing of the front of the house)", should be excised.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will now turn to the main thrust of the submissions made on behalf of Mr. and Mrs. Sheepwash, which is that the claim as currently pleaded is a breach of contract claim and that the first proposed amendment raises new causes of action sounding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the greatest of respect to their submissions, the claim as currently pleaded is not solely a claim in contract. In Part 3, paragraph 17 of the current amended notice of civil claim, under "Legal Basis", Dr. Biddlecombe pleads that Mr. and Mrs. Sheepwash owed her a duty of care, which they breached: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that the Defendants Sheepwash owed a duty of care to the Plaintiff, which duty was breached by the Defendants Sheepwash, either fraudulently or negligently, the particulars of which are as follows: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pleading then goes on to particularize the breach of duty of care by identifying that it is in respect of the statements that Mr. and Mrs. Sheepwash made in the PDS.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Then, in paragraph 17(b), Dr. Biddlecombe pleads that as a result of the breach of their duty of care, as well as the breach of contract of Mr. and Mrs. Sheepwash, she has suffered loss and damage:</w:t>
      </w:r>
      <w:r>
        <w:rPr>
          <w:rFonts w:ascii="arial" w:eastAsia="arial" w:hAnsi="arial" w:cs="arial"/>
          <w:sz w:val="20"/>
          <w:lang w:val="en-US" w:eastAsia="en-US" w:bidi="ar-SA"/>
        </w:rPr>
        <w:cr/>
      </w:r>
    </w:p>
    <w:p>
      <w:pPr>
        <w:numPr>
          <w:numId w:val="28"/>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fraudulent and/or negligent breach of duty and breach of contract of the Defendants, and each of them, to the Plaintiff, the Plaintiff has suffered loss and damage as described in Part 1 of the Notice of Claim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wording - "and each of them" - in paragraph 17(b) and the wording in paragraph 18 that the property inspector Mr. Clark (who was, but no longer is, a defendant because Dr. Biddlecombe's claim against him has been settled) "also breached his contract with the Plaintiff's [sic]" indicates that a breach of contract claim is being advanced against Mr. and Mrs. Sheepwash as well as Mr. Clark. There are, however, no particulars of the breach of contract claim provided insofar as it concerns Mr. and Mrs. Sheepwash, nor is there any further mention of a breach of contract claim against them elsewhere in the current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Particulars of the breach of contract claim against Mr. Clark are, however, provided in paragraphs 15 and 18 of the amended notice of civil claim. Paragraphs 15 and 18 state:</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fraudulent and/or negligent misrepresentations of the Defendants Sheepwash contained in the Residential Property Disclosure Statement concerning the Property and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of the Defendant Clark, in his inspection of the Property as contained in his Inspection Report, the Plaintiff has sustained Damage and losses.</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The Defendant Clark has also breached his contract with the Plaintiff's [sic] to provide a competent and reliable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Therefore, as the pleadings presently stand, Dr. Biddlecombe's amended notice of civil claim advances a tort claim for breach of duty of care and misrepresentation (with particulars) and a breach of contract claim (without particulars) against Mr. and Mrs. Sheepwash.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Without in any way commenting on its merits, I will point out that Dr. Biddlecombe's claim that Mr. and Mrs. Sheepwash owed a duty of care to her is known in law and consistent with the legal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 claim for breach of duty to warn is separate from a claim for misrepresentation. A vendor may be liable for failing to warn of latent defects he knew of or was reckless as to their existence that render a property unsafe or unfit for human habitation. In </w:t>
      </w:r>
      <w:r>
        <w:rPr>
          <w:rFonts w:ascii="arial" w:eastAsia="arial" w:hAnsi="arial" w:cs="arial"/>
          <w:i/>
          <w:color w:val="000000"/>
          <w:sz w:val="20"/>
          <w:lang w:val="en-US" w:eastAsia="en-US" w:bidi="ar-SA"/>
        </w:rPr>
        <w:t>Hanslo v. Barry</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2011 BCSC 1624</w:t>
        </w:r>
      </w:hyperlink>
      <w:r>
        <w:rPr>
          <w:rFonts w:ascii="arial" w:eastAsia="arial" w:hAnsi="arial" w:cs="arial"/>
          <w:color w:val="000000"/>
          <w:sz w:val="20"/>
          <w:lang w:val="en-US" w:eastAsia="en-US" w:bidi="ar-SA"/>
        </w:rPr>
        <w:t xml:space="preserve">, Mr. Justice Joyce referred to several authorities standing for the proposition that a vendor of real property may, separate and apart from his obligations in a contract for purchase and sale, be liable for breach of duty to warn a purchaser of dangers in or on the property which pose a risk of physical harm to persons or property: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xml:space="preserve"> at para. 74, citing </w:t>
      </w:r>
      <w:r>
        <w:rPr>
          <w:rFonts w:ascii="arial" w:eastAsia="arial" w:hAnsi="arial" w:cs="arial"/>
          <w:i/>
          <w:color w:val="000000"/>
          <w:sz w:val="20"/>
          <w:lang w:val="en-US" w:eastAsia="en-US" w:bidi="ar-SA"/>
        </w:rPr>
        <w:t>Tony's Broadloom &amp; Floor Covering Ltd. v. NMC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(1997), 141 D.L.R. (4th) 394</w:t>
      </w:r>
      <w:r>
        <w:rPr>
          <w:rFonts w:ascii="arial" w:eastAsia="arial" w:hAnsi="arial" w:cs="arial"/>
          <w:color w:val="000000"/>
          <w:sz w:val="20"/>
          <w:lang w:val="en-US" w:eastAsia="en-US" w:bidi="ar-SA"/>
        </w:rPr>
        <w:t xml:space="preserve"> at 401 (Ont. C.A.) and </w:t>
      </w:r>
      <w:r>
        <w:rPr>
          <w:rFonts w:ascii="arial" w:eastAsia="arial" w:hAnsi="arial" w:cs="arial"/>
          <w:i/>
          <w:color w:val="000000"/>
          <w:sz w:val="20"/>
          <w:lang w:val="en-US" w:eastAsia="en-US" w:bidi="ar-SA"/>
        </w:rPr>
        <w:t>McGrath v. MacLean</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(1979), 22 O.R. (2d) 784</w:t>
        </w:r>
      </w:hyperlink>
      <w:r>
        <w:rPr>
          <w:rFonts w:ascii="arial" w:eastAsia="arial" w:hAnsi="arial" w:cs="arial"/>
          <w:color w:val="000000"/>
          <w:sz w:val="20"/>
          <w:lang w:val="en-US" w:eastAsia="en-US" w:bidi="ar-SA"/>
        </w:rPr>
        <w:t xml:space="preserve"> (Ont. C.A.). The same point was made by Bennett J. (as she then was) in </w:t>
      </w:r>
      <w:r>
        <w:rPr>
          <w:rFonts w:ascii="arial" w:eastAsia="arial" w:hAnsi="arial" w:cs="arial"/>
          <w:i/>
          <w:color w:val="000000"/>
          <w:sz w:val="20"/>
          <w:lang w:val="en-US" w:eastAsia="en-US" w:bidi="ar-SA"/>
        </w:rPr>
        <w:t>McCluskie v. Reynolds</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(1998), 65 B.C.L.R. (3d) 191</w:t>
        </w:r>
      </w:hyperlink>
      <w:r>
        <w:rPr>
          <w:rFonts w:ascii="arial" w:eastAsia="arial" w:hAnsi="arial" w:cs="arial"/>
          <w:color w:val="000000"/>
          <w:sz w:val="20"/>
          <w:lang w:val="en-US" w:eastAsia="en-US" w:bidi="ar-SA"/>
        </w:rPr>
        <w:t xml:space="preserve"> where she said at para. 46 that the rule of caveat emptor does not apply where latent defects were "actively concealed by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Joyce J. said at para. 76, when referring to Professor Laskin's remarks (as he then was) in "Defects of Title and Quality" (1960), LSUC Special Lectures 389, that the duty is founded on a common law duty of care and is one that is not confined to fraud: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one adopts the "rather elastic conception of fraud" described by Professor Laskin, then it would seem that all of the foregoing situations might be considered to be species of fraud. On the other hand, there are cases that would suggest that the ability to recover damages for non-disclosure or concealment of latent defects rendering a house unfit for human habitation or rendering the premises dangerous is founded on a common-law duty of care. The breach of a duty of care is not fraud </w:t>
      </w:r>
      <w:r>
        <w:rPr>
          <w:rFonts w:ascii="arial" w:eastAsia="arial" w:hAnsi="arial" w:cs="arial"/>
          <w:i/>
          <w:color w:val="000000"/>
          <w:sz w:val="20"/>
          <w:lang w:val="en-US" w:eastAsia="en-US" w:bidi="ar-SA"/>
        </w:rPr>
        <w:t>per 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same point was made in </w:t>
      </w:r>
      <w:r>
        <w:rPr>
          <w:rFonts w:ascii="arial" w:eastAsia="arial" w:hAnsi="arial" w:cs="arial"/>
          <w:i/>
          <w:color w:val="000000"/>
          <w:sz w:val="20"/>
          <w:lang w:val="en-US" w:eastAsia="en-US" w:bidi="ar-SA"/>
        </w:rPr>
        <w:t>Cardwell v. Perthen</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2006 BCSC 333</w:t>
        </w:r>
      </w:hyperlink>
      <w:r>
        <w:rPr>
          <w:rFonts w:ascii="arial" w:eastAsia="arial" w:hAnsi="arial" w:cs="arial"/>
          <w:color w:val="000000"/>
          <w:sz w:val="20"/>
          <w:lang w:val="en-US" w:eastAsia="en-US" w:bidi="ar-SA"/>
        </w:rPr>
        <w:t xml:space="preserve">, aff'd </w:t>
      </w:r>
      <w:hyperlink r:id="rId926" w:history="1">
        <w:r>
          <w:rPr>
            <w:rFonts w:ascii="arial" w:eastAsia="arial" w:hAnsi="arial" w:cs="arial"/>
            <w:i/>
            <w:color w:val="0077CC"/>
            <w:sz w:val="20"/>
            <w:u w:val="single"/>
            <w:shd w:val="clear" w:color="auto" w:fill="FFFFFF"/>
            <w:lang w:val="en-US" w:eastAsia="en-US" w:bidi="ar-SA"/>
          </w:rPr>
          <w:t>2007 BCCA 313</w:t>
        </w:r>
      </w:hyperlink>
      <w:r>
        <w:rPr>
          <w:rFonts w:ascii="arial" w:eastAsia="arial" w:hAnsi="arial" w:cs="arial"/>
          <w:color w:val="000000"/>
          <w:sz w:val="20"/>
          <w:lang w:val="en-US" w:eastAsia="en-US" w:bidi="ar-SA"/>
        </w:rPr>
        <w:t xml:space="preserve">, which was cited with approval by Joyce J. in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xml:space="preserve">, Joyce J. said in respect of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xml:space="preserve"> at para. 84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xml:space="preserve"> appears to support the proposition that even where a vendor is not liable on the basis of fraud, breach of contract or negligent misrepresentation, he may nonetheless be liable for failing to disclose latent defects that he knew about or was reckless as to, which render the property unsafe or unfit for human habitation. Whether the duty owed by the vendor and the legal liability for breach of the duty is to be regarded as sounding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as a result of a stand-alone principle is not apparent from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That a claim for breach of duty may be founded separately from a claim for breach of contract is also seen from the decision in </w:t>
      </w:r>
      <w:r>
        <w:rPr>
          <w:rFonts w:ascii="arial" w:eastAsia="arial" w:hAnsi="arial" w:cs="arial"/>
          <w:i/>
          <w:color w:val="000000"/>
          <w:sz w:val="20"/>
          <w:lang w:val="en-US" w:eastAsia="en-US" w:bidi="ar-SA"/>
        </w:rPr>
        <w:t>413255 B.C. Ltd. v. Jesson</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2006 BCSC 1070</w:t>
        </w:r>
      </w:hyperlink>
      <w:r>
        <w:rPr>
          <w:rFonts w:ascii="arial" w:eastAsia="arial" w:hAnsi="arial" w:cs="arial"/>
          <w:color w:val="000000"/>
          <w:sz w:val="20"/>
          <w:lang w:val="en-US" w:eastAsia="en-US" w:bidi="ar-SA"/>
        </w:rPr>
        <w:t>; see e.g., paras. 37-41. In that case, liability was found in respect of representations made in a property disclosure statement even though it was not incorporated into the contract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Ontario Court of Appeal has taken the same view, stating that reliance may be had on the representations in the disclosure statement even where they do not constitute warranties; liability for misrepresentation may also exist separately from the duty to warn: </w:t>
      </w:r>
      <w:r>
        <w:rPr>
          <w:rFonts w:ascii="arial" w:eastAsia="arial" w:hAnsi="arial" w:cs="arial"/>
          <w:i/>
          <w:color w:val="000000"/>
          <w:sz w:val="20"/>
          <w:lang w:val="en-US" w:eastAsia="en-US" w:bidi="ar-SA"/>
        </w:rPr>
        <w:t>Krawchuk v. Scherbak</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2011 ONCA 352</w:t>
        </w:r>
      </w:hyperlink>
      <w:r>
        <w:rPr>
          <w:rFonts w:ascii="arial" w:eastAsia="arial" w:hAnsi="arial" w:cs="arial"/>
          <w:color w:val="000000"/>
          <w:sz w:val="20"/>
          <w:lang w:val="en-US" w:eastAsia="en-US" w:bidi="ar-SA"/>
        </w:rPr>
        <w:t xml:space="preserve"> at paras. 70, 77, 86-90, leave to appeal to SCC refused </w:t>
      </w:r>
      <w:hyperlink r:id="rId929" w:history="1">
        <w:r>
          <w:rPr>
            <w:rFonts w:ascii="arial" w:eastAsia="arial" w:hAnsi="arial" w:cs="arial"/>
            <w:i/>
            <w:color w:val="0077CC"/>
            <w:sz w:val="20"/>
            <w:u w:val="single"/>
            <w:shd w:val="clear" w:color="auto" w:fill="FFFFFF"/>
            <w:lang w:val="en-US" w:eastAsia="en-US" w:bidi="ar-SA"/>
          </w:rPr>
          <w:t>[2011] S.C.C.A. No. 319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Thus, Dr. Biddlecombe's claim as currently pleaded in the amended notice of civil claim sounds in both tort and contract (although as I noted, there are no particulars of the breach of contract claim). The claim in tort is in accordance with the legal authorities that I have referred to. The claim is that Mr. and Mrs. Sheepwash misrepresented their knowledge of and failed to disclose latent defects in the House and Property (that they knew of or were reckless as to their existence) and breached their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That, as Dr. Biddlecombe has conceded, the PDS was not incorporated into the Contract does not affect the tort claim (its impact on the breach of contract claim is another matter altogether, although, I observe, no application has been brought by Mr. and Mrs. Sheepwash to strike that claim; instead, when Dr. Biddlecombe's case was closed, a no evidence motion was made on behalf of Mr. and Mrs. Sheepwash to dismiss the entirety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Accordingly, I do not view the proposed amendments as raising a new cause of action. To the extent that the proposed amendments seek to add further representations beyond those contained in the PDS, they do not add a new cause of action but instead, provide further specific particulars of the tort claim (which, as I said, is framed as a breach of duty of care and particularized with purported misrepresentations). The proposed amendments also provide further and appropriate context for Dr. Biddlecombe's purported reliance on the veracity of the statements contained within the PDS. I see the determinative issue for this application to be whether Mr. and Mrs. Sheepwash are prejudiced if the amendments are allowed, and if so, whether the prejudice can be ameliorated on terms that also maintains trial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Before I turn to the specific amendments, I wish to deal with most of the other points made in the defence submissions. For those I do not deal with now, I will deal with when considering the specific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First, neither amendment purports to reverse or otherwise fall afoul of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rather, they purport to fall within the well-recognized exceptions to the doctrine. Quoting from </w:t>
      </w:r>
      <w:r>
        <w:rPr>
          <w:rFonts w:ascii="arial" w:eastAsia="arial" w:hAnsi="arial" w:cs="arial"/>
          <w:i/>
          <w:color w:val="000000"/>
          <w:sz w:val="20"/>
          <w:lang w:val="en-US" w:eastAsia="en-US" w:bidi="ar-SA"/>
        </w:rPr>
        <w:t>McCluskie</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xml:space="preserve"> described the four exceptions at paras. 23 - 24: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trial judge found [citations omitted] that there are generally four exceptions to the application of the rule of </w:t>
      </w:r>
      <w:r>
        <w:rPr>
          <w:rFonts w:ascii="arial" w:eastAsia="arial" w:hAnsi="arial" w:cs="arial"/>
          <w:i/>
          <w:color w:val="000000"/>
          <w:sz w:val="20"/>
          <w:lang w:val="en-US" w:eastAsia="en-US" w:bidi="ar-SA"/>
        </w:rPr>
        <w:t>caveat emptor:</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fraudulently misrepresents or conceals;</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knows of a latent defect rendering the house unfit for habitation;</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is reckless as to the truth or falsity of statements relating to the fitness of the house for habitation;</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has breached his or her duty to disclose a latent defect that renders the premises dangerous.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Thus,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will not apply where the vendor fails to disclose dangerous latent defects. As the trial judge noted (at para. 122):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distinction between patent and latent defects is central to a vendor's obligation of disclosure under the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Second, there is no general legal principle that when a purchaser retains a property inspector, the purchaser is seen to have relied on the inspector and not the vendors so that the onus shifts to the purchaser to prove otherwise. In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xml:space="preserve">, Joyce J. rejected it as an overly-broad proposition raised by the defence; it is not an absolute rule: </w:t>
      </w:r>
      <w:r>
        <w:rPr>
          <w:rFonts w:ascii="arial" w:eastAsia="arial" w:hAnsi="arial" w:cs="arial"/>
          <w:i/>
          <w:color w:val="000000"/>
          <w:sz w:val="20"/>
          <w:lang w:val="en-US" w:eastAsia="en-US" w:bidi="ar-SA"/>
        </w:rPr>
        <w:t>Hanslo</w:t>
      </w:r>
      <w:r>
        <w:rPr>
          <w:rFonts w:ascii="arial" w:eastAsia="arial" w:hAnsi="arial" w:cs="arial"/>
          <w:color w:val="000000"/>
          <w:sz w:val="20"/>
          <w:lang w:val="en-US" w:eastAsia="en-US" w:bidi="ar-SA"/>
        </w:rPr>
        <w:t>, paras. 124 and 125. Reliance depends on and is determined by the trier of fact on the facts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Third, I reject the submission that as a matter of law, any putative representations must be limited to those contained in the PDS. There is no case authority that stands for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Fourth, submissions concerning an explanation for the reason for delay, presumed prejudice, and the amendments not being connected to the existing claim are factors to be considered when considering amendments after the limitation period has expired (which does not arise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Fifth, I am mindful of the defence submissions that Dr. Biddlecombe has delayed in bringing on the application until after her case closed, but I am also mindful of her explanation when she gave notice of her intention to apply that she, as a self-represented litigant, did not think she had to. It must be pointed out that when she and Ms. Stanger, the real estate agent, gave their evidence, about their interactions with Mr. Sheepwash, no objection was taken to the evidence being adduced. It was not until the mistrial application was brought that the position of Mr. and Mrs. Sheepwash was made known to Dr. Biddlecombe that such evidence was not relevant on the current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Sixth, this is not a case where the proposed amendments seek to advance bare allegations of fraud. The first proposed amendment adds to the particulars and material facts concerning fraud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contained in the existing amended notice of civil claim. They are highly specific particulars. The second proposed amendment does not allege fraud but alleges facts concerning a purported special relationship between the parties. Unlike the cases cited in the submissions of Mr. and Mrs. Sheepwash (</w:t>
      </w:r>
      <w:r>
        <w:rPr>
          <w:rFonts w:ascii="arial" w:eastAsia="arial" w:hAnsi="arial" w:cs="arial"/>
          <w:i/>
          <w:color w:val="000000"/>
          <w:sz w:val="20"/>
          <w:lang w:val="en-US" w:eastAsia="en-US" w:bidi="ar-SA"/>
        </w:rPr>
        <w:t>Chudy v. Merchant Law</w:t>
      </w:r>
      <w:r>
        <w:rPr>
          <w:rFonts w:ascii="arial" w:eastAsia="arial" w:hAnsi="arial" w:cs="arial"/>
          <w:color w:val="000000"/>
          <w:sz w:val="20"/>
          <w:lang w:val="en-US" w:eastAsia="en-US" w:bidi="ar-SA"/>
        </w:rPr>
        <w:t xml:space="preserve"> Group, </w:t>
      </w:r>
      <w:hyperlink r:id="rId930" w:history="1">
        <w:r>
          <w:rPr>
            <w:rFonts w:ascii="arial" w:eastAsia="arial" w:hAnsi="arial" w:cs="arial"/>
            <w:i/>
            <w:color w:val="0077CC"/>
            <w:sz w:val="20"/>
            <w:u w:val="single"/>
            <w:shd w:val="clear" w:color="auto" w:fill="FFFFFF"/>
            <w:lang w:val="en-US" w:eastAsia="en-US" w:bidi="ar-SA"/>
          </w:rPr>
          <w:t>2008 BCCA 484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Grewal v. Sandhu</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2012 BCCA 26</w:t>
        </w:r>
      </w:hyperlink>
      <w:r>
        <w:rPr>
          <w:rFonts w:ascii="arial" w:eastAsia="arial" w:hAnsi="arial" w:cs="arial"/>
          <w:color w:val="000000"/>
          <w:sz w:val="20"/>
          <w:lang w:val="en-US" w:eastAsia="en-US" w:bidi="ar-SA"/>
        </w:rPr>
        <w:t>), it is clear that a case of fraud was being advanced against Mr. and Mrs. Sheepwash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turn now to the first of the two proposed amendments. Should Dr. Biddlecombe be permitted to expand the misrepresentation claim to include as particulars, the alleged oral misstatements made by Mr. Sheepwash?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agree with the submissions made on behalf of Mr. and Mrs. Sheepwash that there must be specificity to the pleading, especially when fraud is alleged. I find the first proposed amendment to provide particulars of the impugned statements, such as when they occurred, or where, or in whose presence, or all of them, and the alleged factual and legal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Thus, to my mind, to answer the question whether the first proposed amendment should be allowed is determined by considering whether prejudice results and whether it can be remedied on terms in a manner that maintains trial fairness. I say that because I do not find the first proposed amendment (or the second one for that matter) to be inconsistent with the pleadings already filed on behalf of Dr. Biddlecombe, nor inconsistent with the evidence tendered in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their submissions, Mr. and Mrs. Sheepwash argued that they were unaware of the evidence concerning the specific statements made by Mr. Sheepwash, during his interaction with Dr. Biddlecombe and Ms. Stanger, until it was led at trial. Respectfully, that is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When Dr. Biddlecombe was examined for discovery by counsel for Mr. Clark on December 4, 2014, she referred to the impugned statements in the presence of Mr. and Mrs. Sheepwash who were in attendance at her discovery. Dr. Biddlecombe referred to the interaction between them, Ms. Stanger, and Mr. Clark, concerning the panel in the Safari room, the recreation room, and the ants. Her evidence, given in front of Mr. and Mrs. Sheepwash, was quite specific, as shown in the following answers: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226 Q And why is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don't know. It certainly was filled out by the sellers, and it was initialled, and it was discussed, and the importance of that statement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227 Q Okay, and what do you recall about the discussions that occurred when the Property Disclosure Statement was given to the Sheepwashes?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There was a discussion in the kitchen with myself Mia, Jen, and Dave and Bonny. Like I said, Jen was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298 Q What was the discussion that was had with Mr. Sheepwash?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question, Jen asked the question, she said it to the home inspector Mr. Clark, asking if we should be taking a panel down, and Mr. Clark said it wasn't up to him to decide to take a panel off the wall. So Dave was there and Dave said, "Why would you want to do that? You're not going to find anything."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299 Q Is it correct that Mr. Clark -- or sorry, Mr. Sheepwash ultimately didn't allow you to take the panel off?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can say that Dave was -- there was -- he was irritated, and he did seem resistant to us taking a panel off. We also had a similar discussion on this side, being in the recreation room, looking at this panel. Jen again asked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300 Q Which is on the north side of the recreation room?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On -- yes. Jen asked again if we should be -- if we could remove a panel, and again Dave was, it sounded defensive to me, and some anger was there and he said, "You're not going to find anything.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302 Q Did you have any other discussions with Mr. Sheepwash on the day of the inspection?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There was a discussion about the ants, whether or not ants were in the house, and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303 Q This is in addition to the discussion about ants at the time the Property Disclosure Statement was signed?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As far as I recall.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304 Q What was discussed regarding the 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Dave said that he had seen some ants. He had seen some ants on the corner of the house, but that was closest to Eberts and Harding so it was on the garage. But he had trimmed a branch of the tree so that -- I guess that was going to take care of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305 Q Were they inside the house that he saw, or on the exterior?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He talked about seeing the -- seeing them coming into the house on the edge by the garage. And then there was some ants, he sort of pointed above the door in the sun room here. This is the door that faces out towards Harding.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306 Q On the interior?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307 Q He had seen some ants in that location?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Mh-hmm,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accept defence counsel's submission that he was not aware of that evidence until argument on this application because it was given at a time that Mr. and Mrs. Sheepwash were self-represented. In that sense, I accept that defence counsel's pre-trial strategy may have been different. Yet, the evidence was known to his clients, and as Dr. Biddlecombe points out and counsel concedes, he had the discovery transcript in his file as of late May 2015. The issue should not be prejudice to counsel, but to Mr. and Mrs. Sheepwash because they are parties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Evidence concerning the receipts is found in the evidence of Ms. Stanger and in follow up correspondence sent on behalf of Mr. and Mrs. Sheepwash following Mr. Sheepwash's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Stanger testified that she asked Mr. Sheepwash for receipts during a walk-about at the house, at which point he left the room, then came back with a couple of receipts, one of which was incomplete. This time, she asked him if there were any more, and if he could provide a full copy of the incomplete receipt. He said there were no more receipts, but that he would provide her with a full copy of the other receipt, which he did do at a later date. According to Ms. Stanger's evidence, the receipts concerned work done by Roto Rooter, work done to the windows, and work done to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According to Dr. Biddlecombe, the evidence adduced so far at trial shows that there should have been many more receipts produced to her that would have revealed two other significant prior floods and repair work to the basement that would have alerted her to potential problems of habitability and informed her approach to the property inspection and completion of the transaction. Instead, she argues that the amendment should be allowed on the basis of her allegation that she relied on the absence of receipts and accepted the assurances of the defendants and proceeded to complete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written advice sent on behalf of Mr. Sheepwash by his counsel, dated September 26, 2013, answers to outstanding questions from his discovery were provided. In terms of receipts, these answers to the following questions were set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Q1 Provide any documents from the purchase of the property by the Sheepwashs from the Taylors [page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no longer have any documents regarding our purchase of the property from the Taylor's. These were shredded when we down-sized to our current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Q4 </w:t>
      </w:r>
      <w:r>
        <w:rPr>
          <w:rFonts w:ascii="arial" w:eastAsia="arial" w:hAnsi="arial" w:cs="arial"/>
          <w:i/>
          <w:color w:val="000000"/>
          <w:sz w:val="20"/>
          <w:lang w:val="en-US" w:eastAsia="en-US" w:bidi="ar-SA"/>
        </w:rPr>
        <w:t>Provide the file from Cromwell Restoration from the first flood [page 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no longer have any documentation from Cromwell Restoration Ltd. with regards to the first flood. The floods were actually Dec. '93 and Dec. '94.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Q5 </w:t>
      </w:r>
      <w:r>
        <w:rPr>
          <w:rFonts w:ascii="arial" w:eastAsia="arial" w:hAnsi="arial" w:cs="arial"/>
          <w:i/>
          <w:color w:val="000000"/>
          <w:sz w:val="20"/>
          <w:lang w:val="en-US" w:eastAsia="en-US" w:bidi="ar-SA"/>
        </w:rPr>
        <w:t>Provide the file from Cromwell Restoration regarding the second cleanup [page 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find an invoice from Cromwell Restoration Ltd. for the second flood dated January 30, 1995 and it refers to Job# 4443. It was for our insurance deductible of $500.00.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Q6 Provide any documents from Roto-Rooter from the 1995 or the 2008 floods [page 55]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no longer have any documentation from Roto-Rooter for the 1994 flood. The invoice from the 2008 water-seepage was handed over to Dr. Biddlecombe in an act of good faith and I do not have a 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a result, none of the documents referred to in that correspondence have been provided to Dr. Biddlecombe; nor has the document concerning job #4443.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seeks the amendment concerning the receipts because she alleges that documents have been intentionally destroyed and this informs her claim concerning the knowledge that Mr. and Mrs. Sheepwash had concerning latent defects that was not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I pointed out, no objection was taken to the admissibility of the evidence given by Dr. Biddlecombe and Ms. Stanger concerning their interactions with Mr. Sheepwash, including the interaction regarding receipts. There was cross-examination of both in respect of the reliance issue. It may well be, as defence counsel says, that no objection was taken because he did not understand that the putative representations were particulars of the claim. Nonetheless, Mr. and Mrs. Sheepwash were both aware of the evidence prior to trial and were not taken by surprise by it during Dr. Biddlecombe's case. It cannot be said that they are surprised by her application to amend her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Defence counsel submitted that his clients are prejudiced because if he had known that Dr. Biddlecombe intended to rely on the statements concerning the interaction with Mr. Sheepwash as part of the claim, he would have asked questions of Dr. Biddlecombe about them on her examination for discovery and he would have interviewed the witnesses to the interactions, who were Mr. Clark and Ms. Stanger, and I am told, possibly two other people, Ms. Mia Tremblay and her sister, Joan Tremblay. Defence counsel also submits that he would have asked further questions of the contractor who testified, Ms. June Montgomery,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Defence counsel's approach to the evidence during Dr. Biddlecombe's case is a matter between him and his clients given their pre-trial knowledge of Dr. Biddlecombe's evidence. At the same time, counsel's lack of knowledge may well have impacted on his trial strategy and to that extent his clients may have been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Defence counsel has said that he plans to call Mr. Clark as a witness as part of the case for Mr. and Mrs. Sheepwash, and thus he is fully aware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If there is prejudice to Mr. and Mrs. Sheepwash, then I am satisfied that it can be remedied on terms. Defence counsel has already announced his intention to call Dr. Biddlecombe as an adverse witness in respect of another matter and Dr. Biddlecombe has advised that she does not oppose being called as such. Consequently, any prejudice that may have been suffered can be dealt with by permitting defence counsel to conduct further cross-examination, limited of course to the matters covered by the first proposed amendment,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Biddlecombe should also submit to a further examination for discovery concerning the matters raised in the first proposed amendment, and the trial can be stood down briefly to allow that. I understand that she consents to that continued examination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Any prejudice suffered will also be ameliorated with an additional term that defence counsel has leave to call Ms. Stanger and Ms. Montgomery as adverse witness to conduct further cross-examination, limited to the first proposed amendment, should he wish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addition, Ms. Stanger, the two Tremblays, and Ms. Montgomery have, as I understand it, agreed to be examined under oath, by defence counsel without delay. As I understand it, the continued examination for discovery and the witness examinations can take place this afternoon and tomorrow. The witness examinations and the continued examination for discovery of Dr. Biddlecombe that I have ordered are limited to the matters raised by the first proposed amendment. Arrangements should be made to commence the continued discovery and examinations this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Once those examinations are completed, then defence counsel can, if he deems it appropriate in order to advance his clients' interests in this case, call them as witnesses. Since Ms. Stanger and Ms. Montgomery have testified as part of Dr. Biddlecombe's case, I would deem them to be adverse witnesses if they are called as part of Mr. and Mrs. Sheepwash's case. Whether the Tremblays' evidence, assuming they are called, can be adduced as if they are adverse witnesses, is a matter that will have to be dealt with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Any concern that arises from Ms. Stanger, Ms. Montgomery, and the Tremblays having knowledge of the issues surrounding the first proposed amendment is something that can readily be dealt with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Turning to the issue of the receipts, in my respectful opinion, it is relevant to the reliance issue. Further, I do not see any prejudice arising to Mr. and Mrs. Sheepwash that cannot be remedied by the terms I have ordered. I will also note that the trial was stood down some seven weeks ago, on October 2, 2015, to allow further submissions to be made in respect of proposed amendments. Further draft amendments were submitted by Dr. Biddlecombe in an attempt to overcome the defence objection to lack of particularity. The trial was adjourned with directions to the parties to be prepared to resume the trial having anticipated all possible outcomes of the application. The amendments that I am permitting, on terms, track the oral and written submissions made by Dr. Biddlecombe throughout this application. Consequently, during that time, Mr. and Mrs. Sheepwash have had ample opportunity to take steps to prepare their defence in anticipation that one or more of the proposed amendments may be permitted. That time, coupled with their right to cross-examine Dr. Biddlecombe, Ms. Stanger, and Ms. Montgomery as adverse witnesses in their case, and to examine and call other witnesses, ameliorates any potential prejudice arising from allowing the amendment in respect of the receipts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Trial fairness is also assured.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now turn to the assertion that the first amendment lacks particulars in respect of the definition of habitability. Any lack of clarity concerning the word "habitability" can be overcome by ascribing to that term the legal definition of habitability.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Accordingly, the first proposed amendment is allowed on the terms outlined, i.e.:</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option of Mr. and Mrs. Sheepwash, their counsel may cross-examine Dr. Biddlecombe in respect of the matters raised in the first proposed amendment when she is called as an adverse witness;</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option of Mr. and Mrs. Sheepwash, their counsel may call and cross-examine Ms. Stanger and Ms. Montgomery as an adverse witnesses on the same basis;</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option of Mr. and Mrs. Sheepwash, their counsel may examine under oath the two Tremblays, Ms. Stanger, and Ms. Montgomery, and conduct a further examination for discovery of Dr. Biddlecombe at a time to be set immediately following the conclusion of these reasons;</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particulars of the first proposed amendment is limited to those set out in the further amended notice of civil claim;</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meaning of "habitability" is its legal definition;</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impugned words that do not conform with the evidence, as previously described, are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turn to the second proposed amendment. All parties agree that it does not constitute a cause of action. In my opinion, the proposed amendment may, or may not, inform the reliance issue and the special relationship issue. No prejudice has been identified in the submissions of the defendants if the amendment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my opinion, the second proposed amendment should be allowed for these reasons:</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conforms with the evidence adduced in Dr. Biddlecombe's case;</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does not raise a new cause of action;</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informs Dr. Biddlecombe's claim of reliance;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objection was taken to the evidence as irrelevant when it was being adduced;</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Biddlecombe was cross-examined in respect of reliance;</w:t>
      </w:r>
    </w:p>
    <w:p>
      <w:pPr>
        <w:numPr>
          <w:numId w:val="5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 Mrs. Sheepwash have full opportunity to defend against it;</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sufficiently particularized; and</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prejudice has been shown to result to Mr. and Mrs. Sheepwash.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Accordingly, the second proposed amendment is allowed. There is no need for imposition of any terms such as examinations.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Biddlecombe's application to further amend her amended notice of civil claim is allowed on the terms I have set out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7" style="position:absolute;z-index:2518364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2"/>
          <w:headerReference w:type="default" r:id="rId933"/>
          <w:footerReference w:type="even" r:id="rId934"/>
          <w:footerReference w:type="default" r:id="rId935"/>
          <w:headerReference w:type="first" r:id="rId936"/>
          <w:footerReference w:type="first" r:id="rId9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8" w:history="1">
        <w:r>
          <w:rPr>
            <w:rFonts w:ascii="arial" w:eastAsia="arial" w:hAnsi="arial" w:cs="arial"/>
            <w:b/>
            <w:bCs/>
            <w:i/>
            <w:color w:val="0077CC"/>
            <w:kern w:val="32"/>
            <w:sz w:val="28"/>
            <w:szCs w:val="32"/>
            <w:u w:val="single"/>
            <w:shd w:val="clear" w:color="auto" w:fill="FFFFFF"/>
            <w:lang w:val="en-US" w:eastAsia="en-US" w:bidi="ar-SA"/>
          </w:rPr>
          <w:t>L.B. v. K.H., [2003] B.C.J. No. 2970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Barrow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27 and December 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S58348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2970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1896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548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L.B., plaintiff, and K.H., Director of Maintenance Enforcement, Veronica Beier, Pat Wallace, Jeffrey J. Peterson,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8"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8" w:name="Keywords_26"/>
      <w:bookmarkEnd w:id="218"/>
      <w:r>
        <w:rPr>
          <w:rFonts w:ascii="arial" w:eastAsia="arial" w:hAnsi="arial" w:cs="arial"/>
          <w:b/>
          <w:color w:val="000000"/>
          <w:sz w:val="20"/>
          <w:lang w:val="en-US" w:eastAsia="en-US" w:bidi="ar-SA"/>
        </w:rPr>
        <w:t>Crown — Crown immunity — Immunity under provincial legislation — Agents — Officials and employees — Liability of officials in tort — Defences, good faith — Practice — Judgments and orders — Summary judgments — To dismiss action — Requirement that question at issue be beyond doubt.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9" w:name="Case Summary_24"/>
            <w:bookmarkEnd w:id="2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Director of Maintenance Enforcement, Beier, and Wallace for summary judgment dismissing the action by LB against them. LB fathered a child out of wedlock in 1982. In 1983 the defendant mother, KH, obtained a declaration of paternity against LB. LB was ordered to pay child support. The order was filed with the Director upon the enactment of the Family Maintenance Enforcement Act. Wallace was an enforcement officer who was responsible for LB's file. Beier was a lawyer employed by the Director. She was involved in the enforcement of the support order. LB claimed that the defendants were negligent in their dealings with him, and that they breached fiduciary duties owed to him.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0" w:name="Holdings of Court_21"/>
            <w:bookmarkEnd w:id="22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applicants acted in good faith. They dealt with LB in a civil and responsive manner. On the occasions that Beier acted outside the mandate of the Director, she did so to assist LB. It was immaterial that the Director took enforcement proceedings against LB without notice to him, as it was allowed to do so by the Act. The notice of attachments and the default fees it imposed were done pursuant to the Act. Pursuant to section 44 of the Act, the Director and its delegates were protected from liability for damages when they acted in good faith in the performance of their duties.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1" w:name="Legislation Cited_14"/>
      <w:bookmarkEnd w:id="2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9"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Child Paternity and Support Act, R.S.B.C. 1979, c.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Family Maintenance Enforcement Act, S.B.C. 1988, c. 3, ss. 2, 2(2), 4, 12, 14.4, 15, 19, 21, 23, 26, 35(2), 44, 45.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2" w:name="Counsel_38"/>
      <w:bookmarkEnd w:id="2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0"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L.B., appeared on his own behalf. R.D. Braun, for the defendants/applicants, Director of Maintenance Enforcement, Veronica Beier, and Pat Wallace.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3" w:name="Judgment_38"/>
      <w:bookmarkEnd w:id="223"/>
      <w:r>
        <w:pict>
          <v:line id="_x0000_s1191" style="position:absolute;z-index:2518374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4" w:name="BARROW J."/>
            <w:bookmarkEnd w:id="224"/>
            <w:r>
              <w:rPr>
                <w:rFonts w:ascii="arial" w:eastAsia="arial" w:hAnsi="arial" w:cs="arial"/>
                <w:b/>
                <w:color w:val="000000"/>
                <w:sz w:val="30"/>
                <w:lang w:val="en-US" w:eastAsia="en-US" w:bidi="ar-SA"/>
              </w:rPr>
              <w:t>BARROW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L.B. fathered a child out of wedlock in 1982. In 1983, on application by the defendant, Ms. K.H., under the Child Paternity and Support Act, R.S.B.C. 1979, c. 49, the Provincial Court declared Mr. L.B. to be the father of the child and ordered that he pay support in the sum of $100 per month (the "support order"). In 1988, with the enactment of the Family Maintenance Enforcement Act, R.B.C. 1988, c. 3, the office of the Director of Maintenance Enforcement was created (the "Director"). The support order was filed with the Director for purposes of enforcement on February 1, 1989. There followed a lengthy series of court applications by the Director to enforce payment of arrears due under the order and by Mr. L.B. to prevent enforcement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Director employs administrative staff and lawyers to discharge the obligations imposed on that office by the legislation. In 1990, Mr. Wallace, one of the defendants in this action, began employment with the Director. In 1998, in his capacity as an enforcement officer, he assumed administrative responsibility for Mr. L.B.'s file. He took various steps to enforce the support order over the next several years. In 1997, the defendant Ms. Beier, a lawyer employed by the Director, became involved with the enforcement of the support order. She appeared on many court applications and corresponded with Mr. L.B. and his counsel over the next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K.H. (now Ms. L.), the child's mother, was, from time to time, represented by the defendant, Mr. Peterson, in her efforts to resist the applications brought by Mr. L.B.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L.B. contends that all of the defendants in this action have been negligent in their dealings with him. He maintains that they have acted in breach of a fiduciary duty that he says they owed him. In addition, he says that they have acted fraudulently towards him. The basis for these claims is not clearly set out in his statement of claim. He has, however, particularized his claim. Those particulars run to some 106 paragraphs, and they detail the basis upon which he rests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application before me is brought by the Director, Ms. Beier and Mr. Wallace, under Rule 18A of the Rules of Court to have this action summarily dismissed. Mr. Peterson has taken no part in this application. Remarkably, there are very few factual differences between the parties. To a large extent, where there are differences, they relate to the inferences that are to be drawn from the undisputed facts. Where there are factual disputes, I am satisfied that they can be resolved by reference to the documentary and other evidence. I am, therefore, satisfied that this is an appropriate matter for disposition under Rule 18A, having regard to the principles set out in Inspiration Management Ltd. v. McDermid St. Lawrence Ltd. </w:t>
      </w:r>
      <w:hyperlink r:id="rId10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and Coast Wholesale Appliances Ltd. v. Armitstead, </w:t>
      </w:r>
      <w:hyperlink r:id="rId939" w:history="1">
        <w:r>
          <w:rPr>
            <w:rFonts w:ascii="arial" w:eastAsia="arial" w:hAnsi="arial" w:cs="arial"/>
            <w:i/>
            <w:color w:val="0077CC"/>
            <w:sz w:val="20"/>
            <w:u w:val="single"/>
            <w:shd w:val="clear" w:color="auto" w:fill="FFFFFF"/>
            <w:lang w:val="en-US" w:eastAsia="en-US" w:bidi="ar-SA"/>
          </w:rPr>
          <w:t>[1993] B.C.J. No. 162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what follows, I will set out the legal framework within which this dispute has arisen and the positions of the parties. I will then outline the events that Mr. L.B. claims demonstrate bad faith on the part of the defendants, the actions he claims are beyond the powers and duties of the defendants as set out in the Act, and finally I will address the evidence the defendants argue shows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Family Maintenance Enforcement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Family Maintenance Enforcement Act came into force in 1988. As its title implies, it is intended to assist those entitled to maintenance to collect that maintenance. In the nomenclature of the Act, those entitled to maintenance are "creditors" and those required to pay are "debtors". The Act creates the office of the Director of Maintenance Enforcement (s. 2). It allows a creditor to file a maintenance order with the Director who then, when he or she considers it "necessary and practicable to do so", must enforce the order (s. 4). Once a maintenance order is filed with the Director by a creditor, it may be withdrawn on the written request of the creditor. The Act provides that a term in an agreement or a maintenance order that purports to prohibit the enforcement by the Director of maintenance due under it, or that requires an order filed with the Director to be withdrawn, is unenforceable (s. 45). In Part III of the Act, the Director is given a variety of enforcement powers, including the power to require a debtor to file financial information (s. 12), the power to attach debts due or that may become due to the debtor (s. 15), and the power to apply to the court to compel the debtor to attend a default hearing (s. 19). At a default hearing, the Provincial Court has the power to make a wide range of orders, including fixing the amount of any arrears, ordering payment of them either by lump sum or periodically, and ordering that, in default of payment, the debtor be imprisoned (s. 21 and 23). In addition to the foregoing, the Director may cause a maintenance order to be registered in a land title office. Once registered, it is treated as a judgment (s. 26). There are a variety of other enforcement mechanisms available to the Director but the foregoing are the only ones relevant to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Act provides that the Director may delegate any of the powers or functions set out in the Act to any person (s. 2(2)). Section 44 of the Act protects the Director and his or her delegates from actions for damages in certain situations. It provides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action for damages does not lie and must not be instituted against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 the minister under the Employment and Assistance Act or the BC Benefits (Income Assistance) Act, the director or a person acting under the authority of any of them, or</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service, agency or other body to whom the director has under section 2 (2) delegated a power, duty or function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anything done in good faith in the performance or intended performance of a duty or in the exercise or intended exercise of a power or function under this Act or the regulations or for any neglect or default in the performance or exercise in good faith of that duty, power or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It is the defendants' position that Mr. L.B.'s action is, in effect, an action for malicious prosecution. They contend that the elements of that tort, as set out in Nelles v. Ontario, </w:t>
      </w:r>
      <w:hyperlink r:id="rId940"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 must be established by Mr. L.B. if he is to be successful. There are four elements to the tort of malicious prosecution: proceedings must have been initiated by the defendant; they must have been terminated in favour of the plaintiff; the defendant must have acted without reasonable and probable cause; and the defendant must have acted with malice. Defendants argue that Mr. L.B. has not established the last three of these elements, and therefore his action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do not agree that the plaintiff's action should be characterized as an action for malicious prosecution. Malicious prosecution is a tort that arises from the improper initiation of criminal proceedings. It is a tort that applies to the judicial or quasi-judicial decision to prosecute. The policy reasons that justify the partial protection from suit that individuals charged with making those decisions enjoy do not apply to the powers exercised by the defendants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L.B. is alleging that the defendants exceeded the powers conferred on them by the Act; that they acted recklessly in the discharge of those powers; and that they acted for improper purposes. The cause of action he asserts is akin to that described by McIntyre J. in his dissenting judgment in Nelles (at para. 70)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appear on the basis of the authorities cited that in general terms public officers are entitled to no special immunities or privileges when they act beyond the powers which are accorded to them by law in their official capacities. It would follow, then, that where a public officer, a servant of the Crown, exceeds the powers of his office or acts improperly in fraud of his duties and powers, or acts with malice in the discharge of his duties, he does not have immunity from civil suit and where, by reason of such excess of power or improper motive, he causes damage he may be civilly liable in damages. This, indeed, seems clear as far at least as it may concern public servants who act in administrative 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From the foregoing, it follows that the first issue for consideration is whether the actions of the defendants are protected by s. 44 of the Act. Although the question was not addressed in argument, I will assume that the defendants have the onus of proving that they come within the ambit of the section. There are two requirements in s. 44: first, it must be established that what the defendants did was done in the performance or intended performance of a duty, or the exercise or intended exercise of a power under the Act; and second, that what was done was done in good faith. If they are able to establish these propositions, then the plaintiff's action, to the extent it is based on such activities,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second issue to be resolved relates to any activities of the defendants that do not enjoy the partial immunity afforded by s. 44, because they are acts that were not done in pursuance of a duty or in the exercise of a power conferred by the Act. If there are such acts, it is necessary to determine whether they are capable of grounding the plaintiff's claim. If they are not, then to the extent the action is based on them, it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to the Facts</w:t>
      </w:r>
      <w:r>
        <w:rPr>
          <w:rFonts w:ascii="arial" w:eastAsia="arial" w:hAnsi="arial" w:cs="arial"/>
          <w:sz w:val="20"/>
          <w:lang w:val="en-US" w:eastAsia="en-US" w:bidi="ar-SA"/>
        </w:rPr>
        <w:cr/>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of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indicated above, on September 7, 1983, by order of the Provincial Court, Mr. L.B. was declared to be the father of the child in question and was ordered to pay $100 per month for the child's support. In January 1984, two applications were heard in the Provincial Court: one brought by the Superintendent of Family and Child Services to enforce arrears and one brought by Mr. L.B. to vary the terms of the initial support order. On January 25, 1984, the provincial court fixed the outstanding arrears at $500 and dismissed Mr. L.B.'s application to vary.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November of 1984, a further application by the Superintendent was brought to enforce payment of the order. Mr. L.B. was found to be in arrears in the sum of $1,100. On November 8, 1984, after hearing evidence from Mr. L.B. the court ordered that, for the next nine months (that is until August 1985), he pay $1 per month towards the arrears and that on August 1, 1985, he pay the arrears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L.B. states in his particulars (para. 2) that he "continued to challenge the alleged paternity" and on July 11, 1985, he appeared before in Provincial Court and "the matter" was adjourned sine die. There is no evidence that Mr. L.B. ever "challenged" the paternity order made in 1983. The order was not appealed nor were any other steps taken to challenge its validity. The application before the Provincial Court in July 1985 was an application by the Superintendent to have Mr. L.B. show cause why enforcement proceedings should not be taken against him. On that date no hearing was held, rather the matter was simply adjourned indefinitely. The events of July 11, 1985, are a significant part of Mr. L.B.'s claim, and I will return to them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To be clear, Mr. L.B. has always questioned whether he is the father of the child. From time to time, he has sought the co-operation of Ms. K.H. to have paternity testing done. He has, however, never legally challenged the validity of the initial support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support order and the subsequent orders relating to arrears all required that the payments be made to the Superintendent of Family and Child Services. Upon the creation of the office of the Director of Family Maintenance Enforcement, the Superintendent of Family and Child Services caused the support order to be filed with that office. By affidavit sworn in February 1989, on behalf of the Superintendent, the arrears under the support order as of February 1, 1989, were $6,097. The total paid by Mr. L.B. since the support order was pronounced, again according to the Superintendent's records, was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 letter dated March 31, 1989, the Director advised Mr. L.B. that the support order had been filed for enforcement under the Family Maintenance Act and that henceforth payments were to be made to the Director. The letter further indicated that the Director was of the view that the arrears under the order totalled $6,097 and that ongoing payments of $100 were due each month. Finally, the letter invited Mr. L.B. to contact the Director if he had any dispute about the amount of the arrears or if he had any questions regarding the program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L.B. states that he received the letter and immediately contacted the Director's office seeking clarification of the events of July 1985. An enforcement officer replied to Mr. L.B.'s inquiry advising him that he had reviewed the clerk's notes relating to the file and they did not show that a "hearing" had been held in July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March 23, 1990, the Director and Mr. L.B. appeared in the Provincial Court as a result of the Director initiating a show cause hearing. Mr. L.B., who was represented by counsel, gave evidence that he thought that following the July 11, 1985, hearing he had no further obligation to pay support. Mr. L.B. testified that he knew that no court order had been made that day and he knew that no evidence had been called. He said that he and Ms. K.H. had made a "personal" agreement that all arrears would be cancelled and that there would be formal paternity testing done to establish the child's parentage. He also testified that Social Services told him that they wanted no part of such an agreement. He testified that he was represented by counsel at the July 11, 1985 proceeding and that his lawyer had explained everything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course of his examination of Mr. L.B. in March, Mr. Benwell, counsel for the Director, indicated that he had the clerk's notes relating to the file, and there was no reference to a July 1985 court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March 23, 1990 proceeding was adjourned to May 24, 1990, so that a transcript of the July 11, 1985 proceedings could be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May 30, 1990, the Honourable Judge Behncke heard the matter and had the benefit of a transcript of the July 11, 1985 proceedings. He fixed arrears at $606 and ordered that they be paid at the rate of $30 per month. No order was made terminating the support required under the original support order. On September 13, 1990, an appeal by the Director of Judge Behncke's order was allowed, and the order was set aside and the matter remitted to the provincial court for a rehearing.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the present action, Mr. L.B. maintains that the statement by an enforcement officer that he had reviewed the clerk's notes and found no indication of a "hearing" in 1985 is evidence of recklessness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Further, he argues that the statement to the same effect by the Director's counsel in the March 1990 hearing is similarly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recklessness.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Assuming that this evidence is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recklessness, there is no basis to conclude that these things were done otherwise than in good faith. Indeed, the enforcement officer's statement was true - there was no "hearing" in July 1985. Mr. L.B. may, quite understandably, have a different conception of what constitutes a "hearing" but that does not make the assertions inaccurate. As to Mr. Benwell's comments, while they may not have been entirely accurate in that there was a court date in 1985, at worst they indicate an understandable mistake which had no bearing on anything that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L.B. further argues that when he received disclosure from the Director in 2002, it was clear that the Director had the transcript of the July 1985 hearing "prior to the May 24, 1990" hearing (para. 9 of the particulars). There was no hearing on May 24, 1990. There was a hearing on May 30, 1990, and I agree that the Director likely had the transcript prior to that hearing. On my review of the evidence, there is nothing to indicate that the Director ever took a contrary position. If Mr. L.B. meant to refer to the March 23, 1990 hearing, I do not accept that the Director was then in possession of the transcript. The transcript of July 11, 1985, indicates that it was produced on April 10, 1990. Moreover there would be no reason for the Director to knowingly suppress the document - it assists their position. There is no basis in the evidence to support this contention of Mr. L.B.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next event of significance, according to Mr. L.B., is an agreement that he entered into with Ms. K.H. The agreement was prepared by his counsel, Mr. Newcombe. It provided, in paragraph 3.01, that Mr. L.B. would pay $100 per month for the support of the child "commencing on the 1st day of November, 1991 and continuing on the 1st day of each and every month thereafter until the DNA results are received". In paragraph 3.03, Ms. K.H. agreed to "immediately withdraw from the Family Maintenance Enforcement Program". In paragraph 4.01, the parties agreed to have "DNA testing completed and the results available within one (1) year". This agreement was negotiated between counsel for Ms. K.H. and counsel for Mr. L.B. The Director had no involvement in its preparation and did not receive a copy of it until November 15,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L.B. takes the position that the agreement obligated him to pay support for a year unless the paternity testing contemplated by the agreement was completed and established that he was the child's father. The Director took the position that the agreement required ongoing maintenance payments until paternity testing was completed, and thereafter, if the tests showed that Mr. L.B. was the child's father. It is Mr. L.B.'s position that the Director's interpretation of the meaning of the agreement is evidence of a lack of good faith.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issue is not whether Mr. L.B.'s view or the Director's view of the agreement is correct but, rather, whether the position taken by the Director is one that was reasonably open to him. The agreement itself is not a model of clarity. On its face, it could support either party's position. The interpretation taken by the Director is one that was ultimately accepted, repeatedly, by the Provincial Court when Mr. L.B. later sought declarations that, on the basis of his interpretation of the agreement, he was no longer obliged to pay support. None of his applications in that regard were successful. I do not consider the Director's position as to the meaning and effect of the agreement to be unreasonable, never mind evidence of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June 1997, the Director wrote to Mr. L.B. advising him that because they had not received the results of any DNA testing, maintenance was continuing to accrue and that enforcement action had been taken. In May 1997, the Director had filed a notice of attachment with the federal government seeking to attach a portion of any unemployment insurance benefits to which Mr. L.B. might be entitled. In August 1997, Mr. L.B. filed an application seeking to have the notice of attachment set aside, seeking to "void" the agreement and seeking a declaration that, since one year had passed following its execution, he was under no further obligation to pay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December 4, 1997, the Honourable Judge Weddell of the Provincial Court ordered that Mr. L.B. arrange, as soon as possible, for DNA testing to be done. Mr. L.B.'s application was adjourned to March 5, 1998, to allow that to be done. On March 5, 1998, the matter came on before the Honourable Judge Klinger. Mr. L.B. gave evidence and acknowledged that he had not done anything to arrange for DNA testing since the agreement of 1991 was signed. The court questioned him about what he had done since the December 1997 order was pronounced. He said that he had been in touch with a DNA testing company and had received some documentation but that a date had not yet been set. The court refused Mr. L.B.'s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One factual dispute in this matter relates to whether Mr. L.B. had arranged a specific time for DNA testing before attending court on March 5, 1998. In his particulars (para. 44), he maintains that he had arranged a date for taking samples and that the date was March 18, 1998. He further states that he telephoned Ms. Beier prior to the court date and told her of this appointment. The inference Mr. L.B. invites from this is that Ms. Beier knew of the appointment and failed to advise the court of it during the March 18, 1998 proceedings. Of course if this were so, it may well indicate an absence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Mr. L.B. prepared his particulars, he only had a partial transcript of the proceedings of March 5, 1998. He did not have a transcript of the evidence; all he had was a transcript of Judge Klinger's decision. In her affidavit, Ms. Beier denies that Mr. L.B. advised her that a date had been arranged.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full transcript of the proceedings of March 5, 1998, was obtained by the Director. In it, at page 14, Mr. L.B. was asked by the court, "So a date hasn't been fixed for D.N.A. testing even as of today?" and he answered, "The actual date has not been fixed." This is, of course, in direct contradiction to his evidence as set out in the particulars that are exhibited to 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March 5, 1998, after the court hearing, Mr. L.B. wrote to Ms. Beier stating, "I have now been given the funds to do so, and have set a date to have the testing done." He did not indicate what the date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satisfied that Mr. L.B. did not arrange for a date for DNA testing prior to the March 5, 1998 hearing. If he had done that, there is no doubt that he would have told the court that he had. Instead, he specifically told the court that he had not. Further, if he had told Ms. Beier prior to March 5, 1998 that he had a date set, his letter of March 5, 1998, which makes no reference to an earlier call, does not make sense. I note in passing that, in argument, when faced with the contradiction in his evidence of March 5, 1998, Mr. L.B. indicated that the transcript was not accurate. There is simply no basis at all for that contention. Given the foregoing, there is no basis upon which to conclude that Ms. Beier was acting in bad faith when she appeared at the March 5, 1998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only other factual dispute relates to a telephone conversation that Mr. L.B. maintains he had "on or about" March 10, 1998, with Ms. Beier. He asserts that she told him in that conversation that Ms. K.H. was not willing to participate in paternity testing. Of course, if that was so, and if the Director continued to enforce the order, it may have been indicative of an absence of good faith. Ms. Beier, however, denies telling Mr. L.B. anything of the kind. She has produced a letter that she sent to Mr. L.B. on March 10, 1998, the very day that Mr. L.B. maintains this conversation took place. In the letter, she advised Mr. L.B. to inform her immediately if he intended to set a date for testing. She further told him that she would be out of the office for approximately one week, effective at the end of business that day, so if he wanted her to assist in co-ordinating a date, he should take that into account. Finally, she told him that if she did not hear from him, she would not be following up on the matter but rather would leave it to Mr. L.B. This letter is inconsistent with the assertion Mr. L.B. makes. Based on the foregoing, I am satisfied that Ms. Beier did not advise Mr. L.B., on or about March 10, 1998, that Ms. K.H. would not participate in paternity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January 2000, DNA testing was finally undertaken. The results indicate that the probability of Mr. L.B. being the father was greater than 99.99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Mr. L.B. had the proof that he maintains he had been seeking since 1983, he did not begin to pay support for his child. According to the Director he was in arrears in excess of $11,000. The Director sought and obtained an order compelling Mr. L.B. to make financial disclosure. On June 22, 2000, the court ordered that Mr. L.B. pay $100 per month towards the arrears of maintenance. These payments were to be made for the months of June, July and August 2000. The court also ordered that Mr. L.B. make certain detailed financial disclosure by July 27, 2000. The matter was to be reconsidered by the court in September 2000. Ms. Beier drew the order that had been pronounced at this hearing. The order she drew provided that the $100 per month payments towards the arrears were to continue until the arrears were paid off. The order was approved as to form by Mr. L.B.'s counsel and Ms. K.H.'s counsel, and it was checked by a clerk of the court. It was only after Mr. L.B. obtained a transcript of the proceedings that the error in the order was discovered. I have no hesitation in concluding this was nothing more than an honest error. Indeed, it was an error made by Ms. Beier, Mr. Newcombe, Mr. Peterson, and the court staff. It is not evidence of bad faith nor does it show a lack of good faith on the part of the Director or Ms. Beier. Once the error was discovered, the order was amended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September 2000, the Director brought an application to have Mr. L.B. imprisoned because of his failure to provide the financial information he was ordered to provide on June 22, 2000. Before the matter returned to court for a formal hearing, a family case conference was convened on October 13, 2000. Present were Mr. L.B. and his lawyer Mr. Newcombe, Ms. K.H. and her counsel Mr. Peterson, and Ms. Beier on behalf of the Director. At this settlement conference, discussions were undertaken. On October 18, 2000, Mr. Newcombe and Mr. Peet (appearing for Mr. Peterson) appeared in Provincial Court and spoke to the terms of a consent order. It fixed the arrears at $10,000; ordered Mr. L.B. to pay them off at the rate of $100 per month commencing on the 1st of November, 2000; ordered that Mr. L.B. continue to pay $100 towards the ongoing support of his child, with these payments to be made into a bank account to be opened by Ms. K.H.; ordered that he be imprisoned for three days if he was in default for more than two months; and ordered that Ms. K.H. withdraw from the Family Maintenance and Enforcement Program but, if Mr. L.B. was in default for two months, that she would be at liberty to re-enrol.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L.B. made application to the Provincial Court on January 6, 2001, seeking to set aside the consent order of October 18, 2000, on the basis that his lawyer, Mr. Newcombe, had acted without instructions. He also sought to have Ms. K.H. imprisoned for her alleged failure to provide a bank account into which the support payments could be made. Further, he sought repayment of all the funds that he had previously paid for his child's support since July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Honourable Judge Threlfall heard Mr. L.B.'s application on April 9, 2001. He ordered the arrears frozen at $10,000 and declared that they would not accrue interest during the next year. He further ordered that payments towards the arrears be suspended for one year. Ongoing support was ordered to continue, but the imprisonment provision in the event of default was deleted. Ms. Beier sent Mr. L.B. a form of order together with a copy of the clerk's notes asking that he endorse it, indicating that it was correct in form. Mr. L.B. did not do that. The Director then applied to have Mr. L.B.'s approval dispensed with and that was ordered on October 11, 2001. The order was entered in precisely the terms initially presented to Mr. L.B. by Ms. Beier.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L.B., in his particulars, asserts that this order was made on the basis of submissions made by Ms. Beier that were, in some unspecified fashion, misleading or incomplete. He has provided no evidence to support this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March 21, 2002, the Honourable Judge Takahashi of the Provincial Court ordered that Mr. L.B. pay $100 per month towards the arrears and that should he default in making those payments that he be imprisoned. By November 2002, Mr. L.B. was again in default of his obligations to support his child. The Director filed materials with the court indicating that his default totalled $300 plus the $10,000 that was fixed in two previous court orders. The Director applied for, and the court issued, a summons to Mr. L.B. to again show cause why an order should not be made against him because of his alleged default. In addition, the Director sought an order that Mr. L.B. be prohibited from seeking any further review of the matter without first obtaining leave of the court. Mr. L.B. responded with an application to have the entire matter transferred to the Supreme Court, in order that it could be judicially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matter was heard in Provincial Court on July 31, 2003. The arrears were fixed at $9,099. The court, on the request of the Director, gave its interpretation of the earlier orders of April 9, 2001 and March 22, 2002. The court prohibited Mr. L.B. from making any further applications to reduce or cancel arrears without first obtaining leave. Finally, the court ordered an ongoing payment regime that was sensitive to Mr. L.B.'s financial circumstances, in particular to the fact that he was then on social assistance. This is the last order revealed by the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is nothing in all of the foregoing that demonstrates an absence of good faith on the part of the Director, Ms. Beier or Mr. Wallace.</w:t>
      </w:r>
      <w:r>
        <w:rPr>
          <w:rFonts w:ascii="arial" w:eastAsia="arial" w:hAnsi="arial" w:cs="arial"/>
          <w:sz w:val="20"/>
          <w:lang w:val="en-US" w:eastAsia="en-US" w:bidi="ar-SA"/>
        </w:rPr>
        <w:cr/>
      </w:r>
    </w:p>
    <w:p>
      <w:pPr>
        <w:numPr>
          <w:numId w:val="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that Ms. Beier Exceeded Her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Generally, Mr. L.B. maintains that the Director and his counsel, Ms. Beier, exceeded their authority by acting for Ms. K.H. in a manner that went beyond the enforcement of maintenance. This, Mr. L.B. maintains, is indicative of bad faith. Moreover, if Ms. Beier was acting beyond the scope of her authority, then she is not entitled to the protection of s. 44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Act empowers the Director to enforce support orders. It does not authorize the Director or his delegates to otherwise act on behalf of those entitled to receive maintenance. Section 35(2), however, provides that the Director may defend an application to vary a maintenance order that is in arrears. It is not uncommon for the two proceedings, that is, an application for enforcement and an application for a variation, to be brought coincidentally.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During the early 1990s, when the agreement regarding paternity testing was made, Ms. K.H. was represented by counsel. There is no evidence that the Director was acting for her at that time. At the hearing of March 5, 1998, Ms. Beier advised the court that she was present and appearing only in relation to the application to enforce the arrears. Ms. K.H. was present and appearing to deal with that aspect of Mr. L.B.'s claim relating to the enforceability of the 1991 agreement. At the June 22, 2000 and the April 9, 2001 hearings in the Provincial Court, Ms. K.H. was represented by her own counsel. There is no basis to suggest that Ms. Beier was somehow exceeding her authority at these hearings.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occasion, Ms. Beier did assist Ms. K.H. in matters arguably unrelated to the enforcement of support. It may be that, as a consequence, her conduct is not protected by s. 44 of the Act. The conduct in question relates to Ms. Beier becoming involved in assisting with the scheduling and the logistics of the DNA testing. It is apparent that she did this to assist Mr. L.B. It is also apparent that Ms. K.H. did not wish to have contact with Mr. L.B., and hence the need for an intermediary. Further, in November 1999, Ms. Beier conveyed communications on behalf of Ms. K.H. to Mr. L.B. This occurred initially because Mr. L.B. served the Director with an application that should also have been served upon Ms. K.H. Ms. Beier forwarded the application to Ms. K.H., again, to assist Mr. L.B. In response, Ms. K.H. advised Ms. Beier of her position in relation to some of Mr. L.B.'s requested relief. Ms. Beier conveyed this information to Mr. L.B. Assuming that these activities on the part of Ms. Beier went beyond the strict role of the Director, and thus do not fall within the protection of s. 44, it is still necessary for Mr. L.B. to prove a lack of good faith because at common law a lack of good faith is an element of the tort he is alleging (see Nelles, supra, para. 70). There is nothing in this conduct which would support such a conclusion. To the contrary, the conduct appears to have been directed towards assisting Mr. L.B. and the process generally, as opposed to undermining his interests. There is nothing in this conduct which could ground Mr. L.B.'s claims in this proceeding.</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Enforcement Proceedings Taken Without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L.B. maintains that the Director took enforcement proceedings without notice to him. It is not contested that such actions were taken. For example, the Director caused a charge to be placed on title to Mr. L.B.'s home without notice to him. The Act authorizes this action by the Director (s. 26) and does not require that notice be given to the debtor. Further, the Director issued a notice of attachment in July 1995. Again, this is provided for in the Act (s. 15) and there is no requirement that a debtor be given notice in advance, indeed, to do so may jeopardize the effectiveness of the remedy. The Director did, however, advise Mr. L.B. of the notice of attachment shortly after it was issued. In doing so, he explained to Mr. L.B. the provisions of the Act that allowed him to challenge the validity of the notice and to correct any factual matters upon which the Director was relying. The Director was relying, in this instance, on correspondence from Ms. K.H.'s counsel indicating that Mr. L.B. was in arrears under the 1991 agreement. Mr. L.B. maintains that the Director was not entitled to simply take that assertion at face value. I disagree. The Director is entitled to act on reasonable grounds. Correspondence from a recipient's counsel does not conclusively establish anything. It can, however, justify the Director taking the kind of action taken in this case, especially when that action is accompanied by an invitation to Mr. L.B. to correct any of the factual grounds upon which the action was taken. I note that while Mr. L.B. now takes issue with the propriety of the Director's reliance on Ms. K.H.'s counsel's letter, there is no evidence that he took up the Director's offer to correct any matters grounding the issuance of the notice of attachment. There is nothing in these actions by the Director to indicate that he was doing anything other than that which he was statutorily obligated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Act provides in s. 14.4 that the Director may impose an annual default fee if a debtor is in default of his or her obligations. The Act requires the Director to give the debtor notice of his intention to impose the fee if a further default occurs during the ensuing 12 months. In addition, the Act provides that the debtor may explain his or her circumstances to the Director and if those circumstances warrant withdrawal of the default notice, the Director may withdraw it. In his particulars, Mr. L.B. notes that on four occasions (once in 1999, twice in 2001 and once in 2002), he received notice that a default fee would be imposed. On all four occasions, following further review, the Director determined that the default fee should not be imposed. This is not evidence of bad faith, but rather it is evidence of the Director acting in accordance with his statutory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Finally, Mr. L.B. argues that the Director's accounts did not reflect payments that he had made and that the Director knew that he had made. As a result, his indebtedness to Ms. K.H. was consistently overstated by $400. The evidence supports Mr. L.B.'s contention. In 1991 and early 1992, pursuant to the 1991 agreement, Mr. L.B. made four payments of $100 each directly to Ms. K.H. Her then counsel advised the Director of these payments by letter dated January 8, 1992. The Director's records do not show any credit for these payments and as a result, they overstate Mr. L.B.'s indebtedness. This is clearly an error on the Director's part, but it is an understandable one given that the payments in question were not made through the Program but rather were made directly to Ms. K.H. It should not have occurred, but it does not follow that it is evidence of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Good Faith on the Part of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addition to the lack of any evidence to support the notion that the Director or any of the other defendants who are party to this application acted in bad faith, it is argued that there are several instances, in addition to those noted above, in which the Director and Ms. Beier acted in a manner that assisted Mr. L.B.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November 3, 1989, the Director caused a charge to be registered against title to Mr. L.B.'s home. Registration of such a charge is authorized by s. 26 of the Act. In December 1991, Mr. L.B.'s counsel approached the Director advising that Mr. L.B. wished to sell his home and, thus, needed to have title cleared of the Director's charge. The Director took the necessary steps to have the charge removed after establishing that the payments under the support order were in good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Both before and after the March 5, 1998 hearing the Director, through Ms. Beier, offered to assist Mr. L.B. in having the paternity testing done by co-ordinating the timing of the tests with Ms. K.H. This was done in an effort to help Mr. L.B. have paternity of the child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Director was given by Ms. K.H. a copy of Mr. L.B.'s January 5, 2000 application. Ms. Beier wrote to Mr. L.B. responding to some of the issues raised in the application. For example, he was under the impression that a bank account had not been opened by Ms. K.H. Ms. Beier conveyed to him the information she had in that regard. In addition, Ms. Beier responded to a number of other matters raised by Mr. L.B.'s application and sought clarification of others. There is nothing in this that suggests bad faith. To the contrary, the correspondence is responsive to Mr. L.B.'s requests and is obviously intended to assist in the orderly resolution of the outstanding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correspondence from both Ms. Beier and Mr. Wallace is civil and respectful in tone. Ms. Beier has, as noted above, agreed to assist in a number of ways. This is against a background of threats and unfounded accusations by Mr. L.B. and those who purport to act on his behalf. For example, he accused the Family Maintenance Program of being a "power hungry feminist controlled agency" out to "destroy innocent people" (Mr. L.B.'s undated letter date stamped in July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November 1999, Mr. L.B. wrote to Ms. Beier advising that her actions were illegal and that all claims against him should be dropped, or she would face an action for malicious prosecution. In addition, he noted that he had complained about the case to the Attorney General, the Ombudsman, and the Director of Maintenance Enforcement. Moreover, he forwarded a complaint to the Law Society about Ms. Beier's conduct. He ended his correspondence by noting that the case was drawing the attention of "certain powerful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An associate of Mr. L.B., writing from his address, wrote to a judge of the Provincial Court on April 9, 2001, advising that Ms. Beier and Mr. Peterson "badgered and insulted" Mr. L.B. during a recess in the court proceedings. She called their conduct "repulsive", "ignorant" and "intolerable". She advised that she was going to report the matter to the Law Society. This letter is in Mr. L.B.'s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Finally, in January 2003, Mr. L.B. was before the Provincial Court yet again. He had already commenced this action. Ms. Beier, the transcript reveals, attempted to explain to the court the various proceedings that had taken place and were taking place. The presiding judge said that she was just trying to be helpful. Mr. L.B. responded by stating that Ms. Beier had "manipulated, lied, acted fraudulently, presented false documentations, fabricated evidence..."(transcript page 15). He then referred to her as the "queen of ambush". Ms. Beier, to her credit, did not respond to these gratuitous insults.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face of considerable provocation by Mr. L.B., Ms. Beier has, on the evidence before me, acted with restraint.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am satisfied that the actions of the Director, Ms. Beier and Mr. Wallace were taken in good faith. They dealt with Mr. L.B., who I have no doubt can be difficult to deal with, in a civil and responsive manner. On those occasions where it may be said that Ms. Beier acted outside the mandate of the Director (and I am not satisfied that she, in fact, did that), it is apparent that she was attempting to assist Mr. L.B.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simply no evidence that the defendants who brought this application have acted in anything other than good faith. They are protected by the provisions of s. 44 of the Act when so acting. Accordingly, the action of Mr. L.B.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Director has asked for costs and has invited the court to consider awarding special costs. This submission was not forcefully pursued. I am not satisfied, in all the circumstances, including that it appears Mr. L.B. continues to owe a substantial sum for the maintenance of his now adult child, that an award of special costs is in order. In the result, I award the defendants their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BARROW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2"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1"/>
          <w:headerReference w:type="default" r:id="rId942"/>
          <w:footerReference w:type="even" r:id="rId943"/>
          <w:footerReference w:type="default" r:id="rId944"/>
          <w:headerReference w:type="first" r:id="rId945"/>
          <w:footerReference w:type="first" r:id="rId9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7" w:history="1">
        <w:r>
          <w:rPr>
            <w:rFonts w:ascii="arial" w:eastAsia="arial" w:hAnsi="arial" w:cs="arial"/>
            <w:b/>
            <w:bCs/>
            <w:i/>
            <w:color w:val="0077CC"/>
            <w:kern w:val="32"/>
            <w:sz w:val="28"/>
            <w:szCs w:val="32"/>
            <w:u w:val="single"/>
            <w:shd w:val="clear" w:color="auto" w:fill="FFFFFF"/>
            <w:lang w:val="en-US" w:eastAsia="en-US" w:bidi="ar-SA"/>
          </w:rPr>
          <w:t>B.M.P. Global Distribution Inc. v. Bank of Nova Scotia (c.o.b. Scotiabank), [2005] B.C.J. No. 1662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12 - 16 and 19 - 20; March 8 - 10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11 - 12; May 31 - June 4; September 27 - October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 October 5 and 6, 2004; and January 28,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S017273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1662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1091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B.L.R. (4th) 247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141 A.C.W.S. (3d) 798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1826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B.M.P. Global Distribution Inc., 636651 B.C. Ltd., Audie Hashka and Paul Backman, plaintiffs, and Bank of Nova Scotia doing business as the Scotiabank and the said Scotiabank,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3"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5" w:name="Keywords_27"/>
      <w:bookmarkEnd w:id="225"/>
      <w:r>
        <w:rPr>
          <w:rFonts w:ascii="arial" w:eastAsia="arial" w:hAnsi="arial" w:cs="arial"/>
          <w:b/>
          <w:color w:val="000000"/>
          <w:sz w:val="20"/>
          <w:lang w:val="en-US" w:eastAsia="en-US" w:bidi="ar-SA"/>
        </w:rPr>
        <w:t>Commercial law — Banking — Accounts — Cheques — Financial institutions — Liability to customers — Duty of confidentiality — Damages — General damages — Aggravated damages — When available.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6" w:name="Case Summary_25"/>
            <w:bookmarkEnd w:id="2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BMP Global Distribution, 636651 B.C. Ltd., Hashka and Backman, against the defendant, Bank of Nova Scotia, for pecuniary and aggravated damages resulting from the Bank's rejection of a counterfeit cheque and subsequent freezing of the accounts of all the plaintiffs. Hashka and Backman were the principals of BMP, which was in the business of selling a specific product. They were alleged to have sold the US rights to the product to a U.S. company for $1.2 million. They deposited a cheque in the BMP account at the Bank for $904,563 that was payable to BMP by US First National Financial Corporation via another Canadian bank, RBC. Hashka and Backman were told they would have to wait seven days for the cheque to clear until they could use the funds. The cheque was accepted by RBC and after seven days Hashka and Backman began to pay various unrelated creditors with certified cheques and transferred funds to their personal and business and holding company accounts, all held at the Bank. They also made a $20,000 payment to Citibank to a payee that both denied knowledge of. Ten days later, RBC told the Bank the cheque was a counterfeit and the signatures forged. The Bank refused to honour the cheques that had been written by Backman and Hashka, put a freeze on all their accounts and proceeded to recover what monies they could from the accounts, which totaled $777,336. This amount was sent to RBC in exchange for an indemnity agreement. The Bank also issued a notice to the other Canadian banks regarding the counterfeit cheque through the bank's corporate security grid warning system. This warning mentioned the names and addresses of Hashka and Backman. Hashka and Backman were unable to contact the company to whom they had allegedly sold the U.S. rights regarding the counterfeit cheque. Over the next two weeks, the Bank unfroze the accounts. Hashka and Backman alleged that the Bank breached its common law duty and banking legislation as well as the financial services agreement that they had signed. They alleged that there was improper tracing of the funds, improper reversal of payments and that the Bank breached its fiduciary duty to them by returning the recovered funds to RBC. They alleged breaches of their privacy rights and defamation by the Bank.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7" w:name="Holdings of Court_22"/>
            <w:bookmarkEnd w:id="22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circumstances surrounding Backman and Hashka's underlying transaction leading to their receipt and deposit of the counterfeit cheque were unusual, however, the cheque cleared and there was no evidence of fraud. Yet the Bank made a pure business decision to prefer the financial interest of RBC over their contractual obligations to Hashka and Backman when it decided to freeze, retain and remit the recovered amount to RBC. Whether or not the counterfeit cheque was a nullity had no bearing on the litigation. The Bank had no exposure to RBC after RBC had announced the cheque had cleared, yet it decided to assist RBC to collect the recovered amount which was a breach of its contractual obligations under the financial services agreement it had provided to the clients. The funds were cleared because the funds were settled between the banks, which was a final settlement under the terms of the account agreements. The counterfeit cheque was not dishonoured because it was never returned to the Bank. The Bank made disclosure of personal information and could not rely on the Personal Information Protection and Electronic Documents Act exceptions because that disclosure was not made by an investigative body. There were some defamatory documents, including the Bank's e-mail to Citibank which suggested that Hashka and Backman had committed fraud and an e-mail by the Bank to corporate security after the incident had occurred that also suggested the two had committed fraud. Hashka and Backman were entitled to pecuniary damages of $777,336 because they suffered a loss of their right to demand repayment from the Bank of that debt to them by reason of the Bank's wrongful charge-backs against their bank accounts. Backman and Hashka had not shown they suffered damages in relation to stress or anxiety. The damages for losses resulting from interference by the Bank with their business and damage to their reputation was set at $2,500 because the communication was to a limited audience of other banks, not the public. They had not shown any long-lasting detrimental effect. Only two documents were found to be defamatory for which Hashka and Backman were awarded $5,000, since the statements were made to a very limited audience and there was no intention to cause them economic harm. Hashka and Backman did not make out a case for aggravated or punitive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8" w:name="Legislation Cited_15"/>
      <w:bookmarkEnd w:id="2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4"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Bills of Exchange Act, </w:t>
      </w:r>
      <w:hyperlink r:id="rId948" w:history="1">
        <w:r>
          <w:rPr>
            <w:rFonts w:ascii="arial" w:eastAsia="arial" w:hAnsi="arial" w:cs="arial"/>
            <w:i/>
            <w:color w:val="0077CC"/>
            <w:sz w:val="20"/>
            <w:u w:val="single"/>
            <w:shd w:val="clear" w:color="auto" w:fill="FFFFFF"/>
            <w:lang w:val="en-US" w:eastAsia="en-US" w:bidi="ar-SA"/>
          </w:rPr>
          <w:t>R.S.C. 1985, c. B-4, s. 48</w:t>
        </w:r>
      </w:hyperlink>
      <w:r>
        <w:rPr>
          <w:rFonts w:ascii="arial" w:eastAsia="arial" w:hAnsi="arial" w:cs="arial"/>
          <w:color w:val="000000"/>
          <w:sz w:val="20"/>
          <w:lang w:val="en-US" w:eastAsia="en-US" w:bidi="ar-SA"/>
        </w:rPr>
        <w:t>(1), s. 73(b), s. 128(a), s. 129, s. 132, s. 165(3), s. 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Payments Association Rules, Rule A4, s. 5, Bylaw 3, s. 30.01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Court Order Interest Act, R.S.B.C. 1196. c.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Personal Information Protection and Electronic Documents Act, </w:t>
      </w:r>
      <w:hyperlink r:id="rId949" w:history="1">
        <w:r>
          <w:rPr>
            <w:rFonts w:ascii="arial" w:eastAsia="arial" w:hAnsi="arial" w:cs="arial"/>
            <w:i/>
            <w:color w:val="0077CC"/>
            <w:sz w:val="20"/>
            <w:u w:val="single"/>
            <w:shd w:val="clear" w:color="auto" w:fill="FFFFFF"/>
            <w:lang w:val="en-US" w:eastAsia="en-US" w:bidi="ar-SA"/>
          </w:rPr>
          <w:t>S.C. 2000, c. 5, s. 5</w:t>
        </w:r>
      </w:hyperlink>
      <w:r>
        <w:rPr>
          <w:rFonts w:ascii="arial" w:eastAsia="arial" w:hAnsi="arial" w:cs="arial"/>
          <w:color w:val="000000"/>
          <w:sz w:val="20"/>
          <w:lang w:val="en-US" w:eastAsia="en-US" w:bidi="ar-SA"/>
        </w:rPr>
        <w:t>, s. 7(3), s.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hyperlink r:id="rId950" w:history="1">
        <w:r>
          <w:rPr>
            <w:rFonts w:ascii="arial" w:eastAsia="arial" w:hAnsi="arial" w:cs="arial"/>
            <w:i/>
            <w:color w:val="0077CC"/>
            <w:sz w:val="20"/>
            <w:u w:val="single"/>
            <w:shd w:val="clear" w:color="auto" w:fill="FFFFFF"/>
            <w:lang w:val="en-US" w:eastAsia="en-US" w:bidi="ar-SA"/>
          </w:rPr>
          <w:t>R.S.B.C. 1996, c. 373, s. 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Regulation Specifying Investigative Bodies, S.O.R. /2001-6, s. 1, s. 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9" w:name="Counsel_39"/>
      <w:bookmarkEnd w:id="2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5"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 Jaffe J. Raynier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D.G.S. Rae, Q.C. J. Francis H. Faust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0" w:name="Judgment_39"/>
      <w:bookmarkEnd w:id="230"/>
      <w:r>
        <w:pict>
          <v:line id="_x0000_s1196" style="position:absolute;z-index:251838464" from="0,12pt" to="512pt,12pt" strokecolor="#009ddb" strokeweight="1.5pt">
            <v:stroke linestyle="single"/>
          </v:line>
        </w:pic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BMP Global</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Distribution Agreement</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Receipt of the Counterfeit Cheque</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Deposit of the Counterfeit Cheque</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 Activity - October 30, 2001 - November 9, 2001</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Counterfeit Cheque and Steps taken by the Branch</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Grid Warning</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Events between November 9, 2001 - November 16, 2001</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Statutory Declaration and November 19, 2001 Indemnity Agreement</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Communications with Raynier - November 21, 2001 - December 3, 2001</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Revised Indemnity Agreement and the BNS Review and Consideration of the Revised Indemnity Agreement</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Execution of the Revised Indemnity Agreement and Payment to the RBC</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Removal of Frozen Status and Communications with the Plaintiffs following December 7, 2001</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Nature of the Counterfeit Cheque</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Newman/SunRise Marketing</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RELEVANT PORTIONS OF THE FINANCIAL SERVICES AGREEMENT, THE CANADIAN PAYMENTS ASSOCIATION RULES AND STATUTE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CPA Rules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BEA</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PRIVACY ACT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PIPEDA</w:t>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 ON LIABILITY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Entitlement to the Recovered Amount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Disclosure of Information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Law</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Banking Contracts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Legislation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BNS' POSITION ON LIABILITY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Entitlement to the Recovered Amount</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Absence of Legal Entitlement</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Contractual Defences</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4.7 of the Agreement</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of Liability and Indemnity - Clauses 13.1 and 14.1</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Law and Statutory Rights Apply</w:t>
      </w:r>
    </w:p>
    <w:p>
      <w:pPr>
        <w:numPr>
          <w:numId w:val="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of Set-Off</w:t>
      </w:r>
    </w:p>
    <w:p>
      <w:pPr>
        <w:numPr>
          <w:numId w:val="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Recourse Pursuant to the BEA</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Authorities do not apply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Disclosure of Information</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PIPEDA</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Breach of Contract by Reason of the Disclosure of Information</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Privacy Act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Tab 45</w:t>
      </w:r>
    </w:p>
    <w:p>
      <w:pPr>
        <w:numPr>
          <w:numId w:val="2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Tab 46</w:t>
      </w:r>
    </w:p>
    <w:p>
      <w:pPr>
        <w:numPr>
          <w:numId w:val="2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Tab 50</w:t>
      </w:r>
    </w:p>
    <w:p>
      <w:pPr>
        <w:numPr>
          <w:numId w:val="2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Tab 51</w:t>
      </w:r>
    </w:p>
    <w:p>
      <w:pPr>
        <w:numPr>
          <w:numId w:val="26"/>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Tab 58</w:t>
      </w:r>
    </w:p>
    <w:p>
      <w:pPr>
        <w:numPr>
          <w:numId w:val="27"/>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 5</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Qualified Privilege</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Tab 45</w:t>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Tab 46</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Tabs 50, 51 and 58</w:t>
      </w:r>
    </w:p>
    <w:p>
      <w:pPr>
        <w:numPr>
          <w:numId w:val="3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 5</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 ON LIABILITY</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Entitlement of the plaintiffs to the Recovered Amount</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Disclosure of Information</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w:t>
      </w:r>
    </w:p>
    <w:p>
      <w:pPr>
        <w:numPr>
          <w:numId w:val="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Tab 45</w:t>
      </w:r>
    </w:p>
    <w:p>
      <w:pPr>
        <w:numPr>
          <w:numId w:val="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Tab 46</w:t>
      </w:r>
    </w:p>
    <w:p>
      <w:pPr>
        <w:numPr>
          <w:numId w:val="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Tab 50</w:t>
      </w:r>
    </w:p>
    <w:p>
      <w:pPr>
        <w:numPr>
          <w:numId w:val="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Tab 51</w:t>
      </w:r>
    </w:p>
    <w:p>
      <w:pPr>
        <w:numPr>
          <w:numId w:val="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Tab 58</w:t>
      </w:r>
    </w:p>
    <w:p>
      <w:pPr>
        <w:numPr>
          <w:numId w:val="3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 5</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 ON DAMAGES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BNS' POSITION ON DAMAGES</w:t>
      </w:r>
    </w:p>
    <w:p>
      <w:pPr>
        <w:numPr>
          <w:numId w:val="4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to Honour Instructions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Stress and Anxiety</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 to Payroll Amounts</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Disclosure of Information</w:t>
      </w:r>
    </w:p>
    <w:p>
      <w:pPr>
        <w:numPr>
          <w:numId w:val="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Defamation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and Circumstances of Publication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and Position of the Victim of the Libel</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Possible Effects of the Libel upon the Plaintiffs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Actions and Motivations of the BNS</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and Punitive Damages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 ON DAMAGES</w:t>
      </w:r>
    </w:p>
    <w:p>
      <w:pPr>
        <w:numPr>
          <w:numId w:val="4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w:t>
      </w:r>
    </w:p>
    <w:p>
      <w:pPr>
        <w:numPr>
          <w:numId w:val="5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Recovered Amount</w:t>
      </w:r>
    </w:p>
    <w:p>
      <w:pPr>
        <w:numPr>
          <w:numId w:val="5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to Honour Instructions and Access to Payroll Amounts</w:t>
      </w:r>
    </w:p>
    <w:p>
      <w:pPr>
        <w:numPr>
          <w:numId w:val="5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5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Stress and Anxiety</w:t>
      </w:r>
    </w:p>
    <w:p>
      <w:pPr>
        <w:numPr>
          <w:numId w:val="5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Disclosure of Information</w:t>
      </w:r>
    </w:p>
    <w:p>
      <w:pPr>
        <w:numPr>
          <w:numId w:val="5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w:t>
      </w:r>
    </w:p>
    <w:p>
      <w:pPr>
        <w:numPr>
          <w:numId w:val="5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numPr>
          <w:numId w:val="5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COHEN J.</w:t>
            </w:r>
          </w:p>
        </w:tc>
      </w:tr>
    </w:tbl>
    <w:p>
      <w:pPr>
        <w:numPr>
          <w:numId w:val="5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personal plaintiffs Audie Hashka ("Hashka") and Paul Backman ("Backman") are directors of the plaintiff B.M.P. Global Distribution Inc. ("BMP Global"). The corporate plaintiff 636651 B.C. Ltd. ("636651") is Hashka's holding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2001, each corporate plaintiff had a business account, Hashka had a personal account and Backman had two personal accounts which he held jointly with his wife at a Burnaby branch of the defendant Bank of Nova Scotia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BMP Global distributed a line of non-stick bake ware. BMP Global agreed to sell part of its U.S. distribution rights to this product for USD $1.2 million to a party Hashka and Backman met during a trip to the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October 22, 2001, BMP Global received a cheque in the amount of CAD $904,563. The cheque was made payable to BMP Global and drawn by a company named First National Financial Corporation ("First National") on an account at a branch of the Royal Bank of Canada ("RBC") in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Hashka took the cheque to the BNS and met with the manager, Mr. Jeff Richards ("Richards"). Hashka told Richards the cheque was partial payment for distribution rights to BMP Global's product. Over the following days, Hashka and Backman discussed with Richards the circumstances surrounding their receipt of the cheque, including the nature of the transaction, the fact that no cover letter from the purchaser accompanied the cheque, and the fact that their lawyer Mr. Justis Raynier ("Raynier") was asked by them to prepare a formal distribution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Richards discussed with Hashka and Backman the risks of a possible scam associated with the transaction and told them that there would be a hold placed on the cheque for several days before release of the funds to BMP Global. After several days, Richards advised Hashka and Backman that to be absolutely certain there would be no chance of any charge back against BMP Global's account, they should wait a full seven days following deposit of the cheque before the BNS released the funds to BMP Global.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October 30, 2001, Hashka and Backman attended the BNS. By that date, the cheque had been accepted by the RBC. Hashka and Backman gave Richards a list of individuals and companies that they wished to make payments to with certified cheques. These cheques were all produced and eventually honoured. As well, on November 2, 2001, Hashka opened the 636651 account and at his request the BNS certified a cheque in the amount of $100,000 payable to 636651. This cheque was deposited at a branch of the Bank of Montreal, however the Bank of Montreal decided not to open the account and gave Hashka a bank draft for the full amount of the deposit, which he then deposited into the BMP Global account at the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Between October 30 and November 9, 2001, other cheques were written on the BMP Global account. On November 9, Richards was notified by telephone by the RBC that the cheque for $904,563 deposited into the BMP Global account on October 22 was a forged cheque (the "Counterfeit Cheque"). Upon receipt of this advice, the BNS froze the plaintiffs' accounts and ultimately charged back the amount frozen, $776,650.48. The BNS also recovered $685.56 by reversing bill payments that had been made on the BMP account from the funds. Together the amount frozen in the plaintiffs' accounts and the amount recovered by reversing bill payments total $777,336.04 (the "Recovered Amount"). Later on November 9, Richards notified Hashka and Backman of the advice he had received earlier that day and of the BNS' step to freeze the Recovered Amount. From that date the BNS refused to honour any of the plaintiffs' cheques and rejected pre-authorized payments. The BNS also instigated a notice to other banks regarding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seek an order that the BNS repay to them as pecuniary damages an amount equal to the Recovered Amount. They also seek general and aggravated damages alleging that BNS communicated both confidential and defamatory information to other financial institutions. Finally, they seek punitive damages.</w:t>
      </w:r>
      <w:r>
        <w:rPr>
          <w:rFonts w:ascii="arial" w:eastAsia="arial" w:hAnsi="arial" w:cs="arial"/>
          <w:sz w:val="20"/>
          <w:lang w:val="en-US" w:eastAsia="en-US" w:bidi="ar-SA"/>
        </w:rPr>
        <w:cr/>
      </w:r>
    </w:p>
    <w:p>
      <w:pPr>
        <w:numPr>
          <w:numId w:val="5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numPr>
          <w:numId w:val="5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BMP Global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BMP Global was incorporated in July 1999. It is in the business of distributing non-stick bake ware. The manufacturer and supplier of the bake ware is Pantec Technologies ("Pantec"). BMP Global acts as Pantec's commercial distributor. There is no written agreement between Pantec and BMP Global granting BMP Global distribution rights. Further, BMP Global does not own any interest in the line of bake ware manufactured by Pantec. Backman and Hashka are not aware of who owns the rights to this product.</w:t>
      </w:r>
      <w:r>
        <w:rPr>
          <w:rFonts w:ascii="arial" w:eastAsia="arial" w:hAnsi="arial" w:cs="arial"/>
          <w:sz w:val="20"/>
          <w:lang w:val="en-US" w:eastAsia="en-US" w:bidi="ar-SA"/>
        </w:rPr>
        <w:cr/>
      </w:r>
    </w:p>
    <w:p>
      <w:pPr>
        <w:numPr>
          <w:numId w:val="5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Distribution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Backman and Hashka claim that between August and September 2001, they reached an agreement with Mr. Sunn Newman ("Newman") of Sunrise Marketing, whereby BMP Global agreed to sell the right to distribute the bake ware in a portion of the United States to Newman in exchange for payment by him of USD $1.2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Hashka described the negotiations with Newman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come up with the number, "How does $1.2 million US sound," when we're looking at, you know, what was in the east that still was, you know, possible clientele. There's large bake - larger franchises, like Krogers, -- you know, things like that. And so I came up with the number 1.2 million US. I called [Mr. Newman] back. I think I caught a hold of him in Houston and put the number onto him. He said, "Okay. I'll confer with my partners on what they think." I said "Fine. If you're interested that's the number we're looking at. You get back to me." And that's how I left it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Backman agreed that Hashka arrived at the price of USD $1.2 million by pulling the number out of the air. BMP Global had no projected cash flow statements, business plans or marketing plans that were used as the basis for the negotiations. Further, Newman did not request copies of BMP Global's financial statements or sales records (indicating a net loss of approximately $3,500), nor did BMP Global offer to provide this kind of information to Newman.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Backman and Hashka did no research into Newman or Sunrise Marketing. They did not ask Newman for financial statements, nor did they request information on Newman's previous experience in the distribution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knowledge of Newman was described by Backman,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what did -- what did you know about Sunrise Marketing?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that it was Mr. Newman who we were doing business with.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did you know about Mr. Newman?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Only that he was a sharp-looking guy that seemed like he had a lot of potential.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Hashka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give us a sense of what you knew about Newman or what your feeling was about him in your dealings with him?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he seemed like a professional. He dressed well. He seemed professional. He seemed like a businessman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Receipt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Counterfeit Cheque was received in a courier envelope without any covering letter. The sender's name and contact information appeared on the courier envelope as E. Smith of 6-6855 Airport Road, Mississauga, Ontario, L4V 1Y9, (416) 312-7205.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Neither the drawer of the Counterfeit Cheque (First National) nor the sender of the Counterfeit Cheque (E. Smith) were known to Backman or Hashka at the time the Counterfeit Cheque was received. In addition, no attempts were made to contact either First National or E. Smith to inquire about the Counterfeit Cheque prior to depositing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gave no consideration to anyone for receipt of the Counterfeit Cheque.</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Deposit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October 22, 2001, Hashka brought the Counterfeit Cheque in for deposit to the account of BMP Global (the "BMP Account") at the BNS branch at 10th and Langley in Burnaby, British Columbia (the "Branch"). Upon presenting the Counterfeit Cheque, Hashka advised Richards that the Counterfeit Cheque was a down payment for distributorship rights for BMP Global's product in the eastern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Prior to the deposit of the Counterfeit Cheque, the balance in the BMP Account was $59.67. On October 22, 2001, the proceeds of the Counterfeit Cheque in the amount of $904,563.00 (the "Funds") were provisionally credited to the BMP Account, bringing the balance in the BMP Account to $904,622.67. Backman and Hashka were not provided access to the Funds at the time. Rather, a hold was placed on the funds. The hold was required because BMP Global did not have sufficient funds in the BMP Account to cover the amount of the Counterfeit Cheque if it was returned for insufficient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Following the deposit of the Counterfeit Cheque to the BMP Account, Richards instructed his staff to verify that sufficient funds stood to the credit of the account of First National and that no holds had been placed on the Counterfeit Cheque. The RBC indicated that there were sufficient funds in First National's account to pay the Counterfeit Cheque and that there were no holds placed on the Counterfeit Cheque. Richards also instructed his staff to fax a copy of the Counterfeit Cheque to the RBC to confirm the genuineness of the signatures on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days following the deposit of the Counterfeit Cheque, Richards had a number of discussions with Hashka at the bank. Hashka informed Richards that BMP Global's customer on the distribution deal was Summit Marketing and that they were dealing with a Mr. Danko. Richards made notes to this effect on a photocopy of the Counterfeit Cheque. The plaintiffs now claim that their contact was Newman.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Hashka made numerous inquiries as to when the hold on the Counterfeit Cheque would be released and requested that the plaintiffs be permitted access to the Funds as soon as possible. Hashka also requested that Backman be permitted to withdraw $100,000 in cash from the BMP Account when the hold was released. However, Richards indicated that he would not permit such a withdrawal on the basis that it was not a normal business practise. Backman testified that he required $100,000 in cash in order to retire existing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October 25, 2001, Richards attempted to follow up with the RBC to determine whether the Counterfeit Cheque had cleared in order to release the Funds to the plaintiffs as soon as possible. When Richards was unable to reach a representative of the RBC to verify that the Counterfeit Cheque had cleared, he extended the hold period to a full seven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October 26, 2001, Richards met with both Hashka and Backman. Richards explained that he was going to continue to hold the Funds because he had been unable to confirm with the RBC that the Counterfeit Cheque had cleared. Because the hold was going to extend over the weekend, Richards also arranged, in consultation with Backman and Hashka, to place the Funds into a GIC to allow the plaintiffs to earn interest. The Funds were deposited into a redeemable GIC on October 26,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hold on the Counterfeit Cheque was released on October 30, 2001, giving the plaintiffs access to the Funds, together with approximately $200 interest earned on the GIC.</w:t>
      </w:r>
      <w:r>
        <w:rPr>
          <w:rFonts w:ascii="arial" w:eastAsia="arial" w:hAnsi="arial" w:cs="arial"/>
          <w:sz w:val="20"/>
          <w:lang w:val="en-US" w:eastAsia="en-US" w:bidi="ar-SA"/>
        </w:rPr>
        <w:cr/>
      </w:r>
    </w:p>
    <w:p>
      <w:pPr>
        <w:numPr>
          <w:numId w:val="6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 Activity - October 30, 2001 - November 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the seven day hold was released Hashka and Backman were allowed to deal with the Funds. On October 30, 2001, and over the next ten days, BMP Global made numerous payments from the BMP Account, including a number of payments to Hashka, Backman and 636651.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the exception of a payment of $3,000 to Raynier on October 30, 2001, all payments from the BMP Account to parties other than the plaintiffs between October 30, 2001 and November 9, 2001 were related to the payment of pre-existing debts incurred before their receipt of the Counterfeit Cheque. These debts existed entirely independently of the receipt by BMP Global of the Counterfeit Cheque and were not incurred in reliance on receipt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November 7, 2001, Hashka requested the BNS to transfer USD $20,000 to an account at the Citibank in New York City payable to LMB Prestsquare, Advice A.U. Salamain. Both Hashka and Backman testified that they do not know LMB Prestsquare or A.U. Salamain. The wire transfer was processed on November 8, 2001, resulting in a debit to the BMP Account of $32,157.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other payments out of the BMP Account between October 30, 2001 and November 9, 2001, totalling approximately $790,000 related to the transfer of the Funds by BMP Global to other accounts operated by the plaintiffs. No financial statements or other documents have been produced to explain the basis upon which the Funds were distributed to the plaintiffs. The Funds were either disbursed by the plaintiffs, returned to the BMP Account or remained to the credit of the plaintiffs' various accounts on November 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One of the more significant payments out of the BMP Account, was the payment of a certified cheque dated November 2, 2001, payable to BMP Global in the amount of $300,000. This cheque was honoured by the BNS. It was deposited to the credit of an account opened by BMP Global at the Bank of Montreal. However, shortly after the account was opened, the Bank of Montreal closed the account. The deposit of $300,000 was returned to the BMP Account by way of a bank draft issued by the Bank of Montreal and deposited to the BMP Account on November 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also drew two cheques totalling $400,000 on the BMP Account dated November 5, 2001, payable to 636651, Hashka's holding company. Backman and Hashka were not able to explain the purpose for which the numbered company was incorporated, except to say that it was incorporated pursuant to a recommendation by their lawyer and with the idea that it may be used to expand their business opportunities in Europe.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Both cheques payable to 636651 were deposited and credited to account number XXXXX XXXXX XX maintained by 636651 at the BNS (the "636651 Account") between November 5, 2001 and November 7, 2001. Prior to the deposit of these items, the balance in the 636651 Account was zero. Of the $400,000 deposited to the 636651 Account from the Funds, $7,000 was subsequently paid out of the account. These funds were used for travelling expenses and to pay personal expenses incurred by Hashka.</w: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Numbers replaced with X's by LexisNexis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$70,000 of the Funds was transferred from the BMP Account to the account of Backman, numbered XXXXX XXXXX XX (the "Backman Chequing Account"). Prior to the deposit of these funds, the balance in the Backman Chequing Account was $45.87.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[Numbers replaced with X's by LexisNexis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Of the $70,000 transferred into the Backman Chequing Account, approximately $52,000 was used by Backman to retire a number of outstanding debts incurred prior to the receipt of the Counterfeit Cheque, to pay day-to-day living expenses and to pay expenses incurred in relation to Backman's home-based internet business ("PHP Business Concepts"). For example, Backman used approximately $20,000 from the Funds to retire debts owing on various credit cards which had been in collection for a period of time. None of the withdrawals from the Backman Chequing Account during the relevant time period were related in any way to the business of BMP Global or expenses incurred on behalf of BMP Global.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Of the money paid out of the Backman Chequing Account, $3,000 was paid into a second account held by Backman, numbered XXXXX XXXXX XX (the "Backman Savings Account"). Prior to the receipt of any of the Funds, the balance in the Backman Savings Account was $74.35. Of the $3,000 deposited to the Backman Savings Account from the Funds, $428.56 was used by Backman to pay amounts owing in respect of his internet business. The payments from the Backman Savings Account between October 30, 2001, and November 9, 2001, were not related to the business of BMP Global.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[Numbers replaced with X's by LexisNexis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Further, the amounts paid out of the Backman Accounts were amounts which would have been incurred by Backman even if the Counterfeit Cheque had not been received by BMP Global. No debts were incurred in reliance on receipt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$20,000 was transferred from the BMP Account to the account of Hashka, numbered XXXXX XXXXX XX (the "Hashka Account"). Hashka testified that these funds were used by him to pay personal debts, unrelated to the business of BMP Global. Hashka also testified that the portion of the Funds transferred to the Hashka Account were used to pay day-to-day expenses and entertainment costs. No debts were incurred in reliance on receipt of the Counterfeit Cheque.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[Numbers replaced with X's by LexisNexis Canada.]</w:t>
      </w:r>
    </w:p>
    <w:p>
      <w:pPr>
        <w:numPr>
          <w:numId w:val="6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Counterfeit Cheque and Steps taken by the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Counterfeit Cheque was not returned by the RBC to the BNS through the clearing system operated by the Canadian Bankers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Rather, the RBC contacted Richards on November 9, 2001, to advise the BNS that First National did not issue the Counterfeit Cheque; inquired whether any of the Funds were still available; and requested the assistance of the BNS. Richards immediately froze the BMP Account as well as the Backman Chequing Account, the Backman Savings Account, the Hashka Account and the 636651 Account. The total amount frozen in the accounts on November 9, 2001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Account</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823"/>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BMP Account</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$350,188.65</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510"/>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636651 Account</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$393,000.00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882"/>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Backman Chequing Account</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$ 17,711.17</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510"/>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Hashka Account</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$ 13,104.87</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627"/>
        <w:gridCol w:w="1359"/>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Backman Savings Account</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2,645.79</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301"/>
        <w:gridCol w:w="313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$776,650.48</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According to the BNS, these amounts were frozen because they were directly traceable to the Counterfeit Cheque deposited to the BMP Account on October 22, 2001. Richards testified to the process involved in tracing these funds,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how did you and your staff determine the amounts - that the amounts to the credit of the five accounts were from the First National Cheque?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the --- I started doing - At the very first day, we started to --- myself, I went through, looking at all the accounts. We had a printout of all the transactions for all of the accounts. And I was putting the deposits over from one account over to another, from the BMP Global, the money that went in, the monies that were paid out to the individual accounts of the Backmans and for Hashka and the numbered company. I was able to just show the trail of all the funds going over, all the funds that were being used. No other monies were actually put into the accounts. It was all BMP - It was all from BMP Global and it was all originated from that one cheque.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Recovered Amount was paid into the unpaid items account maintained by the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After freezing the Recovered Amount, Richards attempted to contact Hashka and Backman but he was unable to reach them until approximately 11:00 a.m. When Richards managed to contact Hashka, he advised him of the situation and asked him to come to the Branch. Richards met with Hashka and Backman in the early evening on November 9, 2001. Richards explained that the Counterfeit Cheque was a fraud and requested assistance from Backman and Hashka to recover the portion of the Funds that had been disbursed by the plaintiffs, including USD $20,000 which had been wired to Citibank.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Richards recorded the events around the deposit of the Counterfeit Cheque and the events of November 9, 2001, in a memorandum forwarded to Ms. Judie Wood ("Wood") of the BNS in Toronto on November 9, 2001. Richards testified that this memorandum provides an accurate summary of what had happened by the close of business on November 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Also on November 9, 2001, Richards contacted a number of people within the BNS to advise them of the situation and the possible loss arising from the deposit of the Counterfeit Cheque. Richards contacted, among others, the following individuals:</w:t>
      </w:r>
      <w:r>
        <w:rPr>
          <w:rFonts w:ascii="arial" w:eastAsia="arial" w:hAnsi="arial" w:cs="arial"/>
          <w:sz w:val="20"/>
          <w:lang w:val="en-US" w:eastAsia="en-US" w:bidi="ar-SA"/>
        </w:rPr>
        <w:cr/>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Ray Scheller ("Scheller"), the Regional Manager for Investigation and Loss Prevention for the BNS in Vancouver;</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Richards' supervisor, the district vice-president; and</w:t>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Wood, the National Manager of the Shared Services Department ("Shared Services") in Toronto (Shared Services is a division of the BNS that provides support to branches on a variety of operational issues. Wood was the manager within Shared Services responsible for branches in Western Canada, including the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turn, Wood informed her supervisor, Mr. Gordon Hyland ("Hyland"), the Senior Manager of Shared Services, about the Counterfeit Cheque.</w:t>
      </w:r>
      <w:r>
        <w:rPr>
          <w:rFonts w:ascii="arial" w:eastAsia="arial" w:hAnsi="arial" w:cs="arial"/>
          <w:sz w:val="20"/>
          <w:lang w:val="en-US" w:eastAsia="en-US" w:bidi="ar-SA"/>
        </w:rPr>
        <w:cr/>
      </w:r>
    </w:p>
    <w:p>
      <w:pPr>
        <w:numPr>
          <w:numId w:val="7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Grid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Upon being advised of the situation on November 9, 2001, Scheller took steps to issue a grid warning with respect to the Counterfeit Cheque. A grid warning is a form of communication between financial institutions by which they, through their corporate security departments, seek assistance and share information. In November 2001, all grid warnings in the Lower Mainland were issued by the corporate security office of the Bank of Montreal. This was done by agreement between the financial institutions to ensure consistency and uniformity in the grid warnings that were issued. Distribution of grid warnings is limited to corporate security offices of financial institutions in the Lower Mainland. On average, five to six grid warnings are issued each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approximately 11:45 a.m. on November 9, 2001, Scheller sent an e-mail request to Ms. Dawn Currie ("Currie") at the Bank of Montreal for a grid warning to be issued. Scheller explained the reason he requested a grid warning,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We had reasonable grounds to believe that a fraudulent cheque had been deposited into a Scotiabank account. The monies had been dispersed out of the account, and Scotiabank was in a loss position. And we were looking to recover the --- the dispersed funds out of the account.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form of grid warning requested by Scheller requested assistance from other financial institutions in confirming accounts held by the plaintiffs. Scheller's e-mail request did not indicate that the plaintiffs were under investigation for fraud. At no time did Scheller indicate to the Bank of Montreal that the plaintiffs were under investigation for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only information included in the e-mail request was the names and addresses of the plaintiffs and, with respect to Backman, his date of birth. Scheller did not provide account details, social insurance numbers or other personal information about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 grid warning was issued on November 9, 2001, by the Bank of Montreal. The first line in the grid warning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Scotiabank requests the assistance of all Financial Institutions in confirming accounts for the following companies and individuals. Subjects are presently under investigation for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grid warning then listed the corporate and personal plaintiffs by name as well as Backman's wife. The grid warning included at its end a notice of confidentiality which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message is intended only for the use of the individual or entity to which it is addressed and may contain information that is privileged, confidential and exempt from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Although Scheller received a copy of the grid warning, he did not notice the additional sentence added to the grid warning suggesting that the plaintiffs were under investigation for fraud.</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Events between November 9, 2001 - November 16,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Following the initial steps taken by Richards and Scheller on November 9, 2001, to (i) freeze the plaintiffs' accounts and pay the Recovered Amount into the unpaid items account maintained by the Branch; and, (ii) request the issuance of a grid warning, the Counterfeit Cheque was primarily the responsibility of Shared Services. Both Wood and Hyland were involved in dealing with the Counterfeit Cheque, including return of the Recovered Amount to the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 review of the plaintiffs' bank accounts indicated that a majority of the Funds were accounted for as having been disbursed by the plaintiffs to third parties (and, therefore unrecoverable) or recovered by Richards and held in the unpaid items account at the Branch. As a result, Scheller's continued involvement was limited to attempts to recover the amount of the USD $20,000 wire transfer sent to Citibank on November 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Richards continued to be involved as a point of contact with the plaintiffs and to provide information to Shared Services. During the week of November 12, 2001, Richards had a number of conversations with Hashka, both in person and over the phone. Hashka and, on one occasion, Ms. Debra Backman, Backman's wife, requested that the freeze on the Hashka and Backman accounts be released so that payroll and other items could be processed through the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response to Hashka's request, Richards made inquiries as to whether he could remove the frozen status on the Hashka and Backman accounts. However, he was advised by Shared Services to maintain the freeze on the accounts for the time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November 16, 2001, an amount of $902.46 was deposited to the Hashka Account, representing employment income earned by Hashka. Because the freeze on the Hashka Account was maintained, Hashka was not permitted access to these funds until November 29, 2001, when the freeze on the plaintiffs' personal accounts was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While only a small deposit was made to the Backman Chequing Account and the Backman Savings Account (the "Backman Accounts") during this time ($48.06), a number of cheques drawn on the Backman Accounts and automatic withdrawals with respect to Backman's internet business were returned because the Backman Accounts were frozen. Backman testified that he arranged for the payment of these items through other means. The only service charges or late fees incurred by Backman with respect to these items was $13.50. Backman testified that the return of items related to his internet business did not have an affect on his business with respect to sales or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addition to the discussions concerning payroll and the freeze on Backman and Hashka's personal accounts, Richards inquired whether Hashka had had any contact with Newman and whether BMP Global would be returning any portion of the USD $20,000 transferred to Citibank, given that the Counterfeit Cheque was fraudulent. Hashka indicated that BMP Global would not return any funds to the BNS. Further, Hashka explained that after November 9, 2001, they had been unable to contact Newman about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November 16, 2001, Raynier wrote to Richards to set out his understanding of the facts. No further details were provided with respect to the alleged distribution agreement, or Newman. Rather, Raynier set out a possible theory of what had happened, without any additional facts, and requested information from Richards. Raynier did not complain about the restraint of the Recovered Amount but requested that Richards reconsider the frozen status placed on Backman and Hashka's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Richards forwarded the November 16, 2001, correspondence from Raynier to Shared Services, noting that he had not yet received a copy of an affidavit from the RBC with respect to the veracity of the Counterfeit Cheque.</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Statutory Declaration and November 19, 2001 Indemnity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November 19, 2001, Richards received a fax from Shared Services enclosing a letter, an indemnity agreement (the "Indemnity Agreement") and statutory declaration (the "Statutory Declaration") from the RBC. The fax cover sheet accompanying these documents indicated that the Indemnity Agreement was being reviewed by the BNS legal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Statutory Declaration dated November 9, 2001, sworn by Mr. Stephen Smith, the President of First National, provided,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National] did not issue, authorize the issuance of, create or authorize the creation of the cheque referred to in the above paragraph. The said cheques are not cheques of [First National], but are Counterfeit or Cloned cheques.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National] has not benefited directly or indirectly from the proceeds of the said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Both Hyland and Scheller testified that the Statutory Declaration provided by the RBC is the standard form used between financial institutions to establish the authenticity or lack of authenticity of an item. Hyland was satisfied, based on the Statutory Declaration and the absence of any explanation from Backman and Hashka as to the validity of the Counterfeit Cheque, that the Counterfeit Cheque was a fraudulent item. Similarly, Scheller testified that after receipt of the Statutory Declaration, he had no doubt that the Counterfeit Cheque was an entirely fraudulent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Indemnity Agreement, the RBC represented and warranted that the Counterfeit Cheque was, in fact, counterfeit. The RBC requested that the Recovered Amount be restrained to give the RBC an opportunity to initiate a court proceeding. As set out earlier, Shared Services indicated to Richards that the Indemnity Agreement was being reviewed by the BNS legal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November 19, 2001, Richards wrote to Shared Services with respect to a discrepancy that he had noticed between the recitals in the Indemnity Agreement and the facts. Richards pointed out that the Recovered Amount had been recovered, not only from the BMP Account, but also from four other accounts operated by the plaintiffs. In addition, Richards pointed out that a number of bill payments were reversed to recover the funds which comprised the Recovered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November 20, 2001, one day following his receipt of the Indemnity Agreement and Statutory Declaration, Richards wrote to Raynier, enclosing a copy of the Statutory Declaration from First National. In addition, Richards explained the steps taken by the BNS from November 9, 2001 to the date of the letter,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Being notified that the cheque presented by your clients was involved in a possible illegal activity all of the proceeds remaining from the deposit of the cheque were held for the benefit of all parties involved in the matter, including your clients. We have asked your clients questions regarding who sent the cheque and the disposition of the funds from the account to aid us in the investigation of this situation. We have not made any presumptions regarding their involvement with the cheque we just have a lot of questions.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Communications with Raynier - November 21, 2001 - December 3,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November 21, 2001, Raynier wrote to Richards setting out a number of questions with respect to the Statutory Declaration, and other matters. In addition Raynier wrote: "I confirm that you will not release the frozen funds to any party until the origins and authenticity of the cheque in question is resolved". There is no mention of a court order, or any other court proceeding by Raynier, and Richards testified that he did not make any assurances to Raynier, or to the plaintiffs that he would not release the Recovered Amount until the authenticity of the Counterfeit Cheque was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Richards provided a copy of Raynier's letter to Shared Services under cover of letter dated November 22, 2001. At the same time, Richards indicated to Shared Services that he would like to have the new statutory declaration and indemnity agreement in place so that he could respond to Raynier's letter. Richards also notified Shared Services that he would be away from the Branch between November 23, 2001, and November 28, 2001. Richards indicated that he would keep in touch with the Branch but that he did not want to burden them with dealing with Raynier or make any moves that would compromise the BNS' position. Richards explained that his comments in this regard were motivated simply by the fact that there would be no manager at the Branch during his absence and no staff available to deal with the situation at hand. He said that he did not want to burden his staff with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December 3, 2001, upon returning to the Branch, Richards responded to Raynier's November 21, 2001 letter. In dealing with Raynier's statement that funds would not be released "until the origins and authenticity of the cheque in question is resolved," Richards made clear that there was no question as to the authenticity of the Counterfeit Cheque in light of the Statutory Declaration received from First National: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authenticity of the cheque has been established by the Statutory Declaration signed by the President of First National Financial Corporation. The Statutory Declaration makes reference to the Counterfeit or Cloned Cheques and if your clients have grounds for questioning the Statutory Declaration it should be made to First National Financial Corporation.</w:t>
      </w:r>
    </w:p>
    <w:p>
      <w:pPr>
        <w:numPr>
          <w:numId w:val="7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Revised Indemnity Agreement and the BNS Review and Consideration of the Revised Indemnity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Shortly after delivery of the Indemnity Agreement, the RBC sent a revised indemnity agreement (the "Revised Indemnity Agreement") dated November 20, 2001, to Shared Services. The Revised Indemnity Agreement requested that the remainder of the Funds be restrained and transferred to the RBC. Hyland testified that the change in the Indemnity Agreement was driven by the fact that both the RBC and the BNS were confident that the Counterfeit Cheque was a fraudulent item such that it did not represent a viable deposit. Hyland indicated that the RBC was seeking to mitigate its loss with respect to the Counterfeit Cheque by requesting that the Recovered Amount be restrained and remitted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Richards was not provided with a copy of the Revised Indemnity Agreement at this time and was not involved in discussions with respect to any revisions to the form of the Revised Indemnity Agreement. The matter of the Revised Indemnity Agreement was being handled by Shared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Hyland testified that upon receipt of the Revised Indemnity Agreement he sought input on the appropriate course of action from Mr. Glenn Brady ("Brady"). Brady is a Vice-President at the BNS responsible for overseeing Shared Services. Hyland recommended to Brady that the Recovered Amount be transferred to the RBC pursuant to the Revised Indemnity Agreement. Hyland's recommendation in this respect was influenced by the following factors: (i) he was confident that the Counterfeit Cheque was a fraudulent item in light of the Statutory Declaration provided by the RBC such that the deposit of the Funds to the BMP Account was not a valid deposit; and, (ii) Backman and Hashka appeared unable to offer any other logical explanation with respect to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Revised Indemnity Agreement was forwarded by Hyland to Ms. Heidi Kinkartz ("Kinkartz"), in-house counsel for the BNS, on November 22, 2001. Hyland advised Kinkartz that he was prepared to honour the Revised Indemnity Agreement and remit the Recovered Amount to the RBC. He asked Kinkartz to review the Revised Indemnity Agreement and provide any comments or feedback prior to the BNS signing the Revised Indemnity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Hyland testified, as follows, with respect to why he was prepared to remit the Recovered Amount to the RBC in exchange for an indemnity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One, as I mentioned earlier, that is a practice that we've - we, being the banks - have done in the past. That is to say, we've asked other banks for their support and assistance in situations like this, they've asked for ours. So that's something we've kind of done in the past. But secondly, and I think as important, it was pretty clear to us that this $900,000 deposit was from a counterfeit cheque and that the Royal Bank was taking appropriate measures to prevent any further loss in this matter and that we would support them on that. Getting the indemnification agreement is something again that the banks do as a matter of course, as well.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December 4, 2001, Kinkartz provided her recommended revisions to the Revised Indemnity Agreement. In addition, Kinkartz confirmed that the BNS' decision to accommodate the RBC's request was made notwithstanding advice provided by her to Wood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more prudent approach in the circumstances would be for Scotiabank to maintain a temporary freeze on the subject counterfeit cheque proceeds, in exchange for an appropriate indemnity from RBC, pending receipt of a court order directing that such proceeds be transferred to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Ultimately, Hyland, in consultation with Brady, decided to remit the Recovered Amount to the RBC. At the time, Hyland had no doubt that the Counterfeit Cheque was a fraudulent item. He testified that he did not have knowledge of any facts upon which it could be said that the Recovered Amount belonged to the plaintiffs. He testified further that the decision to remit the Recovered Amount to the RBC was in accordance with established procedures between financial institutions and that he had been advised by legal counsel that while a court order would be a cleaner way of dealing with the situation, it was open to the BNS to make a business decision to remit the Recovered Amount pursuant to an indemnity agreement.</w:t>
      </w:r>
      <w:r>
        <w:rPr>
          <w:rFonts w:ascii="arial" w:eastAsia="arial" w:hAnsi="arial" w:cs="arial"/>
          <w:sz w:val="20"/>
          <w:lang w:val="en-US" w:eastAsia="en-US" w:bidi="ar-SA"/>
        </w:rPr>
        <w:cr/>
      </w:r>
    </w:p>
    <w:p>
      <w:pPr>
        <w:numPr>
          <w:numId w:val="7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Execution of the Revised Indemnity Agreement and Payment to the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December 6, 2001, the RBC and the BNS executed the Revised Indemnity Agreement whereby, at the RBC's request and upon the RBC agreeing to indemnify the BNS, the BNS agreed to restrain and remit the Recovered Amount to the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 copy of the Revised Indemnity Agreement was faxed from Shared Services to Richards on December 6, 2001. Richards was instructed to prepare a bank draft payable to the RBC for the Recovered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December 7, 2001, a bank draft payable to the RBC in the amount of $777,336.04 was issued by the BNS.</w:t>
      </w:r>
      <w:r>
        <w:rPr>
          <w:rFonts w:ascii="arial" w:eastAsia="arial" w:hAnsi="arial" w:cs="arial"/>
          <w:sz w:val="20"/>
          <w:lang w:val="en-US" w:eastAsia="en-US" w:bidi="ar-SA"/>
        </w:rPr>
        <w:cr/>
      </w:r>
    </w:p>
    <w:p>
      <w:pPr>
        <w:numPr>
          <w:numId w:val="7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Removal of Frozen Status and Communications with the Plaintiffs following December 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freeze on the Hashka Account and the Backman Accounts was removed on November 29, 2001. The freeze on the BMP Account and the 636651 Account was removed on December 14,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Backman and Hashka continued to operate both the Backman Accounts and the BMP Account.</w:t>
      </w:r>
      <w:r>
        <w:rPr>
          <w:rFonts w:ascii="arial" w:eastAsia="arial" w:hAnsi="arial" w:cs="arial"/>
          <w:sz w:val="20"/>
          <w:lang w:val="en-US" w:eastAsia="en-US" w:bidi="ar-SA"/>
        </w:rPr>
        <w:cr/>
      </w:r>
    </w:p>
    <w:p>
      <w:pPr>
        <w:numPr>
          <w:numId w:val="7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Nature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D.J. Gamble ("Gamble"), an independent document examiner, was engaged by the BNS to determine the authenticity of the Counterfeit Cheque. In a report dated March 4, 2002 (the "Gamble Report"), Gamble concluded, as follows, with respect to the Counterfeit Cheque: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based on an examination and comparison of the document submitted,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National Financial Corporation cheque, Exhibit Q1, is a counterfeit reproduction of a genuine First National Financial Corporation cheque.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payer signatures on exhibit Q1 are "non-genuine" signatures produced by a tracing or simulation method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addition, the officers of First National have each confirmed that the signatures that appear on the Counterfeit Cheque are not their signatures; that First National did not issue, authorize the issuance of, create or authorize the creation of the Counterfeit Cheque; and that the Counterfeit Cheque is not the standard form cheque used by First National.</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Newman/SunRise Marketing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To date, Hashka and Backman have been unable to contact Newman and Newman has not contacted them, either with respect to the Counterfeit Cheque or the alleged distribution agreement between the parties. Further, the plaintiffs have not commenced proceedings against Newman or Sunrise Marketing to enforce the alleged distribution agreement.</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RELEVANT PORTIONS OF THE FINANCIAL SERVICES AGREEMENT, THE CANADIAN PAYMENTS ASSOCIATION RULES AND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Throughout their arguments, both parties referred to portions of the Financial Services Agreement between BMP Global and the BNS (the "Agreement"), the clearing and settlement rules under the Canadian Payments Association (the "CPA Rules"), the Bills of Exchange Act, </w:t>
      </w:r>
      <w:hyperlink r:id="rId951" w:history="1">
        <w:r>
          <w:rPr>
            <w:rFonts w:ascii="arial" w:eastAsia="arial" w:hAnsi="arial" w:cs="arial"/>
            <w:i/>
            <w:color w:val="0077CC"/>
            <w:sz w:val="20"/>
            <w:u w:val="single"/>
            <w:shd w:val="clear" w:color="auto" w:fill="FFFFFF"/>
            <w:lang w:val="en-US" w:eastAsia="en-US" w:bidi="ar-SA"/>
          </w:rPr>
          <w:t>R.S.C. 1985, c. B-4</w:t>
        </w:r>
      </w:hyperlink>
      <w:r>
        <w:rPr>
          <w:rFonts w:ascii="arial" w:eastAsia="arial" w:hAnsi="arial" w:cs="arial"/>
          <w:color w:val="000000"/>
          <w:sz w:val="20"/>
          <w:lang w:val="en-US" w:eastAsia="en-US" w:bidi="ar-SA"/>
        </w:rPr>
        <w:t xml:space="preserve"> (the "BEA"), the Privacy Act,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xml:space="preserve">, and the Personal Information Protection and Electronic Documents Act, </w:t>
      </w:r>
      <w:hyperlink r:id="rId952" w:history="1">
        <w:r>
          <w:rPr>
            <w:rFonts w:ascii="arial" w:eastAsia="arial" w:hAnsi="arial" w:cs="arial"/>
            <w:i/>
            <w:color w:val="0077CC"/>
            <w:sz w:val="20"/>
            <w:u w:val="single"/>
            <w:shd w:val="clear" w:color="auto" w:fill="FFFFFF"/>
            <w:lang w:val="en-US" w:eastAsia="en-US" w:bidi="ar-SA"/>
          </w:rPr>
          <w:t>S.C. 2000, c.5</w:t>
        </w:r>
      </w:hyperlink>
      <w:r>
        <w:rPr>
          <w:rFonts w:ascii="arial" w:eastAsia="arial" w:hAnsi="arial" w:cs="arial"/>
          <w:color w:val="000000"/>
          <w:sz w:val="20"/>
          <w:lang w:val="en-US" w:eastAsia="en-US" w:bidi="ar-SA"/>
        </w:rPr>
        <w:t xml:space="preserve"> (the "PIPEDA"), to support their respective positions.</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Clause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are responsible for settling payment of your instructions. Unless you have made specific arrangements with us, you will ensure that your accounts have sufficient cleared funds to settle any instructions at the time you give us an instruction. We are not required to settle an instruction if sufficient cleared funds are not available in your account. The reported balances for your account may include amounts which are not cleared funds. Cleared funds means cash or any funds from any deposit which have been finally cleared through the clearing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Clause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acknowledge that we must clear instructions using a clearing system and are bound by the rules of any clearing system we use, including rules for endorsement of instructions, identity of payee and the time for final settlement. These rules affect our ability to honour your request to cancel instructions and the procedures we must follow to settle your instructions and clear funds for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Clause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reserve the right to clear and transfer funds by whatever method we chose, whether they are drawn on your account or negotiated by you. You grant us sufficient time to settle all instructions. You acknowledge that we may delay crediting your account until we receive the cleared funds for the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Clause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authorize us to charge the following to any of your accounts, even if they are not specifically designated for the instruction or service:</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you ask us to pay in any instruction</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any instruction we have paid to you or credited to your account and for which we do not receive settlement for any reason (including fraud, loss or endorsement error) together with any related costs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any amount you owe us, including fees, charges, costs and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Clause 13.1: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not liable for any loss or damage you suffer in connection with your accounts or the provision of any service, or refusal to provide any service, except if it was caused by our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You acknowledge this means we are not liable for the following specific matters:</w:t>
      </w:r>
    </w:p>
    <w:p>
      <w:pPr>
        <w:numPr>
          <w:numId w:val="8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honouring, or refusing to honour or cancel an instruction, for any reason</w:t>
      </w:r>
    </w:p>
    <w:p>
      <w:pPr>
        <w:numPr>
          <w:numId w:val="8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delay in completing or failing to provide a service for any reason even if this means you are unable to access funds in your account</w:t>
      </w:r>
    </w:p>
    <w:p>
      <w:pPr>
        <w:numPr>
          <w:numId w:val="8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matter arising from your actions or your failure to perform your obligations properly under this agreement even if you are not at fault</w:t>
      </w:r>
    </w:p>
    <w:p>
      <w:pPr>
        <w:numPr>
          <w:numId w:val="8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forged, unauthorized or fraudulent use of services, instruction, or material alteration to an instruction, even if you or we did not verify the signature, instruction or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Clause 14.1: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agree to:</w:t>
      </w:r>
    </w:p>
    <w:p>
      <w:pPr>
        <w:numPr>
          <w:numId w:val="8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release us from liability;</w:t>
      </w:r>
    </w:p>
    <w:p>
      <w:pPr>
        <w:numPr>
          <w:numId w:val="8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indemnify and hold us blameless; and</w:t>
      </w:r>
    </w:p>
    <w:p>
      <w:pPr>
        <w:numPr>
          <w:numId w:val="9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compensate both us and any third party providing services or settling instructions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any loss, damage, payment, legal expense (based on the solicitor's fees charged to us) and other cost, as may be applicable, resulting from:</w:t>
      </w:r>
    </w:p>
    <w:p>
      <w:pPr>
        <w:numPr>
          <w:numId w:val="9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any service performed or refused;</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instruction honoured, processed, negotiated, settled, changed, cancelled, reversed or refused; or</w:t>
      </w:r>
    </w:p>
    <w:p>
      <w:pPr>
        <w:numPr>
          <w:numId w:val="9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your failure to properly provide information or follow any procedures for an account or service under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Clause 17.3: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takes precedence over any other agreement, service request or service materials relating to any instruction or services. However, we retain all our rights under any law respecting loans, set-off, deposits and banking matters even if they are not described in this agreement.</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CPA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Section 5 of Rule A4: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6, each item being returned through the Clearing shall be returned by the Drawee, to the Negotiating Institution, as set out in section 11, no later than the business day following receipt by the first organizational unit of the Drawee that is able to make or act upon a decision to dishonour an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Section 20.01 of Bylaw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Conditional Nature of Exchange - Every delivery of a payment item (i) through the clearing or (ii) between a Clearing Agent and its Indirect Clearer, shall be conditional, provisional and reversible until settled for.</w:t>
      </w:r>
    </w:p>
    <w:p>
      <w:pPr>
        <w:numPr>
          <w:numId w:val="9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Section 48(1):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this Act, where a signature on a bill is forged, or placed thereon without the authority of the person whose signature it purports to be, the forged or unauthorized signature is wholly inoperative, and no right to retain the bill or to give a discharge therefore or to enforce payment thereof against any party thereto can be acquired through or under that signature, unless the party against whom it is sought to retain or enforce payment of the bill is precluded from setting up the forgery or want of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Section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rights and powers of the holder of a bill are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he is a holder in due course, he holds the bill free from any defect of title of prior parties, as well as from mere personal defences available to prior parties among themselves, and may enforce payment against all parties liable on the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Section 128: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acceptor of a bill by accepting it is precluded from denying to a holder in due course</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the drawer, the genuineness of his signature and his capacity and authority to draw the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Section 129: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drawer of a bill by drawing it</w:t>
      </w:r>
    </w:p>
    <w:p>
      <w:pPr>
        <w:numPr>
          <w:numId w:val="1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engages that on due presentment it shall be accepted and paid according to its tenor, and that if it is dishonoured he will compensate the holder or any endorser who is compelled to pay it, if the requisite proceedings on dishonour are duly taken; and</w:t>
      </w:r>
    </w:p>
    <w:p>
      <w:pPr>
        <w:numPr>
          <w:numId w:val="1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precluded from denying to a holder in due course the existence of the payee and his then capacity to endorse.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Section 132: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endorser of a bill by endorsing it, subject to the effect of any express stipulation authorized by this Act,</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engages that on due presentment it shall be accepted and paid according to its tenor, and that if it is dishonoured he will compensate the holder or a subsequent endorser who is compelled to pay it, if the requisite proceedings on dishonour are duly taken;</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precluded from denying to a holder in due course the genuineness and regularity in all respects of the drawer's signature and all previous endorsements; and</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precluded from denying to his immediate or a subsequent endorsee that the bill was, at the time of his endorsement, a valid and subsisting bill, and that he had then a good title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Section 165(3):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cheque is delivered to a bank for deposit to the credit of a person and the bank credits him with the amount of the cheque, the bank acquires all the rights and powers of a holder in due course of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Section 185: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maker of a note, by making it,</w:t>
      </w:r>
    </w:p>
    <w:p>
      <w:pPr>
        <w:numPr>
          <w:numId w:val="1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engages that he will pay it according to its tenor; and</w:t>
      </w:r>
    </w:p>
    <w:p>
      <w:pPr>
        <w:numPr>
          <w:numId w:val="1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precluded from denying to a holder in due course the existence of the payee and his then capacity to endorse.</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PRIVACY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Section 1:</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tort, actionable without proof of damage, for a person, wilfully and without claim of right, to violate the privacy of another.</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degree of privacy to which a person is entitled in a situation or in relation to a matter is that which is reasonable in the circumstances, giving due regard to the lawful interests of others.</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the act or conduct of a person is a violation of another's privacy, regard must be given to the nature, incidence and occasion of the act or conduct and to any domestic or other relationship between the parties.</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PIPEDA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Section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sections 6 to 9, every organization shall comply with the obligations set out in Schedule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Section 7(3):</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the purpose of clause 4.3 of Schedule 1, and despite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note that accompanies that clause, an organization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may disclose personal information without the knowledge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 consent of the individual only if the disclosure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made on the initiative of the organization to an investigative body, a government institution or a part of a government institution and the organization</w:t>
      </w:r>
    </w:p>
    <w:p>
      <w:pPr>
        <w:numPr>
          <w:numId w:val="12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reasonable grounds to believe that the information relates to a breach of an agreement or a contravention of the laws of Canada, a province or foreign jurisdiction that has been, is being or is about to be committed ...</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made by an investigative body and the disclosure is reasonable for purposes related to investigating a breach of an agreement or a contravention of the laws of Canada or a province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Section 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clause 4.5 of Schedule 1, an organization may disclose personal information for purposes other than those for which it was collected in any of the circumstances set out in paragraphs (3)(a) to (h.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Section 4.5 of Schedule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 information shall not be used or disclosed for purposes other than those for which it was collected, except with the consent of the individual or as required by law. Personal information shall be retained only as long as necessary for the fulfilment of those purposes.</w:t>
      </w:r>
    </w:p>
    <w:p>
      <w:pPr>
        <w:numPr>
          <w:numId w:val="1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 ON LIABILITY</w:t>
      </w:r>
    </w:p>
    <w:p>
      <w:pPr>
        <w:numPr>
          <w:numId w:val="12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Entitlement to the Recovered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Plaintiffs' counsel advanced four arguments in support of a claim to some or all of the Recovered Amount. The first is based on the duty of the BNS to the plaintiffs under the common law, BEA, CPA Rules and the Agreement. The second is that the BNS improperly traced funds into the Hashka Account, Backman Accounts and 636651 Account. The third is that the BNS improperly reversed payments and refused to honour certified cheques. The final argument is that the BNS stood as a fiduciary to the plaintiffs and its return of the Recovered Amount to the RBC was a breach of that position. As I have come to my decision on the question of the plaintiffs' entitlement to the Recovered Amount based on the first argument presented by the plaintiffs, I have not reviewed the plaintiffs' other arguments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Counsel submitted that on October 22, 2001, the BNS acted as BMP Global's agent for collection of the Counterfeit Cheque. He said that as a collecting bank, its functions were discharged upon settlement (i.e. by October 30, 2001) of that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However, he claimed, after a telephone call from the RBC on November 9, 2001, in breach of numerous duties, the BNS began effectively operating as a collection agent for the RBC against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Counsel contended that both banks understood that, without a court order, they could not legally interfere with the plaintiffs' bank accounts. He said that Scheller has considerable experience on the matter of judicial authorization,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In - Now, you were a police officer in commercial crime for most of your 25-year career with the RCMP,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my lord.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would have had considerable experience on matters involving search warrants, wiretaps and other processes by which judicial authority is required before certain steps are taken?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my lord.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the idea of getting court orders in order to take certain steps was not something that you weren't familiar with when you had this phone call on November 21st, 2001?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my lord.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Counsel insisted that whether in the criminal context (part XII.2 of the Criminal Code, </w:t>
      </w:r>
      <w:hyperlink r:id="rId953"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dealing with proceeds of crime and "restraint orders"), or in the civil context (Supreme Court Rules 45 and 46 dealing with injunctions and detention of property) the procedures by which to legally restrain bank accounts are well known. He said that the need for a court order in the instant case was a matter of common sense and well understood within both banks, as evident from the notes of Hyland, the notes of Scheller, the Indemnity Agreement and the communications between Wood and Richards.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How, then, counsel asked, did it happen that the BNS unilaterally engaged in a self help remedy? He said that Richards was very unhelpful on the point, testifying,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trying to understand the reasons why you didn't simply tell my clients the truth, simply tell them that the bank was going to ship the money back east. That's - that's what we're trying to focus on here. You've acknowledged you didn't tell my clients that. You knew my clients were trusting you. You knew that they were interested in having those funds held.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But at a certain point in time you made a decision you were involved in simply transferring those funds out to the Royal Bank, right? You cut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Under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 cheque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Under authority of our Toronto office,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You were following orders?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 At what point in time did you decide to do that without a court order?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wasn't involved in any of that. I can't answer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at what point in time did you understand that there would not be a court order authorizing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Again, I told you, I was not involved in any of that at 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Are you able to answer the question that you were asked in December of 2003? Question 1240?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1240?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Why didn't Scotiabank insist on a court order?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no idea.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That's still your answer?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 sir.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Counsel suggested that the above evidence is amazing given that Richards:</w:t>
      </w:r>
      <w:r>
        <w:rPr>
          <w:rFonts w:ascii="arial" w:eastAsia="arial" w:hAnsi="arial" w:cs="arial"/>
          <w:sz w:val="20"/>
          <w:lang w:val="en-US" w:eastAsia="en-US" w:bidi="ar-SA"/>
        </w:rPr>
        <w:cr/>
      </w:r>
    </w:p>
    <w:p>
      <w:pPr>
        <w:numPr>
          <w:numId w:val="1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a banker with 26 years experience who was the BNS' main witness throughout the litigation and was directly involved from the outset;</w:t>
      </w:r>
    </w:p>
    <w:p>
      <w:pPr>
        <w:numPr>
          <w:numId w:val="1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person who reassured the personal plaintiffs, and Raynier, that the matter would be resolved through the court, although he denied it at trial;</w:t>
      </w:r>
    </w:p>
    <w:p>
      <w:pPr>
        <w:numPr>
          <w:numId w:val="1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person who suggested to Wood that the RBC's proposed court order should include reference to all five accounts of the plaintiffs;</w:t>
      </w:r>
    </w:p>
    <w:p>
      <w:pPr>
        <w:numPr>
          <w:numId w:val="1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had ongoing communications with Wood throughout almost a month following November 9, 2001, during which Wood supposedly negotiated the arrangement with the RBC;</w:t>
      </w:r>
    </w:p>
    <w:p>
      <w:pPr>
        <w:numPr>
          <w:numId w:val="1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indicated concerns on November 22, 2001, that disclosing to the plaintiffs the fact that there was a new arrangement between the banks (i.e. that the matter would not go to court) might "... compromise [the BNS'] position"; and</w:t>
      </w:r>
    </w:p>
    <w:p>
      <w:pPr>
        <w:numPr>
          <w:numId w:val="1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arranged the December 7, 2001, payment of the Recovered Amount from the Branch to the RBC notwithstanding that he had assured the plaintiffs' solicitor that the funds were being held ... "... for the benefit of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According to Richards, he knew nothing, he was just following orders. He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What did - What do you say you were telling the solicitor and my clients?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said that the funds were being held for all parties.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 think in your letter to Mr. Raynier of November 20th, you say "held for the benefit of all parties."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 But the funds weren't held for the benefit of all parties, because the funds were sent off to RBC in early December,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 They were sent off to Royal Bank.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on November 20th, you're telling the lawyer in your own letter,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the funds were being held for the benefit of all parties.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you've heard the evidence of the plaintiffs saying you were telling them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furthermore, they said that you were saying it would be resolved through the courts.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then you didn't hold the funds for the benefit of all parties, did you? You just simply sent it off to RBC?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advised by our - our shared services that that's what we were to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Counsel submitted that to supposedly explain what took place in Toronto, the BNS produced Hyland, however he was as unhelpful as Richards, having had no direct dealings with the RBC, First National 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He said that Hyland could only speculate that it was Wood who negotiated directly with the RBC and that he had evidently taken no steps to inform himself of what took place between the two banks, even though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wonder if you could answer my question. Did you not know this business of a court order and your decision to proceed without one was an issue in this case before you came here to testify?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I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Counsel said that the BNS' position on documents and choice of witnesses made it clear that it wished the court to be kept in the dark as to what took place between the banks. However, he said, circumstantial evidence raised a very compelling inference as to why the banks avoided court in November, 2001: they reviewed the law and found that the law presented serious impediments to the RBC's chance of success against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Counsel noted that almost 100 years ago, the Supreme Court of Canada in R. v. Bank of Montreal (1906), 38 S.C.R. 258, per Davies J. at p. 279, summarized the position of a payor bank (RBC) as against an innocent payee (BMP Global) of a forged cheque,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by paying the cheques to the persons presenting them the Bank of Montreal represented to them that the cheques had in fact the genuine signatures of the drawers, and, if upon the faith of that implied representation the holders of the cheques received the moneys, as I think they did, and subsequently paid them away to the person who deposited the cheques with them or otherwise had their positions altered to their prejudice respectively, in consequence of such implied representations and in ignorance of the forgeries, they cannot be compelled subsequently by the drawee who paid the money on discovering that the cheques were forgeries to pay back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Counsel submitted that the RBC was under a duty to recognize the signature of its customer and had the right to refuse to honour the cheque. He said that the rules in banking specifically allocate risks associated with such transactions: See Arrow Transfer Co. v. Royal Bank, </w:t>
      </w:r>
      <w:hyperlink r:id="rId954" w:history="1">
        <w:r>
          <w:rPr>
            <w:rFonts w:ascii="arial" w:eastAsia="arial" w:hAnsi="arial" w:cs="arial"/>
            <w:i/>
            <w:color w:val="0077CC"/>
            <w:sz w:val="20"/>
            <w:u w:val="single"/>
            <w:shd w:val="clear" w:color="auto" w:fill="FFFFFF"/>
            <w:lang w:val="en-US" w:eastAsia="en-US" w:bidi="ar-SA"/>
          </w:rPr>
          <w:t>[1972] S.C.R. 845</w:t>
        </w:r>
      </w:hyperlink>
      <w:r>
        <w:rPr>
          <w:rFonts w:ascii="arial" w:eastAsia="arial" w:hAnsi="arial" w:cs="arial"/>
          <w:color w:val="000000"/>
          <w:sz w:val="20"/>
          <w:lang w:val="en-US" w:eastAsia="en-US" w:bidi="ar-SA"/>
        </w:rPr>
        <w:t xml:space="preserve">; and Citizens Trust Co. v. Hongkong Bank of Canada </w:t>
      </w:r>
      <w:hyperlink r:id="rId955" w:history="1">
        <w:r>
          <w:rPr>
            <w:rFonts w:ascii="arial" w:eastAsia="arial" w:hAnsi="arial" w:cs="arial"/>
            <w:i/>
            <w:color w:val="0077CC"/>
            <w:sz w:val="20"/>
            <w:u w:val="single"/>
            <w:shd w:val="clear" w:color="auto" w:fill="FFFFFF"/>
            <w:lang w:val="en-US" w:eastAsia="en-US" w:bidi="ar-SA"/>
          </w:rPr>
          <w:t>(1991), 85 D.L.R. (4th) 762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Counsel said that even without a contractual limit, such as clause 4.7 of the Agreement, the common law precludes a collecting bank from taking such action against a customer after settlement. Greenfield J. in 622 West 113th St. Corp. v. Chemical Bank N.Y. Tr. Co. (1966), 276 N.Y.S. (2d) 85 (Civ. Ct.), at p. 89 summarized the point,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a final settlement has taken place, the collecting bank is no longer an agent, but has been credited with ownership of the proceeds of the item, and a debtor-creditor relationship with its customer ensues ... The bank cannot then unilaterally deduct sums from the amount credited to a depositor. After final settlement and the charging of the amount of the check against the drawer's account, a voluntary refund by the collecting bank is at its own peril, for there are defences it could interpose to resist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Slovchenko v. Toronto Dominion Bank et al </w:t>
      </w:r>
      <w:hyperlink r:id="rId956" w:history="1">
        <w:r>
          <w:rPr>
            <w:rFonts w:ascii="arial" w:eastAsia="arial" w:hAnsi="arial" w:cs="arial"/>
            <w:i/>
            <w:color w:val="0077CC"/>
            <w:sz w:val="20"/>
            <w:u w:val="single"/>
            <w:shd w:val="clear" w:color="auto" w:fill="FFFFFF"/>
            <w:lang w:val="en-US" w:eastAsia="en-US" w:bidi="ar-SA"/>
          </w:rPr>
          <w:t>(1963), 42 D.L.R. (2d) 484</w:t>
        </w:r>
      </w:hyperlink>
      <w:r>
        <w:rPr>
          <w:rFonts w:ascii="arial" w:eastAsia="arial" w:hAnsi="arial" w:cs="arial"/>
          <w:color w:val="000000"/>
          <w:sz w:val="20"/>
          <w:lang w:val="en-US" w:eastAsia="en-US" w:bidi="ar-SA"/>
        </w:rPr>
        <w:t xml:space="preserve"> (Ont. H.C.), Parker J., at p. 489,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I find that once having cleared the cheque and deposited it to the plaintiff's account, it was the duty of the bank to treat the cheque as then paid. This appropriation could not be revoked. The action of the bank in removing the money was therefore wrongful.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Clansmen Resources Ltd. v. Toronto Dominion Bank </w:t>
      </w:r>
      <w:hyperlink r:id="rId957" w:history="1">
        <w:r>
          <w:rPr>
            <w:rFonts w:ascii="arial" w:eastAsia="arial" w:hAnsi="arial" w:cs="arial"/>
            <w:i/>
            <w:color w:val="0077CC"/>
            <w:sz w:val="20"/>
            <w:u w:val="single"/>
            <w:shd w:val="clear" w:color="auto" w:fill="FFFFFF"/>
            <w:lang w:val="en-US" w:eastAsia="en-US" w:bidi="ar-SA"/>
          </w:rPr>
          <w:t>(1990), 43 B.C.L.R. (2d) 273</w:t>
        </w:r>
      </w:hyperlink>
      <w:r>
        <w:rPr>
          <w:rFonts w:ascii="arial" w:eastAsia="arial" w:hAnsi="arial" w:cs="arial"/>
          <w:color w:val="000000"/>
          <w:sz w:val="20"/>
          <w:lang w:val="en-US" w:eastAsia="en-US" w:bidi="ar-SA"/>
        </w:rPr>
        <w:t xml:space="preserve"> (C.A.), Southin J.A., at p. 282,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a banker who pays out money contrary to his customer's instructions cannot debit that money to his customer. The customer is entitled to have the debit reversed.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White v. Royal Bank of Canada </w:t>
      </w:r>
      <w:hyperlink r:id="rId958" w:history="1">
        <w:r>
          <w:rPr>
            <w:rFonts w:ascii="arial" w:eastAsia="arial" w:hAnsi="arial" w:cs="arial"/>
            <w:i/>
            <w:color w:val="0077CC"/>
            <w:sz w:val="20"/>
            <w:u w:val="single"/>
            <w:shd w:val="clear" w:color="auto" w:fill="FFFFFF"/>
            <w:lang w:val="en-US" w:eastAsia="en-US" w:bidi="ar-SA"/>
          </w:rPr>
          <w:t>(1923), 53 O.L.R. 543</w:t>
        </w:r>
      </w:hyperlink>
      <w:r>
        <w:rPr>
          <w:rFonts w:ascii="arial" w:eastAsia="arial" w:hAnsi="arial" w:cs="arial"/>
          <w:color w:val="000000"/>
          <w:sz w:val="20"/>
          <w:lang w:val="en-US" w:eastAsia="en-US" w:bidi="ar-SA"/>
        </w:rPr>
        <w:t xml:space="preserve"> (C.A.), a case involving a defendant collecting bank's voluntary return of a cheque that had been paid, the court held, at p. 547: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bank had not the right to return this money to the drawer of the cheque or its assignee, to the prejudice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Counsel claimed that the BNS' actions against the plaintiffs in the instant case was a drastic departure from the responsibilities of a bank. He noted that M.H. Ogilvie, Canadian Banking Law, 2nd ed. (Toronto: Carswell, 1998) at p. 627,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there is no case law on the point, it would appear in light of the foregoing that the collecting bank's duty once it has received the funds as cleared funds from the drawee bank is to deposit the proceeds in the customer's account within a reasonable time of final settlement, as determined on the facts of the case. At that time the provisional credit in the customer's account would become final, and the customer can draw freely on those funds. The legal right enjoyed by American banks to hold funds after final settlement by the drawee bank does not exist in Canada or in the United Kingdom. Once the customer's account has been credited finally, the bank's duty of collection in respect to that cheque is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Counsel argued that the above law accords perfectly with clauses 4.1 and 4.7 of the Agreement and, accordingly, Richards gave assurances to Hashka and Backman that there would be no possibility of a charge back against the BMP Account after October 30,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Counsel contended that since there was settlement between the banks, the BNS suffered no loss, nor was at risk of any loss due to the forgery. Hyland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settlement between the banks in connection with that cheque;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original - Yes. Through the clearing system.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So not only did - not only was Scotiabank completely free and clear of any potential liability to Royal, Scotiabank suffered no loss whatsoever in this affair,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Counsel noted that on November 9, 2001, the BNS knew that, by reason of the RBC honouring the Counterfeit Cheque almost two weeks earlier, the RBC had "lost recourse". Hyland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Hyland, I just want to cover quickly a few of the points you - you testified about yesterday. As I understand your evidence, one of the first things you did when you got wind of this whole affair, on I think November 9th, is you determined quickly that RBC had no recourse against Scotiabank in connection with the First National cheque,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understood right from the outset that the Bank of Nova Scotia had no legal exposure to RBC? RBC had lost any rights to come back against Scotiabank in connection with the transaction involving the First National cheque,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Counsel said that Richards also had a clear understanding of the above point. On reviewing the BNS' administrative manual, he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that was in effect in November of 2001?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I'll just take a look. Yes, it would have been.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I just - I just - we'll come back to this later, but if you could turn over to 328. Page 328. This is a - do you see about a quarter of the way down, towards the top, "Negotiating Branch". Do you see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Scotiabank was the negotiating branch for the First National cheque, right? It's the bank where a - my clients deposited the cheque,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we know that the cheque itself was never returned, right? Royal Bank accepted and paid out on that cheque? On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it wasn't until some three weeks after deposit that you got this call - I think it was deposited on the 22nd of October. You got the call from Royal I think on the 9th of November,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recourse, what's referred to as recourse, by Royal Bank against Scotiabank had been lost in connection with that transaction,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you understood, based on this manual, - and you'd agree, sir, this manual sets out what Scotiabank wants its branch managers to do in connection with, among other things, being notified that a cheque which had been deposited by a customer was forged,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is the procedure that you're supposed to follow, isn't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the first thing it says is "Determine if recourse is lost." Now, you knew on November 9th, 2001 that recourse had been lost?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In fact, it had been lost weeks ago,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Counsel said that the following day at trial, for some unexplained reason, Richards decided to tell the court that he followed the manual, stating: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You didn't follow the manual, the procedures set out in the bank manager's manual, right?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I followed procedures.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I followed the procedures.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manual? Do we have to look at that again?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you'd like to,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Counsel said that after taking up considerable court time on the matter, Richards eventually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question was: When you told the court you were following the manual - when I put to you that you had ignored the manual, you told the court, no, you believed you were following the manual, and my question was what manual did you believe you were following when you charged the accounts of my clients on November 9th.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held the funds. We took the funds 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manual were you referring to when you told the court you were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following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no manual. There was no manual that I followed at that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You're changing your evidence on that point?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Counsel argued that the importance of the CPA Rules, specifically s. 5 of CPA Rule A4 (Returned and Redirected Items) in the instant case is two fold. First, the Agreement (clauses 4.1 and 4.3) specifically incorporates these rules which, giving the clauses of the contract a purposive effect, must be intended to affect the bank/customer relationship. Second, the BNS voluntarily accommodated the RBC long after the time limit under these rules authorized the RBC's return of the Counterfeit Cheque. The BNS had no legal responsibility to the RBC and its accommodation was, therefore, gratuitous.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Counsel stressed that the banking industry is not supposed to be a fraternity between banks who discreetly accommodate each other in the manner described by Hyland. He said that if the courts approve such conduct, the written rules supposedly governing the banking industry become meaningless. He noted the words of Montgomery J. in Stanley Works of Canada Ltd. v. Banque Canadienne Nationale et al (1981), 20 B.L.R. 282 (Q.C.A.), where, at p. 287,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Appellant had, in my opinion, the right to expect that the services of the RBC would include the exercise of reasonable diligence for the protection of its interests. I recognize that there is some doubt whether the clearing house Rules invoked by appellant do more than regulate the conduct of banks between themselves, but no one appears to deny their existence and binding force at least as between banks, and they provide an indication of what a bank can do and may reasonably be expected to do to protect its customers' interests. No one appears to contest that, as between the two banks, the RBC could have refused to accept the return of the two cheques and insisted that BCN honour them because of its failure to return them within the period of 48 hours. Why did the RBC not do this? It may well have been out of courtesy to a fellow bank. Professional courtesy (like professional license) may be carried too far, and it is, in my opinion, carrying it too far to exercise it at the expense of a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Counsel noted that reference to clearing rules has been made by a number of other courts in establishing the duties of banks to their customers: See Riedell v. Commercial Bank of Australia Limited, [1931] V.L.R. 382 (S.C.); Bank of Nova Scotia v. Canada Trust Co. </w:t>
      </w:r>
      <w:hyperlink r:id="rId959" w:history="1">
        <w:r>
          <w:rPr>
            <w:rFonts w:ascii="arial" w:eastAsia="arial" w:hAnsi="arial" w:cs="arial"/>
            <w:i/>
            <w:color w:val="0077CC"/>
            <w:sz w:val="20"/>
            <w:u w:val="single"/>
            <w:shd w:val="clear" w:color="auto" w:fill="FFFFFF"/>
            <w:lang w:val="en-US" w:eastAsia="en-US" w:bidi="ar-SA"/>
          </w:rPr>
          <w:t>(1998), 39 O.R. (3d) 84</w:t>
        </w:r>
      </w:hyperlink>
      <w:r>
        <w:rPr>
          <w:rFonts w:ascii="arial" w:eastAsia="arial" w:hAnsi="arial" w:cs="arial"/>
          <w:color w:val="000000"/>
          <w:sz w:val="20"/>
          <w:lang w:val="en-US" w:eastAsia="en-US" w:bidi="ar-SA"/>
        </w:rPr>
        <w:t xml:space="preserve"> (Gen. Div.). For example, in Riedell, supra, Mann J., at p. 389, held that the collecting bank owed duties to its customers who were entitled to the protection of the clearing rules in Australia: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am of the opinion that the return of the cheque was a stale return, because it was beyond the time allowed by rule 6, and that the defendant bank had the right to reject it the moment it was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Counsel noted that the collecting bank in Riedell, supra, was held liable to its customer whose account was debited by the bank which, as in the instant case, voluntarily refunded the drawee bank which had accepted a cheque by mistake. Mann J. states at p. 390: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course taken by the defendant bank amounted to this, that, having received payment on behalf of it's principal by means of a settled account, it returned that payment without authority and without any obligation to return 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Counsel submitted that another provision of the CPA Rules worth noting is section 20.01 of Bylaw 3. He said that It reflects the same finality arising from settlement as does clause 4.7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Counsel said that until "settlement" a credit remains provisional and reversible. After settlement, the credit is no longer reversible. Counsel emphasized that the CPA Rules reflect clause 4.7 of the Agreement and that Richards understood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That means if the cheque is returned quickly within the one business day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under the clearing rules. Do you understand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then the bank can charge back against the account of the customer,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right? That's correct. And that dovetails perfectly with clause 4.7 in the financial services agreement, right? It preserves the bank's right to charge back against the customer's account,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Counsel said that this is not a case in which the rights and obligations arising under a negotiable instrument are at issue. Instead, as with the CPA Rules, reference to the BEA clarifies the status of the two banks vis-à-vis each other as of October 30, 2001. Section 165(3) of the BEA provides that, as the collecting bank, the BNS acquired all the rights and powers of a holder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Section 73 of the BEA provides that a holder in due course holds the bill free from any defect of title of prior parties and may enforce payment against all parties liable on the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Section 128 of the BEA provides that the acceptor of a bill by accepting it is precluded from denying to a holder in due course the existence of the drawer, the genuineness of his signature and his capacity and authority to draw the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Counsel said that the legislation is clear. On October 30, 2001, the BNS had acquired the rights of a holder in due course regarding the Counterfeit Cheque. At that point, the RBC was precluded from denying the genuineness of the drawer's signature. Accordingly, the BNS had no exposure to the RBC by reason of the forgery. In R. v. Bank of Montreal, supra, Girouard J., at p. 269,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principal and in fact the only question was whether or not the drawee who accepts or pays a forged bill can recover the money back from the holder in due course. The jurisprudence seems to be overwhelming that he cannot.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Counsel also submitted that the BNS' protection under the BEA mirrors the effect of the CPA Rules and all of this authority is completely ad idem with a plain reading of the Agreement. Clause 4.7 of the Agreement protects the BNS to the degree that the legislation and common law may expose it to liability. The BNS must have the ability to charge back against a deposit if, for example, a drawee bank refuses to make payment of a cheque in any given transaction. After settlement between the banks, however, the BNS needs no such protection as it has been fully credited. On settlement, the drawee bank has lost recourse and accordingly the BNS' credit to the customer's account becomes final.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Counsel said that clause 4.7 of the Agreement is not ambiguous. However, if there was any ambiguity, the "contra preferentum" and "expressio unius est exclusion alterius" rules of construction would apply against the bank: See Arrow Transfer Co., supra; and Cavell Developments Ltd. v. Royal Bank of Canada </w:t>
      </w:r>
      <w:hyperlink r:id="rId960" w:history="1">
        <w:r>
          <w:rPr>
            <w:rFonts w:ascii="arial" w:eastAsia="arial" w:hAnsi="arial" w:cs="arial"/>
            <w:i/>
            <w:color w:val="0077CC"/>
            <w:sz w:val="20"/>
            <w:u w:val="single"/>
            <w:shd w:val="clear" w:color="auto" w:fill="FFFFFF"/>
            <w:lang w:val="en-US" w:eastAsia="en-US" w:bidi="ar-SA"/>
          </w:rPr>
          <w:t>(1991), 54 B.C.L.R. (2d) 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Counsel insisted that the CPA Rules, the BEA, the Agreement and the common law all confirm the same point, that is, the importance of settlement, a fundamental concept which is supposed to create stability and certainty in the banking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Counsel said that, in the present case, the BNS simply decided to ignore its own contracts. Hyland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but I'm talking about the right of the bank, the contractual limits on a bank's right to charge back against a customer's account. Okay? And now, you had knowledge in November 2001 that the bank had a specific clause in its contract dealing with the bank's right to charge a customer's account,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knew that,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Pardon? Can you repeat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In November of 2001 you had knowledge that in the account agreements between a customer and Scotiabank there's a specific clause that deals with the right of a bank to charge back against an account?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had that knowledge?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now turn to the plaintiffs' arguments on disclosure of information by the BNS.</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Disclosure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Counsel submitted that on and after November 9, 2001, the BNS disclosed personal information about the plaintiffs to the RBC, including:</w:t>
      </w:r>
      <w:r>
        <w:rPr>
          <w:rFonts w:ascii="arial" w:eastAsia="arial" w:hAnsi="arial" w:cs="arial"/>
          <w:sz w:val="20"/>
          <w:lang w:val="en-US" w:eastAsia="en-US" w:bidi="ar-SA"/>
        </w:rPr>
        <w:cr/>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principals of BMP Global;</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these other persons had their own personal bank accounts with the BNS;</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BMP Global had made payments to these persons, and the particulars of these various payments;</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of the personal bank accounts of Hashka and Backman, including balances and source of funds in those accounts;</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636651, its relationship to the other plaintiffs, the identity of its bank account along with particulars of all the transactions in and out of that account; and</w:t>
      </w:r>
    </w:p>
    <w:p>
      <w:pPr>
        <w:numPr>
          <w:numId w:val="1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as to the business and personal affairs of each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Counsel said that a review of the RBC's internal e-mail indicates that the RBC was given personal information about the plaintiffs. In addition, the RBC's Statement of Claim in its action against the plaintiffs is further confirmation of disclosure to the RBC of personal information about the plaintiffs. Counsel said that no BNS witness could or would tell the court when, why and how the RBC acquired so much personal information about the plaintiffs. Hyland did, however,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book - The book of - the plaintiff's book of documents. Can you see the RBC statement of - writ of summons and statement of claim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see paragraph 11?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Paragraph what?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Paragraph 11.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Setting out the details of transactions?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Um-hum.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Cheque members, amounts, identifying payees, this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kind of thing? Are you able to tell the court how it was that RBC was given that kind of detailed information about my clients' bank accounts?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We would have provided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Who - who is "we"? Who did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didn't, so likely it was Judie. Or - Or perhaps Jeff, through Judie.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 when was that information provided to RBC?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sure, honestly.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why do you say "likely we did"? How do you - why do you give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that answer?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guess it's in your - it's their - it's in their material. So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you're just assuming that somebody must have - somebody from Scotiabank gave RBC that information?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I'm assuming,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Counsel said that this litigation would not have happened had the BNS simply observed its duties of confidentiality and told the RBC on November 9, 2001, to pursue whatever legal steps it wished.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Counsel submitted that the BNS' duties of confidentiality arise from three areas: the common law; the banking contracts; and legislation.</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Taylor J.A. stated in CIBC v. Sayani </w:t>
      </w:r>
      <w:hyperlink r:id="rId961" w:history="1">
        <w:r>
          <w:rPr>
            <w:rFonts w:ascii="arial" w:eastAsia="arial" w:hAnsi="arial" w:cs="arial"/>
            <w:i/>
            <w:color w:val="0077CC"/>
            <w:sz w:val="20"/>
            <w:u w:val="single"/>
            <w:shd w:val="clear" w:color="auto" w:fill="FFFFFF"/>
            <w:lang w:val="en-US" w:eastAsia="en-US" w:bidi="ar-SA"/>
          </w:rPr>
          <w:t>(1993), 83 B.C.L.R. (2d) 167</w:t>
        </w:r>
      </w:hyperlink>
      <w:r>
        <w:rPr>
          <w:rFonts w:ascii="arial" w:eastAsia="arial" w:hAnsi="arial" w:cs="arial"/>
          <w:color w:val="000000"/>
          <w:sz w:val="20"/>
          <w:lang w:val="en-US" w:eastAsia="en-US" w:bidi="ar-SA"/>
        </w:rPr>
        <w:t xml:space="preserve"> (C.A.) at p. 172: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now long been recognized in the common law world that the contract between customer and bank includes an implied term imposing on the bank an obligation subject to exceptions not to disclose information concerning the customer's dealings with it; but the scope of the exceptions to this obligation have rarely been discussed in the cases, and never clearly defined.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the very few decisions in this area of banking law that most frequently cited is the decision of the Court of Appeal in Tournier v. National Provincial Bank, [1924] 1 K.B. 461. It is to the judgment of Bankes L.J., that reference is most often made, because it includes (at p. 473) four enumerated classifications within which the exceptions are sometimes said to be encompassed:</w:t>
      </w:r>
    </w:p>
    <w:p>
      <w:pPr>
        <w:numPr>
          <w:numId w:val="1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disclosure is under compulsion by law;</w:t>
      </w:r>
    </w:p>
    <w:p>
      <w:pPr>
        <w:numPr>
          <w:numId w:val="1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is a duty to the public to disclose;</w:t>
      </w:r>
    </w:p>
    <w:p>
      <w:pPr>
        <w:numPr>
          <w:numId w:val="1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interests of the bank require disclosure;</w:t>
      </w:r>
    </w:p>
    <w:p>
      <w:pPr>
        <w:numPr>
          <w:numId w:val="1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disclosure is made by the express or implied consent of the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Counsel argued that none of the above exceptions to a bank's duty of confidentiality existed in the instant case. Instead, the BNS' one and only reason for disclosure of personal information was to help the RBC in its collection efforts against the plaintiffs.</w:t>
      </w:r>
      <w:r>
        <w:rPr>
          <w:rFonts w:ascii="arial" w:eastAsia="arial" w:hAnsi="arial" w:cs="arial"/>
          <w:sz w:val="20"/>
          <w:lang w:val="en-US" w:eastAsia="en-US" w:bidi="ar-SA"/>
        </w:rPr>
        <w:cr/>
      </w:r>
    </w:p>
    <w:p>
      <w:pPr>
        <w:numPr>
          <w:numId w:val="1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Banking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Richards confirmed that, in November, 2001, he was aware that the bank contracts regarding Hashka and Backman's accounts contained the following terms set out at pp. 1 and 9 of the Day-to-Day Banking Companion Booklet: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important of all though, is the way we manage your personal information, and that's where our commitment to privacy comes into effect. We believe strongly that it forms the basis of our relationship with you. So we present that commitment to you first in the agreements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when you open an account at Scotiabank, you can depend on us to maintain the confidentiality of your information, subject to the terms of the Scotiabank Group Privacy Agreement found on page 33 of this booklet.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At his examination for discovery, Richards also confirmed his understanding that the above principles of confidentiality are fundamental to the banker/customer relationship and apply to business as well as personal accounts. Hyland agreed, testifying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one of the personal accounts. It says this - In Scotiabank's own contract, it says this: "Most important of all, though, is the way we manage your personal information, and that's where our commitment to privacy comes into effect. We believe strongly that it forms the basis of our relationship with you." That's - You agree that that's - that's a very fundamental part of the banker/customer relationship?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privacy is very fundamental.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Very fundamental.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Counsel contended that whether an express term of the banking contract, an implied term at common law or, as in the instant case, both, a bank's duty in this area is well understood and the BNS simply ignored its duty.</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Section 1(1) of the Privacy Act, establishes a cause of action against the BNS. Counsel said that the privacy of the plaintiffs was violated by the BNS and a review of the factors in subsections 1(2) and 1(3) of the Privacy Act highlights the seriousness of the BNS'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addition, at para. 15 of the BNS' Further Amended Statement of Defence, it pleaded s. 7 of the PIPEDA. Counsel said that a close look at s. 5(1) of the PIPEDA, and s. 4.5 of Schedule 1 to that Act however, does not help the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Section 7(3) permits an organization to disclose personal information to certain other agencies, only in certain limited situations, none of which, counsel claimed, even remotely apply to the facts in this case.</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On the issue of defamation Richards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Here's my question: To the best of your knowledge, have the plaintiffs ever been under investigation for fraud?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my end,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You have no - I'm right when I'm suggesting to you, sir, that you have no personal knowledge at all of my clients ever being under investigation for fraud,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Scheller agreed that the plaintiffs were not suspects in a fraud, yet the BNS made numerous communications which directly and indirectly imputed criminality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Counsel noted that the BNS has not alleged fraud against the plaintiffs since, from the outset, it knew that if Hashka and Backman were complicit in the forgery:</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would not have told Richards in October, 2001 about the unusual circumstances of the underlying transaction, such as no cover letter, no completed distribution agreement and the wrong amount on the cheque;</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would not have wanted to wait that extra day (to Monday, October 29, 2001) based on the assurances of Richards about the wisdom of waiting until midnight, the seventh day after deposit to be absolutely sure of no charge back against BMP Global;</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would not have left over $777,000 in their BNS accounts for 10 days after settlement and certainly not brought the Bank of Montreal bank draft ($300,100) and certified cheque ($100,000) back to the BNS after the Bank of Montreal declined their banking business;</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would not have paid Raynier $3,000 on October 30, 2001, to draft a formal distribution agreement for the underlying transaction; and</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would not have prioritized payments to various creditors such as $9,050 to RBC Visa; $2,300 to Zellers; $11,417.70 to CIBC Visa; $898.66 to Valley View Funeral Home; $44.86 to Marion Gibroy; $50 to the House of the Good Sheppard; $2,495 to the Salvation Army Buchanan Lodge; and $10,000 to Pantec.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addition to the above facts, counsel noted that in over two years, Richards had become personally acquainted with Hashka and Backman and had no doubt that they too were completely shocked on finding out about the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Scheller advised the court that, in 2001, he did not read the grid warning but that, had he seen it, he would have immediately taken steps to rectify matters,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it's your evidence you're completely unable to explain how that sentence showed up in that grid warning; is that your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lord, I can't explain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would agree, sir, that you wouldn't - you personally wouldn't have said that, would you? You wouldn't have said that to Bank of Montreal on November 9th, 2001, because you didn't believe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that particular time, yes,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my lord.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one of the reasons you wouldn't say that is because you know that that's - that's a very serious thing to say about somebody, isn't it? It could be very damaging to their reputation, correct? To say that someone is under investigation for fraud and to send that out to the other - to the banks?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lord, I would have to agree that, yes, it is - to those involved, it would be damaging.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Okay. So when you - when you saw the grid warning come through to yourself after it was issued on November 9th, and you saw that statement in there which you say you had nothing to do with communicating to BMO, what steps did you take to immediately rectify things so that my clients weren't damaged by this grid warning?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lord, I did not realize that this statement was in fact there until only a matter of months ago when I met with Jenny Francis to discuss my evidence.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if I understand what you've now said, if - if you had - would you agree with me, sir, that if you had seen that go out on November 9th, you would have taken some steps to rectify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my lord. I probably would have sent an e-mail back to the Bank of Montreal asking them to rectify the - or - or resend the grid warning with the proper wording that I had sent out in my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original e-mail.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why is it again that you would have taken that step? Why would you feel the need, had you seen that, to take the step you've now described?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my lord, at this particular time, we had not established that they were suspects.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the grid warning, of course, refers to my clients being under investigation for fraud. And it's your evidence that you're certain you wouldn't have said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Clearly.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reason you're so clear about that is because you were mindful of the fact that this could be very damaging to people, if you started spreading that out to the banks, correct? You had that knowledge?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I had - yes, my lord,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 had that knowledge.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Both Richards and Scheller expressed the opinion that grid warnings just went out to security departments and not out to the branches of other financial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However, Hashka and Backman gave unchallenged evidence that the grid warning went very quickly out to bank branches in November, 2001. For example, Backman was advised about it at the Vantel Credit Union. Hashka was advised at two different branches: the TD Bank and the Westminster Savings Credit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Counsel contended that on the evidence, branches are clearly notified and said that of what use are grid warnings if the branches are not notified? Counsel also said that the fact that both Scheller and Richards expressed the same incorrect opinion reflects their attempt to minimize the significance of this damaging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Counsel submitted that Richards initially gave untruthful evidence as to when he found out about the grid warning,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question was when did you find out that the fraud alert went 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Actually as a grid warning or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grid warning,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when I saw the proceedings 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in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until the litigation started, until you were - are you talking about examination for discovery? At that stage? Is that the first time you're telling the court that you saw that grid alert?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first time I saw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the first time you became aware, is it, that a notice had gone out to the other banks about my clients being under investigation for fraud? Is that your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After being confronted with his own notes,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evidence you gave this morning on that point, sir, is not true, is it? Because Hashka and Backman spoke to you about it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in November 2001,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on November 30th, 2001 you told Hashka and Backman, "I advised them. I advised them that we did it. I advised Hashka and Backman that we, Scotiabank,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sent out this notice to the other banks. You told them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you knew in November 2001 that a fraud notice had gone out to the banks about my clients? You had that knowledge,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a grid warning had gone out.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You knew that in November 2001,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Counsel submitted that the BNS took no steps at all to rectify the grid warning even though Backman and Hashka were complaining to Richards about it in November,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Counsel claimed that if the above untruthful evidence of Richards had gone unchallenged, it might have explained the BNS' failure to rectify and/or issue a clarification to the other banks. However, the facts reveal that the BNS was simply indifferent to the harm it was causing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Coincidentally, counsel suggested, Scheller gave evidence very similar to Richards.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Scheller, did you - when you received a copy, did you take note of the additional sentence that I've pointed out to you, "Subjects are presently under investigation for fraud"? Did you take note of that when you received a copy of the grid warning?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lord, no. In fact, I didn't even know about this until several months back when I was meeting with Ms. Francis to discuss this case. She pointed it out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Counsel said that if the above evidence of Scheller is truthful on this point, it reveals two very disturbing facts. First, when Hashka and Backman complained to Richards about the fraud alert in November, 2001, Richards did not even call Scheller about it. Second, when the BNS filed its Statement of Defence specifically denying the defamatory communications, Scheller was not even consulted or, if he was, did not look in his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Counsel submitted that Scheller gave other troubling evidence. For example, he testified that his investigation of the plaintiffs ceased around the end of November,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two or three weeks after November 9th, you - someone would have called you from RBC and told you they were taking over, and that at that point you ceased your investigation of this matter;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Counsel contended that Scheller's evidence about when he closed his file seems to be wrong because the RBC's internal e-mail of October 15, 2002, makes reference to a BNS investigation almost a year later. On this point, Scheller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 is your evidence you just can't explain why it says what it says?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lord, I just can't explain why it says what it says.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Counsel noted that Scheller was then shown his e-mail of February 5, 2002, sent out months after he supposedly closed his file on the matter. Counsel submitted that the fact that the BNS sent out the February, 2002, communication was incredible, given the following facts as confirmed by Scheller:</w:t>
      </w:r>
      <w:r>
        <w:rPr>
          <w:rFonts w:ascii="arial" w:eastAsia="arial" w:hAnsi="arial" w:cs="arial"/>
          <w:sz w:val="20"/>
          <w:lang w:val="en-US" w:eastAsia="en-US" w:bidi="ar-SA"/>
        </w:rPr>
        <w:cr/>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knew from the outset that the plaintiffs were not suspects in a fraud;</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knew the "fraud" statement as per the grid warning of November 9, 2001, would be damaging to the plaintiffs and said he would have never made such statement about the plaintiffs;</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referred to lawyer Mr. Richard Olson ("Olson") as the source of opinion as to details of the fraud referred to in the February, 2002, communication yet, evidently never even spoke with Olson; and</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Scheller's file on the matter was supposedly closed months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Counsel asserted that Scheller sent out the February, 2002 e-mail to the other banks even though, as of November 9, 2001, the BNS was aware of possible defamation litigation. Richards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9th, the lawyer is telling you that the actions of the bank have caused damages to the reputations of the plaintiffs;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damages to their business dealings,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he was saying.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addition, in December, 2001, the present litigation commenced and, in January, 2002, the BNS filed a defence, specifically denying that it made any such defamatory communications. Counsel said that remarkably, Scheller explained that he used the plaintiffs' names as a "reference" in February, 2002, testifying: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was not meant to defame, defraud - defame anyone. It was just an internal piece of correspondence using them as a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Counsel said that in addition, there appears to be other communications from the BNS to the other banks which remain undisclosed by the BNS. The February, 2002 e-mail refers to the fact. Scheller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Now, you're - but you're communicating with these other banks. You say the original report forwarded in length. You had forwarded that report to the other banks?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lord, no. Nothing was forwarded to the other banks except the grid warning and that correspondence that I forwarded on - to - on February 2nd, dealing with Nigerian organized crime and money laundering.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that's true, sir, why are you saying to these persons at other banks, "The original report forwarded in length on this matter has been downloaded"? Why are you telling them that if it's not a document that in any way relates to them? Or something that you had forwarded to them? Why are you putting that in your e-mail?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my lord. I suppose just the fact that there's more to - this is a summary, a bare bones.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Counsel argued that there is no way of accurately calculating how imputations of fraud can spread through the financial world, nor can the plaintiffs reliably measure the long term impact on them. In Viex Events Ltd., </w:t>
      </w:r>
      <w:hyperlink r:id="rId962" w:history="1">
        <w:r>
          <w:rPr>
            <w:rFonts w:ascii="arial" w:eastAsia="arial" w:hAnsi="arial" w:cs="arial"/>
            <w:i/>
            <w:color w:val="0077CC"/>
            <w:sz w:val="20"/>
            <w:u w:val="single"/>
            <w:shd w:val="clear" w:color="auto" w:fill="FFFFFF"/>
            <w:lang w:val="en-US" w:eastAsia="en-US" w:bidi="ar-SA"/>
          </w:rPr>
          <w:t>[1997] B.C.J. No. 3114</w:t>
        </w:r>
      </w:hyperlink>
      <w:r>
        <w:rPr>
          <w:rFonts w:ascii="arial" w:eastAsia="arial" w:hAnsi="arial" w:cs="arial"/>
          <w:color w:val="000000"/>
          <w:sz w:val="20"/>
          <w:lang w:val="en-US" w:eastAsia="en-US" w:bidi="ar-SA"/>
        </w:rPr>
        <w:t>, Quijano J. confirmed certain general principals of defamation law, at paras. 42-44: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Libel is actionable per se and once the statement is found to be defamatory, damages are presumed. An oral defamatory statement, slander, requires the plaintiff (in this case Ms. Abela for the purposes of the counterclaim) to plead and prove special damages with four exceptions, two of which are relevant here. These are, if the slander relates to:</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Imputation of unfitness to practice one's trade or profession; or</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Imputation of the commission of a crime.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either of these exceptions are present, then the slander is actionable per se, without proof of special damages. Defamation is a strict liability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burden is on the defendant to prove that the statements are not defamatory ...</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BNS' POSITION ON LIABILITY</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Entitlement to the Recovered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BNS' arguments against the plaintiffs' entitlement to the Recovered Amount fall into three categories. The first deals with the plaintiffs' claim for breach of contract. The second deals with the positions of the plaintiffs, the BNS and the RBC in equity. The third deals with the plaintiffs claim for breach of fiduciary duty. As I have decided the question of the plaintiffs' entitlement to the Recovered Amount based on their claim for breach of contract, I have not reviewed the BNS' other arguments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Defence counsel argued that the plaintiffs' claim for breach of contract fails on three separate grounds. First, the plaintiffs had no legal entitlement to the Funds such that the Recovered Amount was never due and owing to the plaintiffs. Counsel said that this is a complete answer to the plaintiffs' claim. Second, even if the plaintiffs establish that they were entitled to the Funds, the terms of the Agreement, which governs the relationship between the BNS and the corporate plaintiffs, clearly place the risk of loss for fraud on the corporate plaintiffs. According to counsel, the Agreement provides for an express right of charge back, a limitation on the BNS' liability where fraud is involved and a full indemnity in favour of the BNS in circumstances such as this. Third, pursuant to the Agreement the BNS is also entitled to rely, as against all the plaintiffs, on its common law rights of set-off and the remedies available to the BNS pursuant to the BEA, by which the BNS is entitled to charge back or recover any of the Funds from the plaintiffs.</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Absence of Legal Entitlement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governing principle in the relationship between banks and their customers is that the balance of the account owing to the customer from time to time is a simple contract debt: See Crawford and Falconbridge, Banking and Bills of Exchange, 8th ed., vol. 1 (Toronto: Canada Law Book Inc., 1986) at pp. 742-743.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"Debt" is defined in Black's Law Dictionary, 6th ed. (St. Paul: West Publishing Co., 1999), at p. 279,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sum of money due by certain and express agreement. A specified sum of money owing to one person from another, including not only obligation of debtor to pay but right of creditor to receive and enforce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 debt arises only where the creditor has a legitimate, i.e. a legally enforceable right to payment. Thus, counsel submitted, to succeed in a claim for breach of contract based on the failure of the BNS to pay the Recovered Amount to the plaintiffs, or the charge back of the Recovered Amount to the plaintiffs' accounts, the plaintiffs must establish that they had a legally enforceable entitlement to the Funds, that is, that they had a right to receive and enforce payment of the Recovered Amount from the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However, said counsel, BMP Global, Backman, Hashka and 636651 never had any legal right to the Funds, as the Counterfeit Cheque did not operate at law to pass title to the Funds. Moreover, the Counterfeit Cheque was not created in respect of any legitimate debt owed to the plaintiffs by First National or any other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Counsel submitted that a cheque with a forged signature is inoperative to pass title to the proceeds of the cheque pursuant to s. 48(1) of the BEA.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effect of a forged signature on a bill was described in Protheroe v. Bank of Montreal, </w:t>
      </w:r>
      <w:hyperlink r:id="rId963" w:history="1">
        <w:r>
          <w:rPr>
            <w:rFonts w:ascii="arial" w:eastAsia="arial" w:hAnsi="arial" w:cs="arial"/>
            <w:i/>
            <w:color w:val="0077CC"/>
            <w:sz w:val="20"/>
            <w:u w:val="single"/>
            <w:shd w:val="clear" w:color="auto" w:fill="FFFFFF"/>
            <w:lang w:val="en-US" w:eastAsia="en-US" w:bidi="ar-SA"/>
          </w:rPr>
          <w:t>[1948] 2 W.W.R. 404</w:t>
        </w:r>
      </w:hyperlink>
      <w:r>
        <w:rPr>
          <w:rFonts w:ascii="arial" w:eastAsia="arial" w:hAnsi="arial" w:cs="arial"/>
          <w:color w:val="000000"/>
          <w:sz w:val="20"/>
          <w:lang w:val="en-US" w:eastAsia="en-US" w:bidi="ar-SA"/>
        </w:rPr>
        <w:t xml:space="preserve"> (Man. K.B.), citing from Crawford and Falconbridge, as follows, at p. 409: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principle stated in BEA, s. 49 [now s. 48] is superficially simple, namely, that a forged signature or a signature placed on a bill without the authority of the person whose signature it purports to be, is a nullity, and consequently that a forged or unauthorized signature cannot be a valid link in the chain of title to a bill or the basis of liability on the part of the person whose signature it purports to be, and that the forgery or want of authority is a real defence even against a holder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Counsel noted that the Gamble Report is conclusive in its finding that the Counterfeit Cheque is counterfeit, and that the signatures on the Counterfeit Cheque are not genuine. In addition, the evidence of the officers of First National is unequivocal that they did not authorize or issue the Counterfeit Cheque and that the signatures that appear on the Counterfeit Cheque are not theirs. Counsel said that the plaintiffs have not adduced any evidence to refute either the Gamble Report or the evidence of the officers of First National and did not seek to challenge the evidence of these witnesses through cross-examination. In light of this evidence, counsel contended, the Counterfeit Cheque is prima facie inoperative to pass title to the Funds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Counsel also submitted that the limited exception to s. 48(1), where a party is "precluded from setting up the forgery", does not apply as against the BNS. The BEA expressly provides who may be precluded from setting up a forgery and against whom the statutory estoppel is effective, as follows:</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acceptor of a bill by accepting it is precluded from denying to a holder in due course, inter alia, the existence of the drawer, the genuineness of his signature and his capacity and authority to draw the bill (s. 128). The BNS is not an acceptor of the Counterfeit Cheque.</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drawer of a bill by drawing it is precluded from denying to a holder in due course the existence of the payee and his then capacity to endorse (s. 129). This section has no application to the BNS as it is not the drawer of the Counterfeit Cheque.</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endorser of a bill is precluded from denying to a holder in due course the genuineness and regularity of the drawer's signature and all previous endorsements and is precluded from denying to his immediate or subsequent endorsee that the bill was, at the time of his endorsement, a valid and subsisting bill, and that he had good title to the bill (s. 132). The BNS is not an endorser of the Counterfeit Cheque.</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maker of a note, by making it is precluded from denying to a holder in due course the existence of the payee and his then capacity to endorse (s. 185). This section has no application to the instant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Counsel argued that based on the foregoing, the BNS is not precluded from setting up the forgery. Thus, the BNS is entitled to rely on the provisions of s. 48(1) of the BEA. The plaintiffs have no right to enforce payment of the Counterfeit Cheque against the BNS. The provisional credit provided to the BMP Account on October 30, 2001, was not a debt owing by the BNS to the plaintiffs. Indeed, the plaintiffs were never entitled to receive payment for the sum of money for which the Counterfeit Cheque was drawn. Therefore, the charge back of the Recovered Amount to the plaintiffs' accounts on November 9, 2001, or the failure by the BNS to honour cheques drawn on the plaintiffs' accounts after November 9, 2001, did not constitute a breach of contract by the BNS.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Contractual Defences</w:t>
      </w:r>
    </w:p>
    <w:p>
      <w:pPr>
        <w:numPr>
          <w:numId w:val="1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4.7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In the Agreement, fraud and forgery are expressly identified as the customer's risk. Counsel said that where, as in the instant case, there is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BNS and both the BNS and its customer are the innocent victims of fraud, the loss is allocated to the customer. This arises as a result of the provisions of the Agreement which permit the BNS to charge back items for fraud (clause 4.7), limit the liability of the BNS for any loss or damage arising from a forged, unauthorized or fraudulent use of services (clause 13.1) and provide for a full indemnification for loss or damage resulting from any instruction that has been honoured, processed, negotiated, settled, changed, cancelled, reversed or refused (clause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Counsel said that clause 4.7 does not limit the BNS' rights in any way. By its opening words ("You authorize ...."), it is clear that the clause is permissive rather than limiting. The provision adds to the common law rights of charge back and set- off that are recognized at law as inherent in the relationship between a bank and its customer. By its express terms, clause 4.7 grants the BNS a wide, unrestricted right to charge back amounts paid to its customers or credited to the account of its customer "for any reason". The clause specifically contemplates the BNS' right of charge back in the case of fraud, without limitation as to whether the fraud was perpetrated by the customer or a third party. Consequently, counsel submitted, on a plain and proper reading of clause 4.7, the BNS is entitled to charge back any amount paid or credited to its customer where fraud is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only qualification on the BNS' ability to charge back an amount paid or credited to its customer's account is that the amount charged back be an amount for which the bank does not receive settlement. Counsel said that the plaintiffs contended that "settlement" occurs when a cheque is processed through the clearing system. Thus, the plaintiffs argued that the BNS was too late to charge back the amount of the Counterfeit Cheque to the plaintiffs' accounts because the BNS had received settlement for the Counterfeit Cheque through the clearing system. Counsel argued that the interpretation of the Agreement advanced by the plaintiffs is not sustainable. Counsel said that it relies on a narrow and technical interpretation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Counsel submitted that it is a basic principle of contractual interpretation that the words of a contract are to be given their ordinary meaning. Lord Ellenborough C.J. expressed the principle in the following manner in Robertson v. French (1803), 4 East. 130, at pp. 135-136: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written instrument] is to be construed according to its sense and meaning, collected in the first place from the terms used in it, which terms are themselves to be understood in their plain, ordinary, and popular sense, unless they have generally in respect to the subject matter, as by the known usage of trade, or the like, acquired a peculiar sense distinct from the popular sense of the same words; or unless the context evidently points out that they must in the particular instance, and in order to effectuate the immediate intention of the parties to that contract, be understood in some other special and peculiar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Counsel said that although the term "settlement" has acquired a particular meaning within the context of the CPA Rules and between members of the CPA operating in the context of the system, it does not follow that "settlement", in the context of the Agreement, is to be given the same meaning. Clearly, the plaintiffs lacked recognition of usage of the term "settlement" under the CPA Rules. Counsel argued that the particular meaning acquired in the context of the CPA Rules should not be incorporated into the contract between the plaintiffs and the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According to counsel, "settlement", in its ordinary and popular sense refers to the final payment of an account. The process of settlement in the context of the CPA Rules is not equivalent to final payment. It is a form of provisional payment which remains subject to all the rights of the drawee bank afforded by the CPA Rules, the BEA and the common law. Counsel submitted that the proper interpretation of "settlement", in the specific context of clause 4.7 of the Agreement, refers to the final payment of a cheque or payment item, including the adjustments that occur between banks under the CPA Rules and otherwise, including adjustments for items returned within a reasonable time by reason of the fraudulent or counterfeit nature of the item. This is the interpretation that produces a fair result, promotes the intentions of the parties, accords with the purpose of a contractual right of charge back and contributes to the orderly conduct of the banking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Counsel said that the purpose of a contractual right of charge back, in this and other banking contracts, is to facilitate the practice of banks in providing provisional credit on a deposit, which practice promotes the expeditious conduct of commercial affairs: See Bank of Nova Scotia v. Regent Enterprises, </w:t>
      </w:r>
      <w:hyperlink r:id="rId964" w:history="1">
        <w:r>
          <w:rPr>
            <w:rFonts w:ascii="arial" w:eastAsia="arial" w:hAnsi="arial" w:cs="arial"/>
            <w:i/>
            <w:color w:val="0077CC"/>
            <w:sz w:val="20"/>
            <w:u w:val="single"/>
            <w:shd w:val="clear" w:color="auto" w:fill="FFFFFF"/>
            <w:lang w:val="en-US" w:eastAsia="en-US" w:bidi="ar-SA"/>
          </w:rPr>
          <w:t>[1997] N.J. No. 152</w:t>
        </w:r>
      </w:hyperlink>
      <w:r>
        <w:rPr>
          <w:rFonts w:ascii="arial" w:eastAsia="arial" w:hAnsi="arial" w:cs="arial"/>
          <w:color w:val="000000"/>
          <w:sz w:val="20"/>
          <w:lang w:val="en-US" w:eastAsia="en-US" w:bidi="ar-SA"/>
        </w:rPr>
        <w:t xml:space="preserve"> (C.A.),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Counsel contended that the interpretation of clause 4.7 of the Agreement advocated by the plaintiffs would limit the BNS' right of charge back to such a degree that it would render the charge back provisions in the clause virtually useless and would impede the practice of the banks in providing provisional credit on a deposit. The plaintiffs' interpretation of the Agreement would effectively create a 24 hour window for the discovery of cheque frauds, after which time the BNS would be left without recourse. That is not a reasonable interpretation of clause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Counsel said that when a bank encounters a forged cheque after the cheque has cleared and the time for returning the cheque through the clearing system has lapsed, banks are entitled to deal directly with each other. If a drawee bank is able to justify an adjustment because of a forgery or some other reason, the adjustment may be granted: See: National Bank of Greece (Canada) v. Bank of Montreal </w:t>
      </w:r>
      <w:hyperlink r:id="rId965" w:history="1">
        <w:r>
          <w:rPr>
            <w:rFonts w:ascii="arial" w:eastAsia="arial" w:hAnsi="arial" w:cs="arial"/>
            <w:i/>
            <w:color w:val="0077CC"/>
            <w:sz w:val="20"/>
            <w:u w:val="single"/>
            <w:shd w:val="clear" w:color="auto" w:fill="FFFFFF"/>
            <w:lang w:val="en-US" w:eastAsia="en-US" w:bidi="ar-SA"/>
          </w:rPr>
          <w:t>(1999), 175 F.T.R. 232</w:t>
        </w:r>
      </w:hyperlink>
      <w:r>
        <w:rPr>
          <w:rFonts w:ascii="arial" w:eastAsia="arial" w:hAnsi="arial" w:cs="arial"/>
          <w:color w:val="000000"/>
          <w:sz w:val="20"/>
          <w:lang w:val="en-US" w:eastAsia="en-US" w:bidi="ar-SA"/>
        </w:rPr>
        <w:t xml:space="preserve">, aff'd </w:t>
      </w:r>
      <w:hyperlink r:id="rId966" w:history="1">
        <w:r>
          <w:rPr>
            <w:rFonts w:ascii="arial" w:eastAsia="arial" w:hAnsi="arial" w:cs="arial"/>
            <w:i/>
            <w:color w:val="0077CC"/>
            <w:sz w:val="20"/>
            <w:u w:val="single"/>
            <w:shd w:val="clear" w:color="auto" w:fill="FFFFFF"/>
            <w:lang w:val="en-US" w:eastAsia="en-US" w:bidi="ar-SA"/>
          </w:rPr>
          <w:t>[2001] 2 F.C. 288</w:t>
        </w:r>
      </w:hyperlink>
      <w:r>
        <w:rPr>
          <w:rFonts w:ascii="arial" w:eastAsia="arial" w:hAnsi="arial" w:cs="arial"/>
          <w:color w:val="000000"/>
          <w:sz w:val="20"/>
          <w:lang w:val="en-US" w:eastAsia="en-US" w:bidi="ar-SA"/>
        </w:rPr>
        <w:t xml:space="preserve"> (C.A.),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Counsel submitted that the interpretation of "settlement", and consequently, the time limits for charge back in clause 4.7 of the Agreement must include the process of adjustments between banks that occurs outside of the clearing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This interpretation of clause 4.7 of the Agreement is consistent with the interpretation given to substantially similar provisions by other Canadian courts. In National Slag v. Canadian Imperial Bank of Commerce </w:t>
      </w:r>
      <w:hyperlink r:id="rId967" w:history="1">
        <w:r>
          <w:rPr>
            <w:rFonts w:ascii="arial" w:eastAsia="arial" w:hAnsi="arial" w:cs="arial"/>
            <w:i/>
            <w:color w:val="0077CC"/>
            <w:sz w:val="20"/>
            <w:u w:val="single"/>
            <w:shd w:val="clear" w:color="auto" w:fill="FFFFFF"/>
            <w:lang w:val="en-US" w:eastAsia="en-US" w:bidi="ar-SA"/>
          </w:rPr>
          <w:t>(1982), 140 D.L.R. (3d) 473</w:t>
        </w:r>
      </w:hyperlink>
      <w:r>
        <w:rPr>
          <w:rFonts w:ascii="arial" w:eastAsia="arial" w:hAnsi="arial" w:cs="arial"/>
          <w:color w:val="000000"/>
          <w:sz w:val="20"/>
          <w:lang w:val="en-US" w:eastAsia="en-US" w:bidi="ar-SA"/>
        </w:rPr>
        <w:t xml:space="preserve"> (Ont. H.C.), aff'd </w:t>
      </w:r>
      <w:hyperlink r:id="rId968" w:history="1">
        <w:r>
          <w:rPr>
            <w:rFonts w:ascii="arial" w:eastAsia="arial" w:hAnsi="arial" w:cs="arial"/>
            <w:i/>
            <w:color w:val="0077CC"/>
            <w:sz w:val="20"/>
            <w:u w:val="single"/>
            <w:shd w:val="clear" w:color="auto" w:fill="FFFFFF"/>
            <w:lang w:val="en-US" w:eastAsia="en-US" w:bidi="ar-SA"/>
          </w:rPr>
          <w:t>(1985), 19 D.L.R. (4th) 383</w:t>
        </w:r>
      </w:hyperlink>
      <w:r>
        <w:rPr>
          <w:rFonts w:ascii="arial" w:eastAsia="arial" w:hAnsi="arial" w:cs="arial"/>
          <w:color w:val="000000"/>
          <w:sz w:val="20"/>
          <w:lang w:val="en-US" w:eastAsia="en-US" w:bidi="ar-SA"/>
        </w:rPr>
        <w:t xml:space="preserve"> (Ont. C.A.), a similar provision was interpreted to give the bank an express right of charge back where a cheque was returned outside the clearing system because of non-sufficient funds. The provision provided for a right of charge back for an item "which, having been previously cashed by the Bank or credited to any such account, is returned to the Bank unpaid or in respect of which settlement is not received by the Bank." At p. 384 the Court of Appeal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agreement quoted entitled the C.I.B.C. to debit the appellant's account, even though the cheque was returned in a manner not strictly in accord with the clearing house rules, and it defeats the plaintiff's claim for the amount of the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order to give effect to clause 4.7 of the Agreement, the BNS' right of charge back must be interpreted to extend to payments and initial credits improperly received as a result of the negotiation of defective items such as the Counterfeit Cheque deposited by BMP Global. Counsel said that to hold otherwise would permit the plaintiffs to rely on the deposit of a counterfeit cheque to give the Counterfeit Cheque force and validity which it cannot otherwise acquire.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Counsel submitted that properly interpreted, the right of charge back set out in clause 4.7 of the Agreement preserves the ability of the BNS to collect any amount paid out to its customer or credited to the account of its customer where, subsequent to the initial credit of funds, the bank learns that the cheque or payment item will be returned or has been dishonoured. It is also consistent with the ordinary meaning of settlement set out above.</w:t>
      </w:r>
      <w:r>
        <w:rPr>
          <w:rFonts w:ascii="arial" w:eastAsia="arial" w:hAnsi="arial" w:cs="arial"/>
          <w:sz w:val="20"/>
          <w:lang w:val="en-US" w:eastAsia="en-US" w:bidi="ar-SA"/>
        </w:rPr>
        <w:cr/>
      </w:r>
    </w:p>
    <w:p>
      <w:pPr>
        <w:numPr>
          <w:numId w:val="1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of Liability and Indemnity - Clauses 13.1 and 14.1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addition to the right of charge back conferred on the BNS by the terms of the Agreement, the Agreement expressly limits the BNS' liability in relation to a forged, unauthorized or fraudulent use of services, instruction or material alteration of instruction and provides a full indemnity with respect to the plaintiffs' claim in clause 14.1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Counsel argued that the facts establish that the Counterfeit Cheque is a forged instrument bringing the circumstances of the instant case within the terms of clause 13.1, and thereby limiting the liability of the BNS with respect to any loss or damage suffered by the plaintiffs. Notably, the plaintiffs have neither alleged nor proven that any loss they may have suffered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BNS thereby bringing the circumstances outside of the terms of clause 13.1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Further, clause 14.1 of the Agreement expressly provides that the customer will compensate the BNS "... and any third party [like the RBC] providing services or settling instructions for any loss, damage, payment ... resulting from any instruction honoured processed, negotiated, settled, changed, cancelled, reversed or refused". Counsel argued that by this provision, the Agreement provides a full indemnity in favour of the BNS in respect of loss resulting from any instruction that was previously settled. The use of the past tense in clause 14.1 of the Agreement indicates that these events can occur after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Counsel submitted that a clause limiting liability and a clause providing indemnity are both ordinary terms of a contract, which, prima facie, must be given effect to and applied in the normal way. They are to be given effect to regardless of whether the plaintiffs were aware of or read the provisions at issue: See L'Estrange v. F. Graucab Ltd., [1934] 2 K.B. 394.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Counsel said that applied in the instant case, the effect of clauses 13.1 and 14.1 of the Agreement is to preclude any recovery by the plaintiffs of any portion of the Recovered Amount or any consequential damages resulting from the BNS' decision to freeze the plaintiffs' accounts or refuse to honour instructions with respect to the plaintiffs' accounts after November 9, 2001.</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Law and Statutory Rights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Clause 17.3 of the Agreement, provides that the BNS retains all "rights under any law respecting loans, set-off, deposits and banking matters" even if those rights were not set out in the Agreement. Similarly, the terms of the Personal Banking Agreement and Deposit Account Agreement applicable to Backman and Hashka do not, in any way, preclude the BNS from exercising common law or statutory rights available to the BNS in the circumstances.</w:t>
      </w:r>
      <w:r>
        <w:rPr>
          <w:rFonts w:ascii="arial" w:eastAsia="arial" w:hAnsi="arial" w:cs="arial"/>
          <w:sz w:val="20"/>
          <w:lang w:val="en-US" w:eastAsia="en-US" w:bidi="ar-SA"/>
        </w:rPr>
        <w:cr/>
      </w:r>
    </w:p>
    <w:p>
      <w:pPr>
        <w:numPr>
          <w:numId w:val="14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of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In Bank of Nova Scotia v. Sharp </w:t>
      </w:r>
      <w:hyperlink r:id="rId969" w:history="1">
        <w:r>
          <w:rPr>
            <w:rFonts w:ascii="arial" w:eastAsia="arial" w:hAnsi="arial" w:cs="arial"/>
            <w:i/>
            <w:color w:val="0077CC"/>
            <w:sz w:val="20"/>
            <w:u w:val="single"/>
            <w:shd w:val="clear" w:color="auto" w:fill="FFFFFF"/>
            <w:lang w:val="en-US" w:eastAsia="en-US" w:bidi="ar-SA"/>
          </w:rPr>
          <w:t>(1975), 57 D.L.R. (3d) 260</w:t>
        </w:r>
      </w:hyperlink>
      <w:r>
        <w:rPr>
          <w:rFonts w:ascii="arial" w:eastAsia="arial" w:hAnsi="arial" w:cs="arial"/>
          <w:color w:val="000000"/>
          <w:sz w:val="20"/>
          <w:lang w:val="en-US" w:eastAsia="en-US" w:bidi="ar-SA"/>
        </w:rPr>
        <w:t xml:space="preserve"> (B.C.C.A.), the court held that even in the absence of express terms allowing the bank the right to charge back amounts previously credited to a customer's account, a right of charge back or set-off is implied or inherent in the relationship of banker and customer. To give effect to this right, counsel submitted that it must extend to include situations where an item is returned even after it has been credited to the account of the customer and paid by the drawee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Indeed, said counsel this was the very situation in Sharp, supra, where the appellant bank had credited the respondent's account with the amount of the cheque and then debited the account when the cheque was dishonoured for non-sufficient funds. Citing from Arthur W. Rogers, Falconbridge on Banking and Bills of Exchange, 7th ed. (Toronto: Canada Law Book, 1969), at p. 269, the court in Sharp, supra, discussed the effect of a provisional credit to a customer's account and the right of set-off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cheque is deposited for collection and presented with due diligence to the drawee bank and dishonoured, the mere fact that the collecting bank has credited the payee with the amount of the cheque is not sufficient proof that the cheque was intended to be discounted, and the entry in the books of the collecting bank may be reversed and the payee of the cheque charged with the amount (Reg. v. Bank of Montreal (1886), 1 Ex. C.R. 154).</w:t>
      </w:r>
    </w:p>
    <w:p>
      <w:pPr>
        <w:numPr>
          <w:numId w:val="14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Recourse Pursuant to the BEA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addition to its common law right of set-off, counsel submitted that the BNS had a statutory right to collect the Funds from the plaintiffs by reason that the BNS, as the collecting bank, acquired all the rights and powers of a holder in due course under s. 165(3) of the BEA (this issue is not in dispute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Included in the rights and powers of a holder in due course of a bill of exchange is the ability to recover the amount of the bill from either the drawee or the payee of the bill where, for any reason, the bill is dishonoured. Royal Bank of Canada v. Wild </w:t>
      </w:r>
      <w:hyperlink r:id="rId970" w:history="1">
        <w:r>
          <w:rPr>
            <w:rFonts w:ascii="arial" w:eastAsia="arial" w:hAnsi="arial" w:cs="arial"/>
            <w:i/>
            <w:color w:val="0077CC"/>
            <w:sz w:val="20"/>
            <w:u w:val="single"/>
            <w:shd w:val="clear" w:color="auto" w:fill="FFFFFF"/>
            <w:lang w:val="en-US" w:eastAsia="en-US" w:bidi="ar-SA"/>
          </w:rPr>
          <w:t>(1975), 5 O.R. (2d) 628</w:t>
        </w:r>
      </w:hyperlink>
      <w:r>
        <w:rPr>
          <w:rFonts w:ascii="arial" w:eastAsia="arial" w:hAnsi="arial" w:cs="arial"/>
          <w:color w:val="000000"/>
          <w:sz w:val="20"/>
          <w:lang w:val="en-US" w:eastAsia="en-US" w:bidi="ar-SA"/>
        </w:rPr>
        <w:t xml:space="preserve"> (C.A.), provides that where a bank credits a customer's account with a cheque, which is subsequently dishonoured, the bank is entitled to debit the customer's account and to proceed as the holder in due course of the cheque as against the drawer of the cheque or its own customer: See also Bank of Nova Scotia v. Taylor </w:t>
      </w:r>
      <w:hyperlink r:id="rId971" w:history="1">
        <w:r>
          <w:rPr>
            <w:rFonts w:ascii="arial" w:eastAsia="arial" w:hAnsi="arial" w:cs="arial"/>
            <w:i/>
            <w:color w:val="0077CC"/>
            <w:sz w:val="20"/>
            <w:u w:val="single"/>
            <w:shd w:val="clear" w:color="auto" w:fill="FFFFFF"/>
            <w:lang w:val="en-US" w:eastAsia="en-US" w:bidi="ar-SA"/>
          </w:rPr>
          <w:t>(1979), 27 N.B.R. (2d) 14</w:t>
        </w:r>
      </w:hyperlink>
      <w:r>
        <w:rPr>
          <w:rFonts w:ascii="arial" w:eastAsia="arial" w:hAnsi="arial" w:cs="arial"/>
          <w:color w:val="000000"/>
          <w:sz w:val="20"/>
          <w:lang w:val="en-US" w:eastAsia="en-US" w:bidi="ar-SA"/>
        </w:rPr>
        <w:t xml:space="preserve"> (Co. Ct.). Counsel said that the BNS, upon being informed by the RBC that the Counterfeit Cheque was a forgery, acted within its rights as a holder in due course of the Counterfeit Cheque by charging back the amount of the Counterfeit Cheque to the plaintiffs' accounts.</w:t>
      </w:r>
      <w:r>
        <w:rPr>
          <w:rFonts w:ascii="arial" w:eastAsia="arial" w:hAnsi="arial" w:cs="arial"/>
          <w:sz w:val="20"/>
          <w:lang w:val="en-US" w:eastAsia="en-US" w:bidi="ar-SA"/>
        </w:rPr>
        <w:cr/>
      </w:r>
    </w:p>
    <w:p>
      <w:pPr>
        <w:numPr>
          <w:numId w:val="14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Authorities do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Counsel submitted that the authorities relied on by the plaintiffs do not support the propositions for which they are cited. Both Bank of Nova Scotia v. Toronto Dominion Bank </w:t>
      </w:r>
      <w:hyperlink r:id="rId972" w:history="1">
        <w:r>
          <w:rPr>
            <w:rFonts w:ascii="arial" w:eastAsia="arial" w:hAnsi="arial" w:cs="arial"/>
            <w:i/>
            <w:color w:val="0077CC"/>
            <w:sz w:val="20"/>
            <w:u w:val="single"/>
            <w:shd w:val="clear" w:color="auto" w:fill="FFFFFF"/>
            <w:lang w:val="en-US" w:eastAsia="en-US" w:bidi="ar-SA"/>
          </w:rPr>
          <w:t>(2001), 200 D.L.R. (4th) 549</w:t>
        </w:r>
      </w:hyperlink>
      <w:r>
        <w:rPr>
          <w:rFonts w:ascii="arial" w:eastAsia="arial" w:hAnsi="arial" w:cs="arial"/>
          <w:color w:val="000000"/>
          <w:sz w:val="20"/>
          <w:lang w:val="en-US" w:eastAsia="en-US" w:bidi="ar-SA"/>
        </w:rPr>
        <w:t xml:space="preserve"> (Ont. C.A.), and Bank of Nova Scotia v. Canada Trust Co., supra, involved disputes between banks, both members of the CPA. Neither case speaks to the duties owed by a bank to its customer pursuant to the time limits set out in the CPA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Further, counsel said, neither Riedell, supra, nor the decision in Stanley Works, supra, can be considered persuasive authority in the face of more recent Canadian authority to the opposite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B. Crawford, Payment, Clearing and Settlement in Canada, (Aurora: Canada Law Book, 2003) at p. 168, the author writes that many of the difficulties regarding the extent to which the clearing rules are binding on, or may benefit, members of the public are caused by reference to decisions at other times, in other countries, where the clearing rules are not necessarily the same. As an example of cases adding to the confusion on this issue, Mr. Crawford cites the decision in Stanley Works, supra. Counsel submitted that the plaintiffs' reliance on Riedell, supra, is equally misplaced. It is not clear from the reasons in Riedell, supra, that the rules upon which the case was decided are similar to the rules applicable in Canada. More importantly, said counsel, the decision is contrary to more recent jurisprudence in other Canadian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any event, counsel submitted that the uncontradicted evidence is that the Counterfeit Cheque was not returned through the clearing system. The actual process involved in the clearing and settlement of payment items through the clearing system is described in National Bank of Greece (Canada) (T.D.), supra, at para. 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CPA operates clearinghouses through which cheques are routed for clearing and settlement. Clearing occurs when the transactions are accounted for as between the member banks of the CPA. At the end of a clearing day, all cheques drawn on a particular bank (the drawee) and presented for payment that day will have been posted as amounts owed by the drawee to the banks who accepted the cheques ("the negotiating banks"). But at the same time, the drawee bank will itself have accepted millions of dollars worth of cheques drawn on other banks. So at the end of the day, a particular bank will owe a series of other banks millions of dollars and will itself be owed millions of dollars by a series of banks. These accounts are settled daily by the settlement system, which operates through the Bank of Canada. The settlement system is intended to move the necessary funds from those who owe money to those who are owed money. Some banks have a clearing account with the Bank of Canada through which their accounts are settled daily. If they are a net creditor, their account is credited and if they are a net debtor, funds are withdrawn from their account. The role of the Bank of Canada is to act as croupier, taking from those who owe for distribution to those who are owed. The end result should be that at the end of each banking day, all transactions are current, both from the point of view of accounting for the transactions (clearing) and from the point of view of settlement of accounts between all parties to the system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Counsel said that as evident from the process described above, an item returned through the clearing results in an automatic reversal of credits at the time the item is returned. In the instant case, the Counterfeit Cheque was returned to the BNS and the amount of the Counterfeit Cheque was subsequently remitted to the RBC through a process of bank to bank adjustment entirely outside the clearing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Hyland testified as follows with respect to the process by which the Counterfeit Cheque was handled: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was the cheque at issue in these proceedings, the cheque that we looked at earlier, -- was that returned through the clearing system?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Returned to us? 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it returned to you through the clearing system?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just to be clear, that whole process in terms of the request from RBC and the payment of funds over to RBC and the signing of the indemnity agreement, that's something that is outside of the clearing system?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It's absolutely outside of the clearing system. It's the effort by, in this case the Royal Bank to mitigate the loss, recover what they can, and that is outside the clearing system.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Counsel submitted that there is simply no factual basis to support the plaintiffs' claim for breach of the CPA Rules where the evidence is clear that the Counterfeit Cheque was returned outside the clearing system. Similarly, there is no basis upon which to argue that the procedures, timelines and responsibilities set out in the CPA Rules governed the return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Counsel said that because the Counterfeit Cheque was returned outside the clearing system, it follows that the time limitation for the return of a payment item through the clearing system, set out in s. 5 of Rule A4 of the CPA Rules, was not applicable to the instant case. Bank to bank adjustment outside the clearing system is consistent with both the CPA Rules (as set out above) and established jurisprudence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a case involving the late return of an NSF cheque, Pelletier J. approved of and set out the procedure to follow in returning a cheque outside of the clearing system in National Bank of Greece (Canada), supra,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when timeliness, as defined by the one day rule, is not possible, then the NSF cheque is to be handled on a bank to bank basis rather than through the clearing system. Bank to bank clearing and settlement requires each bank to justify the adjustments it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Counsel said that the procedure set out above describes what occurred between the BNS and the RBC. The RBC contacted the BNS to inform it that the Counterfeit Cheque was a forgery. The RBC provided evidence of the forgery by providing the BNS with a Statutory Declaration sworn by its customer setting out that the Counterfeit Cheque was not issued or authorized to be issued by it. The BNS was satisfied on the basis of the Statutory Declaration and the circumstances surrounding the deposit of the Counterfeit Cheque that the cheque was in fact fraudulent. Counsel said that the plaintiffs offered no evidence, either at the time these matters first arose, or during the course of this proceeding to suggest that the BNS' conclusion as to the authenticity of the Counterfeit Cheque was in error. Indeed, Hashka agreed that the following answers provided on his examination for discovery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know of any facts which suggest that a claim that the cheque is counterfeit is a false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that I am aware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Counsel also noted that the BNS submitted that its employees acted reasonably in determining the authenticity of the Counterfeit Cheque. Satisfied that the Counterfeit Cheque was fraudulent, the CPA Rules did not preclude the BNS from negotiating the return of the Counterfeit Cheque outside the clearing system. The BNS' conduct was consistent with established practices in the banking industry and both the provisions of the CPA Rules and the jurisprudence. In summary, the BNS' conduct in this respect was not objectionable.</w:t>
      </w:r>
      <w:r>
        <w:rPr>
          <w:rFonts w:ascii="arial" w:eastAsia="arial" w:hAnsi="arial" w:cs="arial"/>
          <w:sz w:val="20"/>
          <w:lang w:val="en-US" w:eastAsia="en-US" w:bidi="ar-SA"/>
        </w:rPr>
        <w:cr/>
      </w:r>
    </w:p>
    <w:p>
      <w:pPr>
        <w:numPr>
          <w:numId w:val="14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Disclosure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At para. 16 of the Amended Statement of Claim, the plaintiffs allege that the BNS "communicated confidential and defamatory information about the plaintiffs to other financial and lending institutions, credit bureaus and other parties some of which information expressly or implicitly attributed criminal and/or other dishonest conduct to the plaintiffs and/or was comprised of personal information about the plaintiffs which the BNS was by law required to keep confidential". The plaintiffs contend that the BNS is liable in defamation, breach of contract and for breach of the Privacy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Defence counsel submitted that the plaintiffs' claim for invasion of privacy is without merit. The disclosure of information by the BNS was authorized by the applicable statutory regime governing the disclosure of information in the circumstances. Further, the duty of confidentiality owed by a bank to its customers is limited such that disclosure of certain information is permitted where the public interest requires disclosure to prevent fraud or the interests of the bank require the disclosure to recover amounts lost by reason of fraud.</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PIPEDA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Counsel argued that the PIPEDA governs the use, collection and disclosure of personal information collected by, inter alia, banks in the course of commercial activities. The purpose of the PIPEDA is to establish rules to govern the use, collection and disclosure of personal information in a manner that recognizes the right of privacy of individuals with the need of organizations to collect, use or disclose personal information for purposes that a reasonable person would consider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PIPEDA requires an organization which is disclosing personal information to obtain the individual's consent to the disclosure in most circumstances. However, as with the duty of confidentiality imposed on banks by the common law, the PIPEDA recognizes specific exceptions which allow banks to disclose personal information without the consent of the individual in certain limited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effect of ss. 7(3) and 7(5) of the PIPEDA is that a bank may disclose personal information, without the consent of the individual, regardless of the purpose for which the information was originally collected, for the purpose of conducting a preliminary investigation provided that: (i) the disclosure is made to a designated private sector investigative body; and, (ii) the disclosure is related to investigations of breaches of agreements or contraventions of the law. For the purposes of the instant case, counsel said it is important to note that s. 7(3)(d) does not restrict the disclosure of information to information concerning those individuals directly implicated in the contravention of the laws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What constitutes an investigative body for the purpose of s. 7(3) is set out in the Regulation Specifying Investigative Bodies, S.O.R./2001-6, ss. 1, 2, which provides, as follows:</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investigative bodies are specified, by name or by class, for the purposes of paragraphs 7(3)(d) and (h.2) of the Personal Information and Electronic Documents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Bank Crime Prevention and Investigation Office of the Canadian Bankers Association ...</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Regulations come into force on January 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Scheller testified that, as with corporate security officers at other financial institutions, he is a designated officer of the Bank Crime Prevention and Investigation Office (the "BCPIO") for the purposes of the PIPEDA. During cross-examination he indicated,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lord, under PIPEDA, the Personal Information Protection of Electronics Documents Act, they have identified bank crime prevention officers. And I am one of those people that is identified, and there are others, three people in our office, that are identified. They're all corporate investigators. Over at the Royal, there's the same thing there. There's three or four, maybe even five, people that are identified. CIBC, TD, Bank of Montreal, the same 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These people have been given permission under PIPEDA to exchange information on -- pertaining to criminal types of investigations.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have any formal designation?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have a formal designation,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is that? A certificate or an order-in-council? What is the nature of that formal designation? Was it a letter from somebody? I mean, how do you say that you're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formally designated for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comes from the federal government, my lord, under this Act. And I have to sign a document and send it back to Toronto, who then register it with the privacy commissioner.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don't have a copy of that in court, or in your file, do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lord, I have a -- a working paper by a law firm on it, but I don't have the specific 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you're designated under PIPEDA to release information for the prevention of crimes against banks?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am,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my lord.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Only to bank people.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Only to bank people?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Only bank to bank to bank.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Counsel contended that given the applicable statutory regime and Scheller's designation as a BCPIO, the BNS was clearly authorized to release personal information relating to the plaintiffs, without the consent of the plaintiffs, to other financial institutions for the purpose of investigating or preventing a suspected fraud. Counsel said that it is not material whether the plaintiffs were suspects or victims of the fraudulent activity. More specifically, the BNS was authorized to release information to the RBC, who, as the victim of the fraud assumed conduct of the investigation into the Counterfeit Cheque. Given the circumstances, counsel argued that it was entirely reasonable for the BNS to disclose personal information relating to the plaintiffs, including but not limited to:</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principals of BMP Global;</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plaintiffs had their own personal bank accounts with the BNS;</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BMP Global had made payments to the other plaintiffs, including particulars of these payments;</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as to the plaintiffs' personal accounts, including balances and the source of funds in those accounts;</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636651, its relationship to the plaintiffs and particulars of the transactions in the 636651 Account; and</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as to the business and personal affairs of each of the plaintiffs. This information was both probative and material to an investigation into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Similarly, the BNS was acting within the scope of s. 7(3) of the PIPEDA by requesting that the Bank of Montreal issue a grid warning to other financial institutions. The grid warning was issued as part of an investigation into a counterfeit and forged cheque. Moreover, the distribution of the grid warning was limited to other members of the BCPIO. In testifying about the e-mail sent to the Bank of Montreal to request that a grid warning be issued, Scheller testified during cross-examination,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one of the virtues or -- or concerns of Scotiabank is customer confidentiality, and the bank goes out to all kinds of lengths to ensure that customer confidentiality is maintained, except when there is reasonable grounds to believe that a criminal violation has occurred that is waived in trying to get to the bottom of the criminal investigation. And it's waived only in fact -- only so far as sending this information to other BCPIO Bank Crime Prevention Investigative Officers, within the PIPEDA Act. And we're asking them in this case for assistance.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Counsel submitted that the e-mail from Scheller to his fellow corporate security officers on February 5, 2002, also falls within the exception to the disclosure of information covered by s. 7(3) of the PIPEDA. In response to why he sent the e-mail, Scheller testified during cross-examination,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lord, number one, I was unaware of this correspondence that I have before me on both counts [the Statement of Claim]. The information that I was sending there was to -- for my brother corporate security officers, and the reason for that was to let them know the -- the potential risk to the banks when they become involved in Nigerian organized crime. It was not meant to defame, defraud - defame anyone. It was just an internal piece of correspondence using them as a reference.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Counsel said that as evidenced by Scheller's testimony, the purpose of the disclosure of information with respect to the February 5, 2002, e-mail was in relation to a situation of fraud which had been committed. It was intended by Scheller to alert his fellow corporate security officers to the type of frauds being perpetrated so as to permit the other banks to guard against similar situations. Further, the disclosure was limited to members of the BCPIO. As such, the disclosure was authorized by the PIPEDA.</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Breach of Contract by Reason of the Disclosure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BNS conceded that a contract between customer and bank includes an implied term imposing on the bank an obligation not to disclose information concerning the customers dealing with it. However, submitted counsel, the duty of confidentiality is not absolute; there are a number of exceptions to the duty which define the duty owed by a bank to its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Counsel submitted that any disclosure of information by it in the instant case fits within the second and third exceptions set out in CIBC v. Sayani, supra, (where there is a duty to the public to disclose; where the interests of the bank require disclosure) in that the disclosure of information by the BNS was made with a view to the prevention of fraud and the recovery of funds paid pursuant to a fraudulent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Counsel said that one purpose underlying the disclosure of information in the instant case was the protection of the BNS' own interests. This is evident from Scheller's evidence as to his role in investigating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my role is to investigate the criminal aspect of these offences. But, of course, the first thing that we look at on a counterfeit or fraudulent instrument is where is the money. And that's our primary task, tracking down the money, and then afterwards we start putting the paper together to find out the ingredients of the -- of the criminal investigation.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While the scope of the third exception, where disclosure is required in the interest of the bank, must, necessarily, be limited in order to give effect to the duty of confidentiality, counsel submitted that where the BNS is facing a potential loss by reason of the negotiation of a fraudulent and counterfeit item, disclosure of information for the purpose of identifying and recovering the proceeds of the counterfeit item falls within the exception permitting disclosure where disclosure is in the bank's own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Counsel claimed that Scheller's conduct in requesting the issuance of the grid warning and disclosing information to the RBC was both reasonable and proper having regard to the interests of the BNS. The same is true of Scheller's communications with Citibank. At the time of all of these communications, the BNS believed it was in a loss position. Similarly, the advice by Richards to the Toronto-Dominion Bank that a cheque drawn on the Hashka Account would not be honoured was reasonably necessary in the circumstances for the conduct of the BNS'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addition, argued counsel, the BNS, by disclosing the plaintiffs' information, discharged its general duty to the banking public. Disclosure of the information in the grid warning was intended, in part, to allow other financial institutions to identify the proceeds of a fraudulent cheque and to avoid processing those amounts. Counsel submitted that the BNS was acting in satisfaction of a duty to the public generally by issuing the grid warning. Similarly, the spirit of Scheller's e-mail communication of February 5, 2002, was consistent with this exception. His purpose was to advise his fellow corporate security officers of potentially fraudulent activity to assist them in guarding against similar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Counsel said that the BNS had a duty to ensure that proceeds of a fraudulent cheque not be further disseminated. To protect its own, and innocent third party interests, it was necessary to provide the names of persons and corporations into whose accounts the plaintiffs transferred the proceeds of the fraudulent cheque. Counsel said that the information disclosed by the BNS was fair, measured and appropriately limited in scope given the circumstances. As such, counsel submitted that the disclosure of information falls within the recognized exceptions to the duty of confidentiality owed by a bank to its customers.</w:t>
      </w:r>
      <w:r>
        <w:rPr>
          <w:rFonts w:ascii="arial" w:eastAsia="arial" w:hAnsi="arial" w:cs="arial"/>
          <w:sz w:val="20"/>
          <w:lang w:val="en-US" w:eastAsia="en-US" w:bidi="ar-SA"/>
        </w:rPr>
        <w:cr/>
      </w:r>
    </w:p>
    <w:p>
      <w:pPr>
        <w:numPr>
          <w:numId w:val="15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Privacy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plaintiffs' claim that the BNS' conduct constituted a breach of privacy pursuant to the Privacy Act. The plaintiffs allege that their privacy interests were breached by the unauthorized disclosure of personal information to the RBC and other banks, including the identity of the personal plaintiffs, their birth dates, SIN numbers and addresses, the balance and source of funds in the respective bank accounts of the plaintiffs, the history of dealings between the BNS and the plaintiffs and the nature, circumstances and ownership of the corporate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In Davis v. McArthur </w:t>
      </w:r>
      <w:hyperlink r:id="rId973" w:history="1">
        <w:r>
          <w:rPr>
            <w:rFonts w:ascii="arial" w:eastAsia="arial" w:hAnsi="arial" w:cs="arial"/>
            <w:i/>
            <w:color w:val="0077CC"/>
            <w:sz w:val="20"/>
            <w:u w:val="single"/>
            <w:shd w:val="clear" w:color="auto" w:fill="FFFFFF"/>
            <w:lang w:val="en-US" w:eastAsia="en-US" w:bidi="ar-SA"/>
          </w:rPr>
          <w:t>(1970), 17 D.L.R. (3d) 760</w:t>
        </w:r>
      </w:hyperlink>
      <w:r>
        <w:rPr>
          <w:rFonts w:ascii="arial" w:eastAsia="arial" w:hAnsi="arial" w:cs="arial"/>
          <w:color w:val="000000"/>
          <w:sz w:val="20"/>
          <w:lang w:val="en-US" w:eastAsia="en-US" w:bidi="ar-SA"/>
        </w:rPr>
        <w:t xml:space="preserve"> (B.C.C.A.), at pp. 763-4, the court ruled that the nature and degree of privacy to which a person is entitled in any situation or in relation to any matter is fully set out in what is now s. 1(2) of the Privacy Act. Section 1(2) does not, however, give a person an absolute right to privacy. Rather, said counsel, the plaintiffs' claim of privacy must be reasonable in the circumstances, having regard to the nature, incidence and occasion of the act and any relationship between the parties. Whether there has been a violation of a person's privacy interests must be decided on the particular facts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Counsel submitted that the plaintiffs' claim for invasion of privacy must fail for two reasons. First, the BNS disclosed the information with a claim of right. The disclosure of information by the BNS was authorized pursuant to the PIPEDA. Second, the information disclosed was disseminated to a limited audience and was reasonable in the context of the BNS' and others' lawful interests in preventing further disbursement of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Counsel submitted that the plaintiffs' claim of privacy is not reasonable in the circumstances. The information was disclosed to a limited audience in unique circumstances. The plaintiffs were disbursing the proceeds of a fraudulent cheque. The substance of Scheller's e-mail was designed to alert others as to the nature of those funds and recover them in a manner suitable to the urgency of the occasion and with regard to the privacy interests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Counsel said that if a bank is foreclosed from providing basic information with respect to individuals caught up in a fraud, innocently or otherwise, only the cases of fraud and deception are served.</w:t>
      </w:r>
      <w:r>
        <w:rPr>
          <w:rFonts w:ascii="arial" w:eastAsia="arial" w:hAnsi="arial" w:cs="arial"/>
          <w:sz w:val="20"/>
          <w:lang w:val="en-US" w:eastAsia="en-US" w:bidi="ar-SA"/>
        </w:rPr>
        <w:cr/>
      </w:r>
    </w:p>
    <w:p>
      <w:pPr>
        <w:numPr>
          <w:numId w:val="15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Counsel submitted that the defendant has not defamed the plaintiffs at any time and that, in the alternative, if any communications were defamatory they are subject to the defence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Counsel submitted that a helpful summary of the elements of defamation and the defence of qualified privilege is provided in Haggart Construction Ltd. v. Canadian Imperial Bank of Commerce, </w:t>
      </w:r>
      <w:hyperlink r:id="rId974" w:history="1">
        <w:r>
          <w:rPr>
            <w:rFonts w:ascii="arial" w:eastAsia="arial" w:hAnsi="arial" w:cs="arial"/>
            <w:i/>
            <w:color w:val="0077CC"/>
            <w:sz w:val="20"/>
            <w:u w:val="single"/>
            <w:shd w:val="clear" w:color="auto" w:fill="FFFFFF"/>
            <w:lang w:val="en-US" w:eastAsia="en-US" w:bidi="ar-SA"/>
          </w:rPr>
          <w:t>[1998] A.J. No. 20</w:t>
        </w:r>
      </w:hyperlink>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1998 ABQB 5</w:t>
        </w:r>
      </w:hyperlink>
      <w:r>
        <w:rPr>
          <w:rFonts w:ascii="arial" w:eastAsia="arial" w:hAnsi="arial" w:cs="arial"/>
          <w:color w:val="000000"/>
          <w:sz w:val="20"/>
          <w:lang w:val="en-US" w:eastAsia="en-US" w:bidi="ar-SA"/>
        </w:rPr>
        <w:t>, at para. 96:</w:t>
      </w:r>
      <w:r>
        <w:rPr>
          <w:rFonts w:ascii="arial" w:eastAsia="arial" w:hAnsi="arial" w:cs="arial"/>
          <w:sz w:val="20"/>
          <w:lang w:val="en-US" w:eastAsia="en-US" w:bidi="ar-SA"/>
        </w:rPr>
        <w:cr/>
      </w:r>
    </w:p>
    <w:p>
      <w:pPr>
        <w:numPr>
          <w:numId w:val="15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 plaintiff to succeed in a defamation action, he or she must prove: publication, that is distribution of a defamatory statement, that is a statement tending to lower the reputation of someone in the opinion of right-thinking members of society, which identifies the person defamed to a third person or third persons;</w:t>
      </w:r>
    </w:p>
    <w:p>
      <w:pPr>
        <w:numPr>
          <w:numId w:val="15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essential elements of publication, defamatory statement, identity and third person are proved, damage is presumed and the onus shifts to the defendant to establish a recognized defence;</w:t>
      </w:r>
    </w:p>
    <w:p>
      <w:pPr>
        <w:numPr>
          <w:numId w:val="15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making a statement reasonably appropriate, relevant and pertinent to the occasion, to another, in order to discharge a public or private duty concerning a subject in which both the maker and the recipient have a legitimate common interest, enjoys a "qualified privilege", which is a defence to a defamation action. It is the occasion that is privileged not the parties;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Counsel further specified that, with respect to a claim of defamation by a corporate plaintiff, the reputation of the corporation or other entity is distinct from the reputations of the individuals who form such an entity: See Price v. Chicoutimi Pulp Co. (1915), 23 D.L.R. 116 (S.C.C.). In Price, supra, the Supreme Court of Canada set out the following limitation with respect to a claim of defamation involving a corporate plaintiff at p. 123: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 is only entitled to succeed if the publication in question could convey to the mind of a reasonable person imputations calculated to damage the plaintiffs in their business.</w:t>
      </w:r>
    </w:p>
    <w:p>
      <w:pPr>
        <w:numPr>
          <w:numId w:val="1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plaintiffs claim that the BNS' communications with other banks directly and indirectly imputed criminality to the plaintiffs. They point to seven documents that constitute defamation on the part of the BNS, namely, the BNS' Book of Documents Tabs 45, 46, 50, 51, 58 (two documents) and Exhibit 5. The documents, according to the plaintiffs, impute the commission of an offence and are actionable per se without proof of special damages:</w:t>
      </w:r>
      <w:r>
        <w:rPr>
          <w:rFonts w:ascii="arial" w:eastAsia="arial" w:hAnsi="arial" w:cs="arial"/>
          <w:sz w:val="20"/>
          <w:lang w:val="en-US" w:eastAsia="en-US" w:bidi="ar-SA"/>
        </w:rPr>
        <w:cr/>
      </w:r>
    </w:p>
    <w:p>
      <w:pPr>
        <w:numPr>
          <w:numId w:val="15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Tab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Tab 45 is an e-mail from Scheller to Currie at the Bank of Montreal dated November 9, 2001. In his examination in chief, Scheller testified that he generated this document to request that Currie send out a grid warning. Counsel said that there is no evidence that would indicate that Scheller sent the e-mail to anyone apart from Currie.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document contains the subject line "Grid Warning - Cheque Fraud", but is otherwise silent with respect to the nature of the situation underlying the request. Counsel submitted that the e-mail does not impute criminal behaviour on the part of the individuals and corporations listed. It is a request for assistance from other financial institutions in confirming accounts held by the plaintiffs. The words "Cheque Fraud" in the subject line were merely descriptive of the concern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Notably, said counsel, at the time Scheller delivered Tab 45 to Currie, he himself did not believe that the subjects of the e-mail were engaged in any criminal behaviour. Instead, his impression was that they were the victims.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If Scheller's e-mail is defamatory counsel said that it is subject to a qualified privilege.</w:t>
      </w:r>
      <w:r>
        <w:rPr>
          <w:rFonts w:ascii="arial" w:eastAsia="arial" w:hAnsi="arial" w:cs="arial"/>
          <w:sz w:val="20"/>
          <w:lang w:val="en-US" w:eastAsia="en-US" w:bidi="ar-SA"/>
        </w:rPr>
        <w:cr/>
      </w:r>
    </w:p>
    <w:p>
      <w:pPr>
        <w:numPr>
          <w:numId w:val="1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Tab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Tab 46 is the grid warning. While Scheller requested that the grid warning be issued, he did not issue it himself. He communicated with the Bank of Montreal and the Bank of Montreal published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Counsel submitted that Scheller's e-mail request did not indicate that the plaintiffs were under investigation for fraud. At no time did Scheller, either verbally or in writing, indicate to the Bank of Montreal that the plaintiffs were under investigation for fraud. Beyond the e-mail request, he had no other communications with Currie or anyone else at the Bank of Montreal about the situation generally or about the contents of the grid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grid warning was published by the Bank of Montreal on November 9, 2001. Although Scheller received a copy, he did not notice the sentence added to the grid warning indicating that the plaintiffs' were under investigation for fraud until several months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Counsel said that whatever behaviour on the part of the plaintiffs, if any, the grid warning imputes, it was not published by the BNS and cannot be attributed to any positive act or omission by the BNS, and the BNS has no control over what other financial institutions do with a grid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While the plaintiffs claim that the BNS, and Richards specifically, was under an obligation to rectify a grid warning published by the Bank of Montreal, counsel said that they have pointed to no authority in support of this proposition. Indeed, said counsel, there would be significant repercussions if a party was under a positive obligation to rectify inaccurate information published by a third party or face civil liability.</w:t>
      </w:r>
      <w:r>
        <w:rPr>
          <w:rFonts w:ascii="arial" w:eastAsia="arial" w:hAnsi="arial" w:cs="arial"/>
          <w:sz w:val="20"/>
          <w:lang w:val="en-US" w:eastAsia="en-US" w:bidi="ar-SA"/>
        </w:rPr>
        <w:cr/>
      </w:r>
    </w:p>
    <w:p>
      <w:pPr>
        <w:numPr>
          <w:numId w:val="15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Tab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Tab 50 is the fax from the BNS to Citibank. Counsel said that this document does not mention any of the plaintiffs and cannot impute criminal behaviour to them.</w:t>
      </w:r>
      <w:r>
        <w:rPr>
          <w:rFonts w:ascii="arial" w:eastAsia="arial" w:hAnsi="arial" w:cs="arial"/>
          <w:sz w:val="20"/>
          <w:lang w:val="en-US" w:eastAsia="en-US" w:bidi="ar-SA"/>
        </w:rPr>
        <w:cr/>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Tab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Tab 51 is an e-mail from the BNS to Citibank. It accurately describes a payment of USD $20,000.00 sent on November 8, 2001, payable to LMB Prestsquare by order of Hashka. The e-mail requests that the payment be returned and that payment on the item be stopped. The e-mail cites the reason for the request as "Suspect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Counsel submitted that this document does not impute criminality on the part of Hashka. It accurately depicts the transaction and the reason requested for the return of the funds. Moreover, counsel submitted that this document, if defamatory, was subject to qualified privilege.</w:t>
      </w:r>
      <w:r>
        <w:rPr>
          <w:rFonts w:ascii="arial" w:eastAsia="arial" w:hAnsi="arial" w:cs="arial"/>
          <w:sz w:val="20"/>
          <w:lang w:val="en-US" w:eastAsia="en-US" w:bidi="ar-SA"/>
        </w:rPr>
        <w:cr/>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Tab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documents at Tab 58 consist of communications from Scheller to Citibank. Both mention BMP Global rather than the personal plaintiffs. The first document at Tab 58 is dated November 13, 2001, and indicates: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attached First National, Financial Corporation cheque is fraudulent. The cheque was deposited into the account of BMP Global Distribution Inc., on October 22, 2001.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second document is dated November 20, 2001, and indicates: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correspondence is forwarded in response to our telephone conversation regarding the $20,000 USD wire transfer from Scotiabank (BMP Global Distribution account) to Citibank on November 8, 2001. The Royal Bank are in a shortfall position over the transfer as the funds were obtained fraudulently.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said that these documents accurately describe the state of affairs at the time they were published.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Counsel argued that the plaintiffs' claim in defamation with respect to the business of BMP Global must fail because the plaintiffs have not adduced any evidence that the statements are "imputations calculated to damage the plaintiffs in their business". Moreover, on the face of the documents, they are clearly descriptive of a state of affairs and calculated to do nothing more than provide information.</w:t>
      </w:r>
      <w:r>
        <w:rPr>
          <w:rFonts w:ascii="arial" w:eastAsia="arial" w:hAnsi="arial" w:cs="arial"/>
          <w:sz w:val="20"/>
          <w:lang w:val="en-US" w:eastAsia="en-US" w:bidi="ar-SA"/>
        </w:rPr>
        <w:cr/>
      </w:r>
    </w:p>
    <w:p>
      <w:pPr>
        <w:numPr>
          <w:numId w:val="16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Scheller forwarded Exhibit 5 to corporate security officers at the Bank of Montreal, the Canadian Imperial Bank of Commerce, the HSBC and the RBC following a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Exhibit 5 provides the names of both the corporate and personal plaintiffs as "... players involved in the processing of a $904,563.00 cheque that we believe is associated to West African Organized Crime." It also includes First National, Citibank N.A. and LMB/Prest Square as "[o]ther subjects". Paragraph 9 of Exhibit 5 accurately describes the manner in which the officers of BMP Global deposited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Counsel submitted that Exhibit 5 does not contain any inaccurate information concerning the plaintiffs. Specifically, the plaintiffs could be accurately described as "... players involved in the processing of a $904,563.00 cheque ...". The evidence reviewed indicates that the plaintiffs received the Counterfeit Cheque, they deposited the Counterfeit Cheque, and they disbursed the Funds to their various accounts. Counsel contended that the evidence at trial established that para. 9 of Exhibit 5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Counsel submitted that Exhibit 5 accurately describes a state of affairs and does not associate the plaintiffs with criminality either directly or indirectly, but with "[o]ther subjects", including the RBC, who were involved in the processing of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Additionally, counsel said, the evidence establishes that Scheller authored Exhibit 5 to provide an example of how organized crime can affect the bank. There is no evidence to suggest he produced Exhibit 5 in furtherance of an aim "calculated to damage the plaintiffs in their business" as required by Price, supra, to establish a claim in defamation of a corporation.</w:t>
      </w:r>
      <w:r>
        <w:rPr>
          <w:rFonts w:ascii="arial" w:eastAsia="arial" w:hAnsi="arial" w:cs="arial"/>
          <w:sz w:val="20"/>
          <w:lang w:val="en-US" w:eastAsia="en-US" w:bidi="ar-SA"/>
        </w:rPr>
        <w:cr/>
      </w:r>
    </w:p>
    <w:p>
      <w:pPr>
        <w:numPr>
          <w:numId w:val="16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Where the plaintiffs satisfy the elements of defamation, counsel submitted that the defence of qualified privilege applies to the circumstances of the communications. Qualified privilege attaches to the occasion upon which the communication is made, and not to the communication itself. Lord Atkinson, in Adam v. Ward, [1917] A.C. 309 (H.L.), at p. 334,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privileged occasion is ... an occasion where the person who makes a communication has an interest or a duty, legal, social or moral, to make it to the person to whom it is made, and the person to whom it is so made has a corresponding interest or duty to receive it. This reciprocity is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Where a defamatory statement is made, it will be protected when it is fairly warranted by some reasonable occasion or exigency, and when it is fairly made in discharge of some public or private duty, or in the conduct of the defendant's own affairs in matters in which his interests are concerned. The Supreme Court of Canada in Hill v. Church of Scientology, </w:t>
      </w:r>
      <w:hyperlink r:id="rId79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at para. 144, indicated that, "[t]he legal effect of the defence of qualified privilege is to rebut the inference, which normally arises from the publication of defamatory words, that they were spoken with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Counsel referred to Pleau v. Simpson-Sears Ltd. </w:t>
      </w:r>
      <w:hyperlink r:id="rId975" w:history="1">
        <w:r>
          <w:rPr>
            <w:rFonts w:ascii="arial" w:eastAsia="arial" w:hAnsi="arial" w:cs="arial"/>
            <w:i/>
            <w:color w:val="0077CC"/>
            <w:sz w:val="20"/>
            <w:u w:val="single"/>
            <w:shd w:val="clear" w:color="auto" w:fill="FFFFFF"/>
            <w:lang w:val="en-US" w:eastAsia="en-US" w:bidi="ar-SA"/>
          </w:rPr>
          <w:t>(1977), 15 O.R. (2d) 436</w:t>
        </w:r>
      </w:hyperlink>
      <w:r>
        <w:rPr>
          <w:rFonts w:ascii="arial" w:eastAsia="arial" w:hAnsi="arial" w:cs="arial"/>
          <w:color w:val="000000"/>
          <w:sz w:val="20"/>
          <w:lang w:val="en-US" w:eastAsia="en-US" w:bidi="ar-SA"/>
        </w:rPr>
        <w:t xml:space="preserve"> (C.A.). The plaintiff in Pleau, supra, had been the victim of theft. His credit card and identification were stolen. Cheques purporting to have been drawn by him were presented at various places. He had not drawn the cheques and sought assistance from the police. One of the forged cheques had been presented at the defendant's store. The police asked the defendant to publish a notice that cheques in the name of the plaintiff were being presented and that the police were anxious to apprehend the thief. In response, the defendant prepared a typed notice containing the plaintiff's name and address reading: "If any Cheque is Presented, Detain Person and Call Security." The defendant affixed the notice to 55 cash registers. The notice was as visible to anyone purchasing goods as it was to the cashier.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At trial, the jury found in favour of the defendant. The appeal was subsequently dismissed. At p. 442 Lacourciere J.A.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unable to conclude that the publication of warning, allegedly defamatory, went beyond the exigencies of the occasion. The wording of the notices identified the appellant, and requested that any person presenting any cheque in his name be detained and that security be called. The wording was unfortunate, to say the least, and may have supported an innuendo that the appellant was a dishonest person. But the limited publication was clearly on an occasion of qualified privilege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Counsel submitted that elements of the tort of defamation are missing in the evidence with respect to each allegedly defamatory instance. However, if the court finds that defamatory statements were made regarding the plaintiffs, counsel submitted that the following statements were made on an occasion of qualified privilege.</w:t>
      </w:r>
      <w:r>
        <w:rPr>
          <w:rFonts w:ascii="arial" w:eastAsia="arial" w:hAnsi="arial" w:cs="arial"/>
          <w:sz w:val="20"/>
          <w:lang w:val="en-US" w:eastAsia="en-US" w:bidi="ar-SA"/>
        </w:rPr>
        <w:cr/>
      </w:r>
    </w:p>
    <w:p>
      <w:pPr>
        <w:numPr>
          <w:numId w:val="16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Tab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At the time Scheller published this document he and the BNS had reasonable grounds to believe that a fraudulent cheque had been deposited into the BMP's Account. They also had reasonable grounds to believe that the Funds had been dispersed and that the BNS was in a loss position. This document was an attempt to recover those Funds. The limited publication of the plaintiffs' names and personal information was a required step in furtherance of that aim and was authorized by s. 7.3 of the PIPEDA.</w:t>
      </w:r>
      <w:r>
        <w:rPr>
          <w:rFonts w:ascii="arial" w:eastAsia="arial" w:hAnsi="arial" w:cs="arial"/>
          <w:sz w:val="20"/>
          <w:lang w:val="en-US" w:eastAsia="en-US" w:bidi="ar-SA"/>
        </w:rPr>
        <w:cr/>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Tab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Bank of Montreal published this document. At the time, the BNS had reasonable grounds to believe that it, and perhaps other banks, were in a loss position as a result of the deposit of the Counterfeit Cheque. This was a limited publication in furtherance of recovering funds and minimizing the loss to all parties. While, as in Pleau, supra, the "wording was unfortunate", counsel said that this was an instance of qualified privilege.</w:t>
      </w:r>
      <w:r>
        <w:rPr>
          <w:rFonts w:ascii="arial" w:eastAsia="arial" w:hAnsi="arial" w:cs="arial"/>
          <w:sz w:val="20"/>
          <w:lang w:val="en-US" w:eastAsia="en-US" w:bidi="ar-SA"/>
        </w:rPr>
        <w:cr/>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Tabs 50, 51 and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These documents all concern attempts by the BNS to recover USD $20,000 transferred by the plaintiffs from the account of BMP Global to a Citibank account, representing a potential loss to the BNS. The identity of the plaintiffs, where used, assists in identifying the specific transfer of concern and, counsel said, is a measured use of same given the exigencies of the occasion. This communication and the disclosure of personal information in this communication was authorized by s. 7.3 of the PIPEDA.</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This document represents the sharing of information among corporate security offices, communications which fall within the scope of s. 7.3 of the PIPEDA. It describes a specific event that occurred and identifies the parties concerned. The plaintiffs are mentioned together with the RBC and Citibank as "subjects" involved in this event. Scheller's evidence establishes that he produced this document to educate his cohorts on the potential consequences of a counterfeit item. Counsel submitted that the document, if defamatory, was produced in a circumstance of qualified privilege with regard to the continuing consequences of organized crime and counterfeit items and the importance of pollination of information across the security offices of the major banks.</w:t>
      </w:r>
      <w:r>
        <w:rPr>
          <w:rFonts w:ascii="arial" w:eastAsia="arial" w:hAnsi="arial" w:cs="arial"/>
          <w:sz w:val="20"/>
          <w:lang w:val="en-US" w:eastAsia="en-US" w:bidi="ar-SA"/>
        </w:rPr>
        <w:cr/>
      </w:r>
    </w:p>
    <w:p>
      <w:pPr>
        <w:numPr>
          <w:numId w:val="16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 ON LIABILITY</w:t>
      </w:r>
    </w:p>
    <w:p>
      <w:pPr>
        <w:numPr>
          <w:numId w:val="16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Entitlement of the plaintiffs to the Recovered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circumstances surrounding the plaintiffs' underlying transaction leading to their receipt and deposit of the Counterfeit Cheque are unusual. So unusual in fact that in the mind of Richards they raised a number of red flags such that he persuaded Hashka and Backman that the Funds should be held by the BNS for longer than the normal period required by the CPA Rules to ensure that the Counterfeit Cheque was authentic. Yet despite its clearance and the fact that there was no evidence linking the plaintiffs with any fraudulent activity, the BNS made a pure business decision to prefer the financial interests of the RBC over its contractual obligations to the plaintiffs when it decided to freeze, retain and remit the Recovered Amount to the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The main thrust of the defence argument on this issue is that the plaintiffs never had a legal right to the Funds as the Counterfeit Cheque did not operate at law to pass title to the Funds to BMP Global. In the view of counsel, the fact that the Counterfeit Cheque was cleared "did not turn a worthless cheque, by some legal legerdemain, into a good one": See National Slag, supra. Counsel insisted that on this issue s. 48(1) of the BEA is a complete answer to the plaintiffs' claim. With great respect, I must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In my opinion, whether or not pursuant to s. 48(1) the Counterfeit Cheque was a nullity which was prima facie inoperative to pass title in the Funds to BMP Global, or whether or not the exceptions to s. 48(1) prevented the BNS from setting up the forgery against the plaintiff's claim of entitlement to the Recovered Amount does not have any bearing on the outcome of the litigation. Nor, in my view, does it lie in the mouth of the BNS to argue that to accept the plaintiffs' position would amount to a windfall accruing to the plaintiffs. In the words of MacKinnon A.C.J.O. in National Slag, supra, "... If the law drives us to what one might conclude is an absurd result, we must accept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As, I think, correctly analyzed and argued by plaintiffs' counsel, the plaintiffs are not suing the BNS on the Counterfeit Cheque to enforce payment to them of the Funds. The Counterfeit Cheque was not dishonoured. It was accepted and paid by the RBC by October 30, 2001. It was not returned by the RBC under the clearing system late, or otherwise. Thus, at a time when the BNS had absolutely no exposure to the RBC under the CPA Rules, or for that matter the BEA, a fact conceded by counsel for the BNS, it nevertheless decided to assist the RBC to collect the Recovered Amount by freezing, retaining and remitting the Recovered Amount to the RBC pursuant to the terms of the Revised Indemnity Agreement. In my opinion, this step was clearly contrary to the contractual obligations owed by the BNS to the plaintiffs under the terms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 am mindful of the law set out in National Bank of Greece (Canada), supra,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clearing and settlement systems are not intended to accommodate adjudication of disputes about the validity of transactions ... and ... do not create rights and obligations on the part of banks to their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However, in the instant case, I am satisfied that the BNS was in breach of a duty it owed to the plaintiffs for the reasons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Agreement provides the framework for the banking relationship between the BNS and BMP Global. Two aspects of the Agreement that are central to the dispute at bar are the provisions in the Agreement on when settlement occurs, and when the BNS may charge back amounts that have been credited to the BMP Account. I agree with counsel for the plaintiffs that once final settlement occurred, the BNS was not entitled to use clause 4.7 of the Agreement to freeze, retain and remit the Recovered Amount to the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 evidence is undisputed that on October 30, 2001, the deposit of the Funds ceased to be a "provisional" credit and became a "final" credit. Richards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at 4.1, if you go through that, have a quick look at that, over on page - the second part of that. Do you see where it says, "The reported balances for your account may include amounts which are not cleared funds"? Do you see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Which section is that of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 It's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 Oh, at the top of the page?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just so we understand what that means, cleared funds would be a deposit in respect of which the transaction that created that deposit has been settled,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 And between the time of the deposit and the settlement, then, the funds aren't cleared, right? They're not cleared funds?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so the deposit which shows up on an account statement - an account statement initially, until such time as the funds are cleared, it's a provisional credit? It can be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reversed?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Alright. And then after settlement, those become - the deposit then becomes - it becomes a final credit, because the deposit becomes cleared funds,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the - the funds in the bank account of BMP Global on November 9, 2001 were cleared funds,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Cleared,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That's because settlement had taken place between the banks,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Richards explained that while technically the Counterfeit Cheque cleared not later than October 23, 2001, the BNS "put a hold" on the Funds for another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 And so, for instance, clause 4.4, then, of the BMP contract, do you see that, where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it's - basically the customer is giving you sufficient time to settle all instructions. Okay? "We may delay crediting your account until we see the cleared funds from an instruction," and "We reserve the right to clear and transfer funds by whatever method we choose." In other words, the bank is given some discretion to, among other things put a hold on a deposit,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that's - that's what you did with the BMP deposit of the First National cheque, is you put a seven-day hold on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even though technically under the clearing rules, RBC loses recourse after a day, after one business day, one business day from the date it receives the cheque in the clearing system, you give yourself that extra time, that hold period, to make sure there's not going to be any problems,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throughout that hold period, the credit to the BMP account in this case would be a provisional credit; it's one that could be reversed, right? If there's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Counsel for the plaintiffs contended that the Agreement specifically incorporates the CPA Rules. Richards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you understood in the hundreds of times that you've gone through this document to various degrees with various clients over your 26 years with the bank, and I know 11 years as a manager, - you understood that this - this contract was incorporating into it the rules of the clearing and settlement system,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uses - That's correct. It used the clearing settlement system.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On the other hand, counsel for the BNS argued that the CPA Rules govern the relationship between banks, and have no bearing on the banker/customer relationship. In my opinion, the plaintiffs' position is correct, that the Agreement specifically refers to, and incorporates the time limit set out in the CPA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Clause 4.1 of the Agreement provides that, "Cleared funds means cash or any funds from any deposit which have been finally cleared through the clearing system." This clause provides a definition for cleared funds within the Agreement. Clause 4.3 provides that the BNS "is bound by the rules of any clearing system we use, including ... the time for final settlement." Clause 4.4 provides that the BNS may delay crediting the BMP Account until the BNS receives cleared funds for an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Although clause 4.4 introduces some ambiguity as it provides that BMP Global grants the BNS sufficient time to settle all instructions, in my opinion, this clause does not permit the BNS to reopen the question of whether it received final settlement on the Counterfeit Cheque after it had received the cleared funds. Thus, I find that within the meaning of clauses 4.1, 4.3 and 4.4, as the BNS had received cleared funds for the Counterfeit Cheque, final settlement was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Moreover, I find that the charge back provision in clause 4.7 (which I note contemplates that instructions will be processed that may include fraud) cannot be used to support the decision of the BNS to freeze, retain and remit the Recovered Amount to the RBC. According to the terms of the Agreement, the BNS has provided itself with a right to charge back from a customer's account in situations where it is exposed to a claim by, inter alia, a drawee bank. However, when the potential for such a claim abates, due to a loss of recourse on the part of the drawee bank, there is no longer a right of charge back. That was clearly the understanding of the BNS as testified to by Richards: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Richards, we were looking at clause 4.7 in the financial services agreement. Do you still have that in front of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the Scotiabank in this case sustained no loss whatsoever,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after - after RBC lost recourse on the First National cheque, you understood back in November of 2001 that Scotiabank wasn't exposed to any liability to RBC by reason of that cheque, because RBC had lost recourse,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my understanding.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certainly when there was settlement between the banks, that's the adjustment of credits and debits between banks through the clearing system, and after there was settlement, then Scotiabank no longer had any potential liability to RBC in connection with the First National cheque, correct? You had that understanding in November 2001?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Had no liability or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had no exposure. I mean, First - RBC had accepted the First National cheque right? It had paid out on it,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 I imagine so.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understand that settlement between the banks took place sometime prior to October 30th, 2001?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Through the settlement.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after that point in time, Scotiabank, you understood, was not exposed to RBC from any sort of liability perspective in connection with the First National cheque,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would - It sounds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isn't it true, sir, that the - if you look at clause 4.7, the limit on the bank's right to charge an account is at - is at settlement. In other words, if you read the second bullet,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Um-hum.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the bank can charge the customer's account, even without instructions, if, and it refers to "the amount of any instruction we have paid or credit - paid you or credited to your account and for which we don't receive - do not receive settlement." Do you see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bank, you'd agree, sir, is - is protecting itself by preserving its right to charge back against the customer at any time up to settlement? In other words, if it doesn't settle for any reason, the bank can charge back against the customer,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had that understanding in November 2001,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we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Thus, I find that within the plain meaning of clauses 4.1, 4.3 and 4.4, as the BNS had received cleared funds for the Counterfeit Cheque, final settlement was reached and the RBC had lost recourse against the BNS. Thus, based on the terms of the Agreement the BNS could not charge back the Recovered Amount from the BMP Account, nor by extension the other accounts of the plaintiffs nor could it overturn bill payments made from the BMP account, as the Funds flowed through the BMP Account, on which final settlement had been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Before turning to the other clauses of the Agreement relied on by the BNS, I note that counsel for the BNS submitted that the proper interpretation of "settlement" in the context of clause 4.7 refers to the final payment of a cheque or payment item, including adjustments made between banks outside of the CPA Rules. Counsel contended that the Counterfeit Cheque was returned completely outside of the CPA Rules through a process of bank to bank adjustment and that it was dishonoured by reason of the fraudulent nature of the Counterfeit Cheque and that its return of the Recovered Amount to the RBC was justified on this basis. I disagree with counsel on this point. The evidence is that the Counterfeit Cheque was accepted and paid by the RBC. It was not returned to the BNS by the RBC at any time, inside or outside of the clearing system. In my opinion, the Counterfeit Cheque was not dishonoured. As Hyland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we've heard a number of times that the cheque wasn't returned, it was paid by RBC and settlement took place between the banks,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Richards also confirmed that the Counterfeit Cheque was not returned to the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let me ask you this, sir: Was recourse lost on the cheque? On the First National cheque?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Recourse was lost.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Can you show me anywhere under the heading where "if recourse is lost" the bank is authorized to put a permanent hold on the account of the customer who is known to the bank?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is if the cheque is actually returned to us and recourse is lost. The cheque was never returned to 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we get to the facts in the present case. In the present case the cheque wasn't even returned. Three weeks later all you got was a phone call,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Further, although the decisions in National Bank of Greece (Canada), supra, and National Slag, supra, do stand for the proposition that a bank may adjust accounts outside the one day limit set out in s. 5 of Rule A4 of the CPA Rules, they do not support the BNS' argument. They involved cheques which were dishonoured and returned beyond the time limit in the CPA Rules. However, unlike the circumstances in the case at bar, they do not deal with a cheque that was accepted and paid by a drawee bank and never dishonoured and returned to the collecting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Counsel for the defence also argued that clauses 13.1, 14.1, and 17.3 of the Agreement preserved rights of set-off under the common law and the BEA, allowing the BNS to return the Recovered Amount to the RBC. I do not accept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Clause 13.1 provides that the BNS is not liable to its customer for any loss the customer suffers in connection with the account of the customer or provision of any service by the BNS. This clause is a limit on liability. Loss is a precondition of the application of this clause, rather than the clause permitting the BNS to take action which results in a loss to the customer. For this reason, I find that clause 13.1 is not helpful to the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Clause 14.1 is an indemnity provision. Under this clause the customer agrees to compensate the BNS and any third party for loss suffered that results from any instruction settled. Like clause 13.1, this clause does not create a right for the BNS to remove funds from a customer's account without permission. Rather, it is an agreement by the customer to do a certain thing, rather than permission for the BNS to take a certain action where it or a third party has suffered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Clause 17.3 provides that the BNS retains all the rights it has under any law regarding banking matters even if they are not set out in the Agreement. Counsel for the BNS submitted that the bank retains the rights of set-off at common law and under the BEA, and that these rights permitted the BNS to freeze, retain and remit the Recovered Amount to the RBC. Counsel referred to two cases to support this position. With respect to set-off, counsel cited Sharp, supra, and with respect to rights under the BEA, cited Wild, supra. However, in both Sharp, supra, and Wild, supra, the cheques at issue were dishonoured, the drawee bank having returned the cheques to the collecting banks without paying. Thus, I do not think these cases stand for a broader proposition than establishing a collecting bank's ability to charge back funds where it does not receive final settlement. They do not address a collecting bank's ability to charge back funds post final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Furthermore, Bank of Nova Scotia v. Regent Enterprises </w:t>
      </w:r>
      <w:hyperlink r:id="rId964" w:history="1">
        <w:r>
          <w:rPr>
            <w:rFonts w:ascii="arial" w:eastAsia="arial" w:hAnsi="arial" w:cs="arial"/>
            <w:i/>
            <w:color w:val="0077CC"/>
            <w:sz w:val="20"/>
            <w:u w:val="single"/>
            <w:shd w:val="clear" w:color="auto" w:fill="FFFFFF"/>
            <w:lang w:val="en-US" w:eastAsia="en-US" w:bidi="ar-SA"/>
          </w:rPr>
          <w:t>(1997), 157 Nfld. &amp; P.E.I.R. 102</w:t>
        </w:r>
      </w:hyperlink>
      <w:r>
        <w:rPr>
          <w:rFonts w:ascii="arial" w:eastAsia="arial" w:hAnsi="arial" w:cs="arial"/>
          <w:color w:val="000000"/>
          <w:sz w:val="20"/>
          <w:lang w:val="en-US" w:eastAsia="en-US" w:bidi="ar-SA"/>
        </w:rPr>
        <w:t xml:space="preserve"> (Nfld. C.A.), referred to by counsel for the BNS for a different proposition, does not, in any event, support the BNS' position on this point. In Regent, supra, unlike the case at bar, recourse had apparently not been lost by the drawee bank, placing the collecting bank in a loss position. Also, the banking agreement between the bank and its customer contained a much broader charge back clause, allowing the bank to charge back funds where a payment was reversed at any time, even if settlement had already been reached. Thus, Regent, supra, does not help the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However, assuming without deciding that the cases do set out a general ability on the part of a collecting bank to charge back funds, in my opinion, clause 4.7 which contemplates the processing of fraudulent instructions and protects the BNS from loss due to the processing of such instructions, supersedes this general right, otherwise, the interpretation of clause 17.3 proposed by counsel for the BNS would rob clause 4.7 of much of its meaning. Instead of setting out the rights of the BNS, clause 4.7 would be rendered an illustrative provision, i.e.: the customer allows the BNS to charge back in circumstances such as those set out in clause 4.7, but, in any event, clause 17.3 provides a general and less fettered right of charge back. I think that the clearer interpretation of clause 4.7 is that it sets out the conditions under which the BNS may charge back from a customer's account and that clause 17.3 provides recourse to other remedies to the extent that they are not expressly changed by other provisions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Thus, I find that by October 30, 2001, final settlement on the deposit of the Counterfeit Cheque had been reached between the BNS and the RBC within the meaning of the terms of the Agreement. Therefore, the RBC lost recourse against the BNS. The Funds went from being a "provisional" credit to being a "final" credit. At that stage the relationship between the BNS and the plaintiffs was that of debtor/creditor. The law provides that a bank may not pay out of a customer's account when it does not have permission to do so: See Clansmen Resources Ltd., supra, White, supra. Accordingly, when the BNS froze, retained and later remitted the Recovered Amount to the RBC without the plaintiff's permission, it acted in breach of its contractual obligations to the plaintiffs and contrary to the law which governs banker/customer relations.</w:t>
      </w:r>
      <w:r>
        <w:rPr>
          <w:rFonts w:ascii="arial" w:eastAsia="arial" w:hAnsi="arial" w:cs="arial"/>
          <w:sz w:val="20"/>
          <w:lang w:val="en-US" w:eastAsia="en-US" w:bidi="ar-SA"/>
        </w:rPr>
        <w:cr/>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Disclosure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The plaintiffs allege that personal information about their business and personal accounts held at the BNS was transferred by the BNS to the RBC in breach of the BNS' common law duty of confidentiality to the plaintiffs and the plaintiffs' right to privacy under the Privacy Act. I will first address the Privacy Act and the PIPEDA before turning to the common law duty counsel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Central to the argument of both parties with respect to the statutory provisions governing a bank's right to disclose information in circumstances such as those in the case at bar is the scope of s. 7 of the PIPEDA. If the BNS demonstrates that it was justified in disclosing the confidential information it did then it will have a "claim of right" that constitutes a defence to the plaintiffs' allegations under s. 1 of the Privacy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 BNS' position under s. 7 of the PIPEDA is based on two subsections, either of which counsel has submitted justify the disclosure of the plaintiffs' personal information. I agree with counsel for the plaintiffs that the BNS has not succeeded in demonstrating that these provisions of the PIPEDA apply in this case. I will deal with each of these subsections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Subsection 7(3)(d)(i) of the PIPEDA provides that disclosure of personal information without knowledge or consent is permissible where the disclosure is made on the initiative of the organization, the disclosure is made to an investigative body; and the organization has reasonable grounds to believe that the information disclosed relates to a breach of an agreement or a contravention of the laws of Canada, a province or a foreign jurisdiction that has been, is being or will be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All three conditions must be met in order to justify the disclosure under s. 7(3)(d)(i). The first condition is not contested by the parties. It is clear that the BNS took the initiative to disclose information. The second and third conditions under s. 7(3)(d)(i) however are contested. I agree with counsel for the plaintiffs that the BNS has not met the second condition and thus cannot rely on s. 7(3)(d)(i).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As noted by counsel for the plaintiffs there is no evidence that the disclosure in this case was made to an investigative body, as there is no evidence that the representatives of the RBC who received the information were designated as BCPIO officers. The only evidence with respect to the use to which the disclosed information was put was reference to the RBC's Statement of Claim in its action against the plaintiffs. Paragraphs 11 to 19 contain personal information of the plaintiffs. The Statement of Claim is not related to the work of an investigative body such as the BCPIO.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Thus, with respect to subsection 7(3)(d)(i), the BNS has not met the second condition set out in that subsection, and as such, cannot rely on the subsection to found a claim of right to the disclosure of the plaintiffs'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Subsection 7(3)(h.2) of the PIPEDA provides that disclosure of personal information without knowledge or consent is permissible where the disclosure is made by an investigative body and the disclosure is reasonable for the purposes related to investigating a breach of an agreement or a contravention of the laws of Canada or a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Counsel for the plaintiffs submitted that the first condition has not been met as the disclosure was not made by an investigative body. The plaintiffs do not dispute the defence submission that the BCPIO is an investigative body under the PIPEDA or that Scheller was designated as a BCPIO officer at the time the Counterfeit Cheque was found to be fraudulent. Rather, the plaintiffs submitted that it was not Scheller, the designated BCPIO officer at the BNS, who made the disclosures complained of to the RBC. In support of this position counsel for the plaintiffs referred to Scheller's testimony that he may have had, but did not specifically recall having conversations with representatives of the RBC on November 9, 2001, with respect to a fax transmitted from the RBC to Scheller, as well as Richards' testimony that he disclosed at least some of the plaintiffs' personal information to the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As of November 9, 2001, the RBC had been given information as to the balance remaining in the plaintiffs' accounts at the BNS, and the names of the principals of BMP Global. However, Scheller testified that he had no recollection of any communications with the RBC on November 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Scheller, did you have any communications at all with the Royal Bank on November 9, 2001?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that I can recall, my lord.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 Now, - And it's your recollection - Or sorry. You have no recollection of dealing with RB - having any direct communications with RBC at all on November 9, 2001,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 I correct in saying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you're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Scheller was shown a copy of an internal e-mail from the RBC which described the steps that had been taken by the RBC and the BNS in tracing the Funds. After looking at this document, he remained unable to recall what, if anything, he disclosed to the RBC. Scheller was also shown a fax from the RBC to him and Mr. Ron Morse, dated November 9, 2001, which asked for confirmation that the Recovered Amount had been frozen. Scheller did not recall having seen the fax.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As noted by counsel for the plaintiffs, Scheller's designation as a BCPIO officer under the PIPEDA is irrelevant unless there is evidence that he was the person who made the subject disclosures. There is evidence, however, that other persons at the BNS made the disclosures. For example, Hyland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book - the book of - the plaintiffs' book of documents. Can you see the RBC statement of - writ of summons and statement of claim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see paragraph 11?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Paragraph what?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Paragraph 11.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Setting out the details of transactions?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Um-hum.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Cheque numbers, amounts, identifying payees, this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kind of thing? Are you able to tell the court how it was that RBC was given that kind of detailed information about my clients' bank accounts?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We would have provided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Who - Who is "we"? Who did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didn't, so likely it was Judie. Or - Or perhaps Jeff, through Judie.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 when was that information provided to RBC?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sure, honestly.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why do you say "likely we did"? How do you - Why do you give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that answer?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guess it's in your - it's their - it's in their material. So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you're just assuming that somebody must have - somebody from Scotiabank gave RBC that information?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I'm assuming,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you'd agree, sir, that that's the kind of information that generally the bank - the customer's bank is expected to keep confidential?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In addition to Wood (if Hyland is correct), Richards also disclosed information to the RBC,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the identity - you knew that the identity of Hashka and Backman was information which was confidential back in November 2001,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Yet, when RBC phoned you up, you disclosed that information, among other things, to RBC,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Without Hashka and Backman's permission,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There is no suggestion that either Wood or Richards are designated BCPIO officers under the PIPEDA and the only person with such designation, Scheller, said he had no recollection of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Scheller does not recall certain communications he may have been involved in on November 9, 2001, and Richards disclosed some personal information to the RBC. Scheller is a BCPIO officer and Richards is not. The BNS has not provided any indication that Scheller was the party disclosing information. This disposes of the BNS' argument based on s. 7(3)(h.2) as the disclosure was not made by an investigative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In summary, the BNS cannot rely on s. 7 of the PIPEDA to justify its disclosure of the plaintiffs'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With respect to the Privacy Act, counsel for the BNS referred to Davis, supra, where the Court of Appeal ruled that s. 1(2) of the Privacy Act does not give an individual an absolute right to privacy. Rather, a claim to privacy must be reasonable in the circumstances. Counsel argued that disclosure by the BNS was permitted under the PIPEDA and hence a claim of right' under s. 1(1) of the Privacy Act and that disclosure was reasonable in the circumstances. Counsel also argued that disclosure was to a limited audience for the purpose of tracking the Recovered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As noted above, I do not think the BNS has demonstrated that the PIPEDA permitted disclosure in this case. For similar reasons I do not think that the BNS can rely on the Privacy Act to permit the disclosure. Section 1(2) of the Privacy Act states that "the nature and degree of privacy to which a person is entitled in a situation or in relation to a matter is that which is reasonable in the circumstances, giving due regard to the lawful interests of others." What is reasonable in the circumstances is that the BNS adhere to its duty of confidentiality as set out in CIBC v. Sayani,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Although the parties agreed that the leading authority on a bank's duty of confidentiality at common law is CIBC v. Sayani, supra, they disagreed on the application of two of the exceptions to the duty of confidentiality set out in that case. These two exceptions are where there is a duty to the public to disclose information, and where the interests of the bank require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 do not think that either of these exceptions permits the disclosure of the personal plaintiffs' account information in this case. The interests of the BNS did not require disclosure as, contrary to the submissions of the BNS' counsel, it was not, and never was in a loss position. As discussed above, once the RBC cleared the Counterfeit Cheque, it had no recourse against the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Furthermore, a duty to the public did not exempt the BNS from their duty of confidentiality in this case. The only connection between the Counterfeit Cheque and the personal plaintiffs was the BMP Account. That the Counterfeit Cheque was cleared in error did not allow the BNS to return the Recovered Amount to the RBC. Furthermore, the plaintiffs were never under investigation for fraud. As such, the BNS cannot argue that disclosure was needed for public protection in a dispute that was essentially between the RBC and the plaintiffs.</w:t>
      </w:r>
      <w:r>
        <w:rPr>
          <w:rFonts w:ascii="arial" w:eastAsia="arial" w:hAnsi="arial" w:cs="arial"/>
          <w:sz w:val="20"/>
          <w:lang w:val="en-US" w:eastAsia="en-US" w:bidi="ar-SA"/>
        </w:rPr>
        <w:cr/>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With respect to whether the documents listed by the plaintiffs were defamatory, I agree with the arguments of counsel for the BNS regarding the first six documents, which are those listed at tabs 45, 46, 50, 51 and 58 of the BNS' book of documents. With the exception of the second document, found at tab 46, and the fifth document, being the first document under tab 58, I do not think that these documents impute any type of fraudulent behaviour to the plaintiffs. Rather, references to fraud are descriptive of the state of affairs that gave rise to the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However, I agree with the plaintiffs that Exhibit 5 is defamatory, and that qualified privilege does not apply to this communication. My reasons for these conclusions are as follows.</w:t>
      </w:r>
      <w:r>
        <w:rPr>
          <w:rFonts w:ascii="arial" w:eastAsia="arial" w:hAnsi="arial" w:cs="arial"/>
          <w:sz w:val="20"/>
          <w:lang w:val="en-US" w:eastAsia="en-US" w:bidi="ar-SA"/>
        </w:rPr>
        <w:cr/>
      </w:r>
    </w:p>
    <w:p>
      <w:pPr>
        <w:numPr>
          <w:numId w:val="1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Tab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This document is the e-mail sent by Scheller to the Bank of Montreal requesting that a grid warning be sent out. I agree with counsel for the BNS that the reference to cheque fraud in the subject line of this e-mail is descriptive of the situation and does not impute any kind of criminal behaviour to the plaintiffs.</w:t>
      </w:r>
      <w:r>
        <w:rPr>
          <w:rFonts w:ascii="arial" w:eastAsia="arial" w:hAnsi="arial" w:cs="arial"/>
          <w:sz w:val="20"/>
          <w:lang w:val="en-US" w:eastAsia="en-US" w:bidi="ar-SA"/>
        </w:rPr>
        <w:cr/>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Tab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With respect to the second document, which is the grid warning itself, if the statements contained therein are defamatory, I do not think responsibility can be laid at the feet of the BNS. The interpretation given to the subject line in the e-mail sent by Scheller requesting the grid warning by the Bank of Montreal was unfortunate, as noted by counsel for the BNS. The Bank of Montreal inaccurately stated that the plaintiffs were under investigation for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However, as counsel for the BNS has also noted, the plaintiffs have not advanced any authority to support the proposition that there was a duty on the BNS to correct the inaccurate grid warning. Given this lack of authority I conclude that the BNS was not obliged to correct the statement of the Bank of Montreal.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As the grid warning was not published by the BNS, the BNS is not responsible for any defamatory character the grid warning may have.</w:t>
      </w:r>
      <w:r>
        <w:rPr>
          <w:rFonts w:ascii="arial" w:eastAsia="arial" w:hAnsi="arial" w:cs="arial"/>
          <w:sz w:val="20"/>
          <w:lang w:val="en-US" w:eastAsia="en-US" w:bidi="ar-SA"/>
        </w:rPr>
        <w:cr/>
      </w:r>
    </w:p>
    <w:p>
      <w:pPr>
        <w:numPr>
          <w:numId w:val="17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Tab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This is a fax sent from the BNS to Citibank requesting that the USD $20,000 payment be stopped. I agree with counsel for the BNS that this document does not mention the plaintiffs and does not impute any criminal behaviour to them. It is merely descriptive of a state of affairs.</w:t>
      </w:r>
      <w:r>
        <w:rPr>
          <w:rFonts w:ascii="arial" w:eastAsia="arial" w:hAnsi="arial" w:cs="arial"/>
          <w:sz w:val="20"/>
          <w:lang w:val="en-US" w:eastAsia="en-US" w:bidi="ar-SA"/>
        </w:rPr>
        <w:cr/>
      </w:r>
    </w:p>
    <w:p>
      <w:pPr>
        <w:numPr>
          <w:numId w:val="1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Tab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This is an e-mail from the BNS to Citibank requesting that the USD $20,000 payment be stopped. As with the document at tab 50, this document did not impute criminality on the part of the plaintiffs. Rather, it requested the reversal of the USD $20,000 payment by Hashka as fraud was suspected. The reference to Hashka in this context was merely descriptive of the payment the BNS sought to reverse.</w:t>
      </w:r>
      <w:r>
        <w:rPr>
          <w:rFonts w:ascii="arial" w:eastAsia="arial" w:hAnsi="arial" w:cs="arial"/>
          <w:sz w:val="20"/>
          <w:lang w:val="en-US" w:eastAsia="en-US" w:bidi="ar-SA"/>
        </w:rPr>
        <w:cr/>
      </w:r>
    </w:p>
    <w:p>
      <w:pPr>
        <w:numPr>
          <w:numId w:val="17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Tab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The first document at this tab, a fax from Scheller to a representative of Citibank, is not defamatory. It, like the documents above, is descriptive of a state of affairs. The only reference to fraud is in describing the Counterfeit Cheque. This description is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second document is an e-mail from Scheller to a representative of Citibank. The e-mail refers to BMP Global and the USD $20,000 wire transfer. The message then states that the RBC is in a loss position as the Funds "were obtained fraudulently." This statement supports the innuendo that the principals of BMP Global were active participants in the processing of a fraudulent cheque and as a result is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Counsel for the BNS argued that this e-mail was sent on an occasion of qualified privilege. The identity of the plaintiffs, where used, assists in identifying the specific transfer of concern and justified given the exigencies of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Earl Loreburn, in Adam, supra, commented as follows on the defence of qualified privilege at p. 320-231: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fact that an occasion is privileged does not necessarily protect all that is said or written on that occasion. Anything that is not relevant and pertinent to the discharge of the duty or the exercise of the right or the safeguarding of the interest which creates the privilege will not be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The BNS cannot rely on the defence of qualified privilege in this circumstance. Qualified privilege does not assist the BNS as, assuming there was a duty on the BNS to inform Citibank of the Counterfeit Cheque, the defamatory statement was not relevant to the discharge of that duty. When identifying the specific transfer in question there was no need to state that the Funds "were obtained fraudulently" with its consequential defamation of the plaintiffs. A simple statement of the parties involved in the transaction, and the details of the transaction itself, as was done in previous communications to Citibank, would have fulfilled that purpose.</w:t>
      </w:r>
      <w:r>
        <w:rPr>
          <w:rFonts w:ascii="arial" w:eastAsia="arial" w:hAnsi="arial" w:cs="arial"/>
          <w:sz w:val="20"/>
          <w:lang w:val="en-US" w:eastAsia="en-US" w:bidi="ar-SA"/>
        </w:rPr>
        <w:cr/>
      </w:r>
    </w:p>
    <w:p>
      <w:pPr>
        <w:numPr>
          <w:numId w:val="17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This was the e-mail message sent by Scheller on February 5, 2002 to the corporate security offices of the Bank of Montreal, the CIBC, the HSBC and the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I agree with the assessment of the first portion of this document provided by counsel for the BNS. The first paragraph through ninth paragraph of the e-mail accurately describe the parties to the transaction and the process the Counterfeit Cheque went through, including all of the plaintiffs. There is no imputation of criminal conduct on the part of the plaintiffs in these paragraphs, nor any statement which I think could be said to defame the plaintiffs. It is the second half of the tenth paragraph of this e-mail that provides some difficulty to the BNS' position that the message is not defamatory. The second half of that paragraph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$20,000 USD Out Going Transfer drawn on the account on November 8, 2001 was made payable to the account of A.U. Salaiman c/o LMB/Prest Square. Thomas Doonan V.P. Citi Bank, New York has confirmed this account was associated to fraud artists in Nigeria and closed. Richard Olson of Fasken Martians &amp; DuMoulin [sic] feels this was a payoff for their involvement in setting up the scam.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This paragraph refers directly to an outgoing transfer from one of the plaintiffs' accounts. In the next sentence Scheller refers to the account being closed due to association with fraud artists and in the final sentence Scheller notes that the transfer was felt to be a payment for setting up the scam.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I think that on its face, the only interpretation that can be given to this paragraph is that the plaintiffs are being implicated in fraudulent conduct, that they have associated with known fraudsters and they set up a scam'. While the message may have been sent out, as suggested by counsel for the BNS, to indicate how banks can be affected by fraud, it also clearly implicates the plaintiffs in fraudulent conduct. This was done, as pointed out by counsel for the plaintiffs, at a time when the BNS knew that the plaintiffs were not, and had never been under investigation for fraud. The only conclusion that can be drawn from the final line is that Hashka sent the sum of USD $20,000 as a payoff for setting up a fraudulent transfer of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On the facts there is publication to four other banks, and the plaintiffs were identified to these banks. Neither of these points are contested by either party. Furthermore, the statement is defamatory as it imputes criminal conduct to the plaintiffs. As such the elements of defamation have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Counsel for the BNS submitted that this document was subject to the defence of qualified privileged as it related to the continuing education between major banks on the consequences of organized crime and counterfeit items. I do not agree. Qualified privilege does not provide a defence to the BNS in this case. Assuming without deciding that communication for the purpose of education between banks is an occasion to which qualified privilege applies, the BNS cannot rely on that privilege in this circumstance. The BNS knew that the plaintiffs had not been under investigation for any criminal conduct, and were not charged at any time with criminal conduct. The BNS cannot claim that it is able to make the statements it did under the heading of an educational exercise given that Scheller, who sent the message, knew by the time the e-mail was sent that the plaintiffs had never been under investigation for fraud. The defamatory statements were not relevant to the discharge of any educational duty and hence not protected by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As such, Exhibit 5 was defamatory and not protected by privilege.</w:t>
      </w:r>
      <w:r>
        <w:rPr>
          <w:rFonts w:ascii="arial" w:eastAsia="arial" w:hAnsi="arial" w:cs="arial"/>
          <w:sz w:val="20"/>
          <w:lang w:val="en-US" w:eastAsia="en-US" w:bidi="ar-SA"/>
        </w:rPr>
        <w:cr/>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The plaintiffs claim that as a result of the actions of the BNS they have suffered pecuniary, non pecuniary and aggravated damages. They also argue that the conduct of the BNS warrants an award of punitive damages.</w:t>
      </w:r>
      <w:r>
        <w:rPr>
          <w:rFonts w:ascii="arial" w:eastAsia="arial" w:hAnsi="arial" w:cs="arial"/>
          <w:sz w:val="20"/>
          <w:lang w:val="en-US" w:eastAsia="en-US" w:bidi="ar-SA"/>
        </w:rPr>
        <w:cr/>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Counsel submitted that the plaintiffs are entitled to be placed in the position they would be in but for the BNS' breach of the Agreement: See S.M. Waddams, The Law of Damages, 3rd ed., (Toronto: Carswell, 1997), at p. 267; Chitty on Contracts, 27th ed., (London: Sweet &amp; Maxwell, 1994), at p. 33. Counsel argued that the plaintiffs are entitled to pecuniary damages in an amount equivalent to the Recovered Amount.</w:t>
      </w:r>
      <w:r>
        <w:rPr>
          <w:rFonts w:ascii="arial" w:eastAsia="arial" w:hAnsi="arial" w:cs="arial"/>
          <w:sz w:val="20"/>
          <w:lang w:val="en-US" w:eastAsia="en-US" w:bidi="ar-SA"/>
        </w:rPr>
        <w:cr/>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Counsel said that in addition to pecuniary damages, the plaintiffs have suffered general damages arising from the BNS'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Due to the BNS' actions, the banks, credit unions and trust companies across Canada and in the United States (Citibank) now have an impression of Hashka and Backman being complicit in bank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Counsel said that Hashka and Backman are relatively young and were at an early stage in developing their business through BMP Global. Whether BMP Global would have ever worked out for them or not or whether, individually or through some other enterprise, they might have pursued other business, the BNS' actions have left a stigma of criminality in the financial community which may last forever. Unlike established and successful business people with a strong track record to fall back on, Hashka and Backman have nothing to fall back on with the financial community on which business people are so dependent.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On assessing damages, the Supreme Court of Canada in Hill v. Church of Scientology, supra, per Cory J. at para. 187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each libel case is unique and that this particular case is in a "class by itself". The assessment of damages in a libel case flows from a particular confluence of the following elements: the nature and circumstances of the publication of the libel, the nature and position of the victim of the libel, the possible effects of the libel statement upon the life of the plaintiff, and the actions and motivations of the defendants. It follows that there is little to be gained from a detailed comparison of libel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Counsel submitted that the factors that need to be considered in assessing damages in this case include:</w:t>
      </w:r>
      <w:r>
        <w:rPr>
          <w:rFonts w:ascii="arial" w:eastAsia="arial" w:hAnsi="arial" w:cs="arial"/>
          <w:sz w:val="20"/>
          <w:lang w:val="en-US" w:eastAsia="en-US" w:bidi="ar-SA"/>
        </w:rPr>
        <w:cr/>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knowledge by the BNS that the defamatory communications were false;</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communications attributed criminal misconduct to the plaintiffs;</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repetition of the subject defamatory communications occurred even after litigation was underway;</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impossibility of measuring the spread and effect of such communications;</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character of the BNS as a respected and authoritative financial institution;</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impossibility for the plaintiffs to effectively counter the defamatory communications; and</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defamatory communications were also in breach of the BNS' duty of confidentiality was accompanied by other information about the plaintiffs which the BNS had a duty to keep confidential.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xml:space="preserve">  Counsel submitted that stating that a person is a suspect and/or under investigation in a criminal matter is very serious and may attract sizable damages: See Brown v. Cole </w:t>
      </w:r>
      <w:hyperlink r:id="rId976" w:history="1">
        <w:r>
          <w:rPr>
            <w:rFonts w:ascii="arial" w:eastAsia="arial" w:hAnsi="arial" w:cs="arial"/>
            <w:i/>
            <w:color w:val="0077CC"/>
            <w:sz w:val="20"/>
            <w:u w:val="single"/>
            <w:shd w:val="clear" w:color="auto" w:fill="FFFFFF"/>
            <w:lang w:val="en-US" w:eastAsia="en-US" w:bidi="ar-SA"/>
          </w:rPr>
          <w:t>(1998), 61 B.C.L.R. (3d) 1</w:t>
        </w:r>
      </w:hyperlink>
      <w:r>
        <w:rPr>
          <w:rFonts w:ascii="arial" w:eastAsia="arial" w:hAnsi="arial" w:cs="arial"/>
          <w:color w:val="000000"/>
          <w:sz w:val="20"/>
          <w:lang w:val="en-US" w:eastAsia="en-US" w:bidi="ar-SA"/>
        </w:rPr>
        <w:t xml:space="preserve"> (C.A.); Lee v. Hopegain Int. Holdings Inc. et al., </w:t>
      </w:r>
      <w:hyperlink r:id="rId977" w:history="1">
        <w:r>
          <w:rPr>
            <w:rFonts w:ascii="arial" w:eastAsia="arial" w:hAnsi="arial" w:cs="arial"/>
            <w:i/>
            <w:color w:val="0077CC"/>
            <w:sz w:val="20"/>
            <w:u w:val="single"/>
            <w:shd w:val="clear" w:color="auto" w:fill="FFFFFF"/>
            <w:lang w:val="en-US" w:eastAsia="en-US" w:bidi="ar-SA"/>
          </w:rPr>
          <w:t>[1997] B.C.J. No. 1633</w:t>
        </w:r>
      </w:hyperlink>
      <w:r>
        <w:rPr>
          <w:rFonts w:ascii="arial" w:eastAsia="arial" w:hAnsi="arial" w:cs="arial"/>
          <w:color w:val="000000"/>
          <w:sz w:val="20"/>
          <w:lang w:val="en-US" w:eastAsia="en-US" w:bidi="ar-SA"/>
        </w:rPr>
        <w:t xml:space="preserve"> (S.C.); Capitanescu v. Universal Weld Overlays Inc. </w:t>
      </w:r>
      <w:hyperlink r:id="rId978" w:history="1">
        <w:r>
          <w:rPr>
            <w:rFonts w:ascii="arial" w:eastAsia="arial" w:hAnsi="arial" w:cs="arial"/>
            <w:i/>
            <w:color w:val="0077CC"/>
            <w:sz w:val="20"/>
            <w:u w:val="single"/>
            <w:shd w:val="clear" w:color="auto" w:fill="FFFFFF"/>
            <w:lang w:val="en-US" w:eastAsia="en-US" w:bidi="ar-SA"/>
          </w:rPr>
          <w:t>(1997), 40 C.C.L.T. (2d) 47</w:t>
        </w:r>
      </w:hyperlink>
      <w:r>
        <w:rPr>
          <w:rFonts w:ascii="arial" w:eastAsia="arial" w:hAnsi="arial" w:cs="arial"/>
          <w:color w:val="000000"/>
          <w:sz w:val="20"/>
          <w:lang w:val="en-US" w:eastAsia="en-US" w:bidi="ar-SA"/>
        </w:rPr>
        <w:t xml:space="preserve"> (Alta. Q.B.).</w:t>
      </w:r>
      <w:r>
        <w:rPr>
          <w:rFonts w:ascii="arial" w:eastAsia="arial" w:hAnsi="arial" w:cs="arial"/>
          <w:sz w:val="20"/>
          <w:lang w:val="en-US" w:eastAsia="en-US" w:bidi="ar-SA"/>
        </w:rPr>
        <w:cr/>
      </w:r>
    </w:p>
    <w:p>
      <w:pPr>
        <w:numPr>
          <w:numId w:val="18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Aggravated damages take into account the additional harm caused by a defendant's insulting, high handed, spiteful, malicious or oppressive conduct. They are compensatory in nature and represent the expression of natural indignation of right thinking people arising from the malicious conduct of the defendant: See Hill v. Church of Scientology, supra,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Counsel submitted that factors to consider include:</w:t>
      </w:r>
      <w:r>
        <w:rPr>
          <w:rFonts w:ascii="arial" w:eastAsia="arial" w:hAnsi="arial" w:cs="arial"/>
          <w:sz w:val="20"/>
          <w:lang w:val="en-US" w:eastAsia="en-US" w:bidi="ar-SA"/>
        </w:rPr>
        <w:cr/>
      </w:r>
    </w:p>
    <w:p>
      <w:pPr>
        <w:numPr>
          <w:numId w:val="18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November, 2001, Richards knew that Hashka and Backman trusted him. He was actually acting as the RBC's collection agent under the guise of being their friendly bank manager;</w:t>
      </w:r>
    </w:p>
    <w:p>
      <w:pPr>
        <w:numPr>
          <w:numId w:val="18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Richards knew that the plaintiffs trusted him, were relatively unsophisticated and of limited means and, as long as he had the plaintiffs believing the funds were being held pending a court order, the BNS could do what it wanted with the Recovered Amount and with the RBC;</w:t>
      </w:r>
    </w:p>
    <w:p>
      <w:pPr>
        <w:numPr>
          <w:numId w:val="18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November 22, 2001, when the BNS evidently agreed to proceed without a court order, Richards indicated he would not release that information to the plaintiffs "... so as to not compromise [the bank's] position".</w:t>
      </w:r>
    </w:p>
    <w:p>
      <w:pPr>
        <w:numPr>
          <w:numId w:val="18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"just following orders" explanation of Richards in a number of areas demonstrated a complete disregard as to the effects of the BNS' conduct on the plaintiffs. Only a high handed and arrogant defendant would be indifferent to the legally separate identity of each plaintiff; the limit on the banks right to charge the BMP Account; the significance of certified cheques; the damage to the reputations of the plaintiffs caused by defamatory communications to other banks; and the impropriety of continuing to defame the plaintiffs after being sued for that very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Counsel submitted that the BNS' conduct exemplifies the type of high handed, arrogant and malicious conduct that aggravated damages are intended to address.</w:t>
      </w:r>
      <w:r>
        <w:rPr>
          <w:rFonts w:ascii="arial" w:eastAsia="arial" w:hAnsi="arial" w:cs="arial"/>
          <w:sz w:val="20"/>
          <w:lang w:val="en-US" w:eastAsia="en-US" w:bidi="ar-SA"/>
        </w:rPr>
        <w:cr/>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Counsel argued that the BNS deliberately acted unlawfully to help a fellow bank and then lied about it in court. Its conduct was outrageous and warrants significant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In her memo to file dated November 14 and 15, 2001 Kinkartz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legally advisable for the branch to freeze the payroll deposits in the personal deposit accounts of the BMP principals as Scotiabank has no legal grounds for freezing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She also states in her e-mail of December 4, 2001 to Wood and Hyland that "... the more prudent approach in the circumstances ..." was to obtain a court order "... directing that such proceeds be transferred to RBC". In other words, she suggested exactly what the RBC had proposed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Counsel contended that the BNS was not about to be deterred by the law nor influenced by the opinion of its own counsel. Until November 22, 2001, Richards believed that the RBC would be seeking a court order and, accordingly, his assurances to the plaintiffs on that point were sincere. However, thereafter, he kept the new plan secret because he was concerned the plaintiffs themselves might seek a court order. Richards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why you say in your fax - in your e-mail, "We do not want to burden them with dealing with the customers' solicitor ...". You see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then you go on to say, "... or make any moves that would compromise our position."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 what position were you worried about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compromising?</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Releasing any funds or doing anything. If a court order had come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Before the break, sir, I was asking you about - Remember your letter of - or your fax to Judie Wood of November 22nd, where you indicated you were concerned about compromising the Scotiabank's position? Remember we were talking about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 yes, sir.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in response to one of my questions to you about that, you indicated that you were concerned there might be some court order come in that might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 say that,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What - What sort of court orders were you worried about in connection with these funds?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Maybe there'd be some action from the plaintiffs.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for instance, some sort of application to the court for an adjudication as to the entitlement to those funds?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possibility.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Counsel submitted that a more clear admission of guilt is seldom to be found. He said that clearly the BNS knew it was acting illegally as, otherwise, how could a court order "compromise [the bank's]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Moreover, counsel said that in the handwritten notes of Kinkartz, dated December 6, 2004, there is reference to the plaintiffs being "non adversarial". This, said counsel, reflects a litigation risk assessment, and such factor has nothing at all to do with the legality of the BNS'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xml:space="preserve">  In Whiten v. Pilot Insurance Co., </w:t>
      </w:r>
      <w:hyperlink r:id="rId800" w:history="1">
        <w:r>
          <w:rPr>
            <w:rFonts w:ascii="arial" w:eastAsia="arial" w:hAnsi="arial" w:cs="arial"/>
            <w:i/>
            <w:color w:val="0077CC"/>
            <w:sz w:val="20"/>
            <w:u w:val="single"/>
            <w:shd w:val="clear" w:color="auto" w:fill="FFFFFF"/>
            <w:lang w:val="en-US" w:eastAsia="en-US" w:bidi="ar-SA"/>
          </w:rPr>
          <w:t>[2002] 1 S.C.R. 595</w:t>
        </w:r>
      </w:hyperlink>
      <w:r>
        <w:rPr>
          <w:rFonts w:ascii="arial" w:eastAsia="arial" w:hAnsi="arial" w:cs="arial"/>
          <w:color w:val="000000"/>
          <w:sz w:val="20"/>
          <w:lang w:val="en-US" w:eastAsia="en-US" w:bidi="ar-SA"/>
        </w:rPr>
        <w:t>, the Supreme Court of Canada set out a number of factors to be considered in determining the appropriateness and size of an award of punitive damages. These include:</w:t>
      </w:r>
      <w:r>
        <w:rPr>
          <w:rFonts w:ascii="arial" w:eastAsia="arial" w:hAnsi="arial" w:cs="arial"/>
          <w:sz w:val="20"/>
          <w:lang w:val="en-US" w:eastAsia="en-US" w:bidi="ar-SA"/>
        </w:rPr>
        <w:cr/>
      </w:r>
    </w:p>
    <w:p>
      <w:pPr>
        <w:numPr>
          <w:numId w:val="18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blameworthiness of the defendants' conduct;</w:t>
      </w:r>
    </w:p>
    <w:p>
      <w:pPr>
        <w:numPr>
          <w:numId w:val="18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degree of vulnerability of the plaintiff;</w:t>
      </w:r>
    </w:p>
    <w:p>
      <w:pPr>
        <w:numPr>
          <w:numId w:val="18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harm or potential harm directed specifically at the plaintiff;</w:t>
      </w:r>
    </w:p>
    <w:p>
      <w:pPr>
        <w:numPr>
          <w:numId w:val="18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need for deterrence;</w:t>
      </w:r>
    </w:p>
    <w:p>
      <w:pPr>
        <w:numPr>
          <w:numId w:val="18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into account the other penalties, both civil an criminal, which have been or are likely to be inflicted on the defendants for the same misconduct; and</w:t>
      </w:r>
    </w:p>
    <w:p>
      <w:pPr>
        <w:numPr>
          <w:numId w:val="18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advantage wrongfully gained by the defendants from the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On the matter of "blameworthiness", at para. 113 the court set out various factors to be considered, including:</w:t>
      </w:r>
      <w:r>
        <w:rPr>
          <w:rFonts w:ascii="arial" w:eastAsia="arial" w:hAnsi="arial" w:cs="arial"/>
          <w:sz w:val="20"/>
          <w:lang w:val="en-US" w:eastAsia="en-US" w:bidi="ar-SA"/>
        </w:rPr>
        <w:cr/>
      </w:r>
    </w:p>
    <w:p>
      <w:pPr>
        <w:numPr>
          <w:numId w:val="1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misconduct was planned and deliberate;</w:t>
      </w:r>
    </w:p>
    <w:p>
      <w:pPr>
        <w:numPr>
          <w:numId w:val="1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intent and motive of the defendant;</w:t>
      </w:r>
    </w:p>
    <w:p>
      <w:pPr>
        <w:numPr>
          <w:numId w:val="1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persisted in the outrageous conduct over a period of time;</w:t>
      </w:r>
    </w:p>
    <w:p>
      <w:pPr>
        <w:numPr>
          <w:numId w:val="1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concealed or attempted to cover up the misconduct;</w:t>
      </w:r>
    </w:p>
    <w:p>
      <w:pPr>
        <w:numPr>
          <w:numId w:val="1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awareness what he or she was doing was wrong; and</w:t>
      </w:r>
    </w:p>
    <w:p>
      <w:pPr>
        <w:numPr>
          <w:numId w:val="18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 profited from its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Counsel said that on the basis of the above criteria, the "blameworthiness" of the BNS is established by the following facts. The actions of the BNS were planned and deliberate and even contrary to its own legal advice. Its motive was to accommodate a powerful fellow bank at the expense of its relatively powerless customers to whom it owed duties and in respect of whom, the BNS did a litigation risk assessment. The BNS' misconduct persisted over a period of time, starting from November 9, 2001, and, as per the performance of defence witnesses, continued throughout trial. The BNS attempted to conceal its misconduct by, inter alia, assuring the plaintiffs and their solicitor in 2001 that the matter would be resolved in the court while actually planning to proceed with the RBC otherwise and through numerous instances of untruthful evidence on discovery and at trial, through non production of relevant documents, through the BNS' failure to call obvious witnesses on certain important facts, all of which indicates a continuing attempt to conceal or cover up certain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Furthermore, counsel said that the BNS knew its actions were wrongful. The BNS profited by $777,336.04. Whether it invested the money in the stock market, or, as it turned out, bought $777,336.04 worth of goodwill from the RBC is immaterial. Finally, the BNS was completely indifferent as to the effect of such actions on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xml:space="preserve">  Counsel submitted that the punishment and deterrent objectives of punitive damages cannot be fulfilled unless the award is large enough to have a significant impact on a particular defendant. He noted that the financial position of a defendant is a factor in determining the size of such award. For example, in connection with a bad faith claim against an insurance company with assets of $10 billion, the court in Clarfield v. Crown Life Insurance Co. </w:t>
      </w:r>
      <w:hyperlink r:id="rId979" w:history="1">
        <w:r>
          <w:rPr>
            <w:rFonts w:ascii="arial" w:eastAsia="arial" w:hAnsi="arial" w:cs="arial"/>
            <w:i/>
            <w:color w:val="0077CC"/>
            <w:sz w:val="20"/>
            <w:u w:val="single"/>
            <w:shd w:val="clear" w:color="auto" w:fill="FFFFFF"/>
            <w:lang w:val="en-US" w:eastAsia="en-US" w:bidi="ar-SA"/>
          </w:rPr>
          <w:t>(2000), 50 O.R. (3d) 696</w:t>
        </w:r>
      </w:hyperlink>
      <w:r>
        <w:rPr>
          <w:rFonts w:ascii="arial" w:eastAsia="arial" w:hAnsi="arial" w:cs="arial"/>
          <w:color w:val="000000"/>
          <w:sz w:val="20"/>
          <w:lang w:val="en-US" w:eastAsia="en-US" w:bidi="ar-SA"/>
        </w:rPr>
        <w:t xml:space="preserve"> (S.C.), per Juriansz J. at p. 726 states: "An immense award would be required to make an economic impact on a company of this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Counsel said that the BNS misconducted itself because it had full indemnity coverage from the RBC. But for this financial arrangement, the RBC would have been faced with the prospect of pursuing a lawful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The BNS' 2003 Financial Summary indicates the BNS' gross revenues in 2003 were approximately $10.4 billion, or roughly $28.5 million per day, or roughly $20,000 per minute, 365 days a year. With this type of defendant, said counsel, only an award on the very highest end could achieve the punishment and deterrent objectives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Counsel submitted that the banking industry needs a strong message from the courts when a bank:</w:t>
      </w:r>
      <w:r>
        <w:rPr>
          <w:rFonts w:ascii="arial" w:eastAsia="arial" w:hAnsi="arial" w:cs="arial"/>
          <w:sz w:val="20"/>
          <w:lang w:val="en-US" w:eastAsia="en-US" w:bidi="ar-SA"/>
        </w:rPr>
        <w:cr/>
      </w:r>
    </w:p>
    <w:p>
      <w:pPr>
        <w:numPr>
          <w:numId w:val="1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makes a calculated "business decision" to break the law, on what appears to be a litigation risk assessment;</w:t>
      </w:r>
    </w:p>
    <w:p>
      <w:pPr>
        <w:numPr>
          <w:numId w:val="1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deliberately misleads its customers into believing the matter would be resolved in court;</w:t>
      </w:r>
    </w:p>
    <w:p>
      <w:pPr>
        <w:numPr>
          <w:numId w:val="1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exploits the trust of their customers for the purpose of covertly assisting a creditor of those customers;</w:t>
      </w:r>
    </w:p>
    <w:p>
      <w:pPr>
        <w:numPr>
          <w:numId w:val="1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sends out more defamatory communications even after being sued and specifically denying such conduct in its defence;</w:t>
      </w:r>
    </w:p>
    <w:p>
      <w:pPr>
        <w:numPr>
          <w:numId w:val="1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prolongs litigation to exploit a great financial imbalance between the parties;</w:t>
      </w:r>
    </w:p>
    <w:p>
      <w:pPr>
        <w:numPr>
          <w:numId w:val="18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produces witnesses who sought to mislead the court in an ongoing effort to conceal important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The integrity of the banking system requires banks to act in good faith with their customers and, when their actions come under scrutiny, with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Counsel submitted that without sizable punitive damages, banks will continue to make the kind of "business decision" they made in this case, especially if, in their litigation risk assessment, they conclude their customers to be "non-adversarial".</w:t>
      </w:r>
      <w:r>
        <w:rPr>
          <w:rFonts w:ascii="arial" w:eastAsia="arial" w:hAnsi="arial" w:cs="arial"/>
          <w:sz w:val="20"/>
          <w:lang w:val="en-US" w:eastAsia="en-US" w:bidi="ar-SA"/>
        </w:rPr>
        <w:cr/>
      </w:r>
    </w:p>
    <w:p>
      <w:pPr>
        <w:numPr>
          <w:numId w:val="18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BNS' POSITION ON DAMAGES</w:t>
      </w:r>
    </w:p>
    <w:p>
      <w:pPr>
        <w:numPr>
          <w:numId w:val="18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Counsel for the BNS argued that the plaintiffs have not established they suffered a loss in the amount of the Recovered Amount and that as a result they should not be awarded this amount in damages. Counsel referred to National Slag, supra, where the court rejected a similar effort to transform a "worthless cheque" into a windfall: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of course, the one day's delay caused the appellant no damage and that delay did not turn a worthless cheque, by some legal legerdemain, into a good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Beyond the plaintiffs' claim for return of the Recovered Amount, the plaintiffs advance a claim for damages arising from the "embarrassment, stress, anxiety and damage to reputations suffered by the plaintiffs caused by the freezing of the plaintiffs' business and personal accounts in November, 2001 and by the BNS' refusal to honour instructions drawn by or on behalf of the plaintiff Backman which had not cleared by November 9, 2001"; and Hashka's inability to process his November 15, 2001 and November 30, 2001 payroll.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Counsel argued that while the BNS takes the position that the conduct complained of does not constitute a breach of contract, the plaintiffs have, in any event, failed to establish that they suffered any loss as a result of the BNS' conduct in freezing the accounts, refusing to honour instructions or preventing Hashka from processing his payroll. In fact, the plaintiffs' own evidence on these issues is that they suffered no loss.</w:t>
      </w:r>
      <w:r>
        <w:rPr>
          <w:rFonts w:ascii="arial" w:eastAsia="arial" w:hAnsi="arial" w:cs="arial"/>
          <w:sz w:val="20"/>
          <w:lang w:val="en-US" w:eastAsia="en-US" w:bidi="ar-SA"/>
        </w:rPr>
        <w:cr/>
      </w:r>
    </w:p>
    <w:p>
      <w:pPr>
        <w:numPr>
          <w:numId w:val="18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to Honour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The instructions issued by Backman which were refused or dishonoured by the BNS consists of four cheques payable to the Salvation Army, Buchanan Lodge and five automatic debits for payments to Quixtar (the supplier for Backman's home-based internet business). Each of these items were paid by Backman by other means. Counsel said that the plaintiffs lead no evidence that Backman incurred any late fees or interest charges with respect to these items. The only service charges associated with these items being returned or dishonoured was one service charge of $13.50. There is no evidence that the BNS informed either Quixtar or the Salvation Army as to the reason why the items were dishonoured or returned. Finally, Backman's evidence was that he continued to do business with Quixtar notwithstanding the return of these items. Backman agreed that the return of the items had no impact on his business with Quixtar with respect to either sales or income.</w:t>
      </w:r>
      <w:r>
        <w:rPr>
          <w:rFonts w:ascii="arial" w:eastAsia="arial" w:hAnsi="arial" w:cs="arial"/>
          <w:sz w:val="20"/>
          <w:lang w:val="en-US" w:eastAsia="en-US" w:bidi="ar-SA"/>
        </w:rPr>
        <w:cr/>
      </w:r>
    </w:p>
    <w:p>
      <w:pPr>
        <w:numPr>
          <w:numId w:val="19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Stress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With respect to the stress and anxiety alleged to have been suffered, Backman confirmed at trial that the following answers provided on discovery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Q538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With respect to the claim for damages for stress and anxiety, were there any medical expenses incurred by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I've done my best to stay away from the doctors.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Q539 So your answer is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I've done the best -- I haven't had to go to the doctors. I've done my best to stay away from them."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Q540</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 other costs associated with a claim for stress and anxiety?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sorts of potential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Q541 Any actual costs incurred, Mr. Backman?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come -- there's been nothing physically with a dollar amount that I could say to you or prove to you that it's gone,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Hashka provided no evidence as to any stress or anxiety experienced by him as a result of the BNS' conduct.</w:t>
      </w:r>
      <w:r>
        <w:rPr>
          <w:rFonts w:ascii="arial" w:eastAsia="arial" w:hAnsi="arial" w:cs="arial"/>
          <w:sz w:val="20"/>
          <w:lang w:val="en-US" w:eastAsia="en-US" w:bidi="ar-SA"/>
        </w:rPr>
        <w:cr/>
      </w:r>
    </w:p>
    <w:p>
      <w:pPr>
        <w:numPr>
          <w:numId w:val="19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Access to Payroll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The BNS conceded that because the freeze was maintained on the Hashka account, Hashka was prevented from having access to the sum of $902.60 deposited to the Hashka Account on November 16, 2001 for the period from November 16, 2001 to November 29, 2001. On November 29, 2001, the freeze on the Hashka Account was removed at which time Hashka was given access to the $902.60.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Counsel said that no evidence was adduced by the plaintiffs to establish that Hashka incurred any interest charges or other costs as a result of not having access to his payroll. Hashka gave the following testimony, on discovery and confirmed at trial,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Q787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Now, my question of you was what damages resulted from you not having access to your payroll during that period of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Damages were substantial. I had to put bills off, I had - I had no money to go around to work even. I couldn't do lots of things that are in my daily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Q788 Did you have to borrow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I borrowed money,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Q789 How much did you have to borrow?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About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Q790 How much money did you borrow?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might have borrowed between $500 to $1,000 if I can recall, but I'm not completely sure who I borrowed it off 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Q791 You don't know who you - borrowed if off a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Could have been a family 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Q792 Did you have to repay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Eventually I had to repay it,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Q793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incur any interest charges for any money borrowed?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Q794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you assessed late fees or interest charges with respect to any accounts that you were unable to pay as a result?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 if I had anything like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Hashka also complained that he was prevented from accessing his November 30, 2001, payroll as a result of the conduct of the BNS. Counsel said that it is important to note, however, that the November 30, 2001, payroll was not deposited to the BNS. Hashka elected to transfer the automatic debit of his payroll to a new account at the HSBC. If the November 30, 2001, payroll had been deposited to the BNS, Hashka would have had immediate access to the funds given that the freeze on the Hashka Account was removed on November 29, 2001. Further, it is not clear why Hashka was not able to arrange for the deposit of his payroll to his new account at HSBC. Particulars of this account indicate that the account was opened on November 15, 2001.</w:t>
      </w:r>
      <w:r>
        <w:rPr>
          <w:rFonts w:ascii="arial" w:eastAsia="arial" w:hAnsi="arial" w:cs="arial"/>
          <w:sz w:val="20"/>
          <w:lang w:val="en-US" w:eastAsia="en-US" w:bidi="ar-SA"/>
        </w:rPr>
        <w:cr/>
      </w:r>
    </w:p>
    <w:p>
      <w:pPr>
        <w:numPr>
          <w:numId w:val="19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Disclosure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Counsel submitted that if the court concludes that the BNS' conduct constitutes an invasion of the plaintiffs' privacy, any damages awarded to the plaintiffs should be nominal.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xml:space="preserve">  In Insurance Corporation of British Columbia v. Somosh </w:t>
      </w:r>
      <w:hyperlink r:id="rId980" w:history="1">
        <w:r>
          <w:rPr>
            <w:rFonts w:ascii="arial" w:eastAsia="arial" w:hAnsi="arial" w:cs="arial"/>
            <w:i/>
            <w:color w:val="0077CC"/>
            <w:sz w:val="20"/>
            <w:u w:val="single"/>
            <w:shd w:val="clear" w:color="auto" w:fill="FFFFFF"/>
            <w:lang w:val="en-US" w:eastAsia="en-US" w:bidi="ar-SA"/>
          </w:rPr>
          <w:t>(1983), 51 B.C.L.R. 344</w:t>
        </w:r>
      </w:hyperlink>
      <w:r>
        <w:rPr>
          <w:rFonts w:ascii="arial" w:eastAsia="arial" w:hAnsi="arial" w:cs="arial"/>
          <w:color w:val="000000"/>
          <w:sz w:val="20"/>
          <w:lang w:val="en-US" w:eastAsia="en-US" w:bidi="ar-SA"/>
        </w:rPr>
        <w:t xml:space="preserve"> (S.C.), damages of $1,000 were awarded where an investigator hired by the defendant Insurance Corporation of British Columbia telephoned the plaintiff's place of employment and made inquiries as to his earnings and personal habits. The plaintiffs in Lee v. Jacobson </w:t>
      </w:r>
      <w:hyperlink r:id="rId981" w:history="1">
        <w:r>
          <w:rPr>
            <w:rFonts w:ascii="arial" w:eastAsia="arial" w:hAnsi="arial" w:cs="arial"/>
            <w:i/>
            <w:color w:val="0077CC"/>
            <w:sz w:val="20"/>
            <w:u w:val="single"/>
            <w:shd w:val="clear" w:color="auto" w:fill="FFFFFF"/>
            <w:lang w:val="en-US" w:eastAsia="en-US" w:bidi="ar-SA"/>
          </w:rPr>
          <w:t>(1992), 87 D.L.R. (4th) 401</w:t>
        </w:r>
      </w:hyperlink>
      <w:r>
        <w:rPr>
          <w:rFonts w:ascii="arial" w:eastAsia="arial" w:hAnsi="arial" w:cs="arial"/>
          <w:color w:val="000000"/>
          <w:sz w:val="20"/>
          <w:lang w:val="en-US" w:eastAsia="en-US" w:bidi="ar-SA"/>
        </w:rPr>
        <w:t xml:space="preserve"> (B.C.S.C.), were awarded $2,000 and $5,000 respectively when the defendant landlord spied on them in a cabin they rented through a peephole and two-way mirror in the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Counsel said that given the above authorities, and with reference to the BNS' good faith efforts to advise other financial institutions that funds related to specific individuals or corporations may be the product of a counterfeit cheque, damages in the de minimus range are appropriate.</w:t>
      </w:r>
      <w:r>
        <w:rPr>
          <w:rFonts w:ascii="arial" w:eastAsia="arial" w:hAnsi="arial" w:cs="arial"/>
          <w:sz w:val="20"/>
          <w:lang w:val="en-US" w:eastAsia="en-US" w:bidi="ar-SA"/>
        </w:rPr>
        <w:cr/>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The manner in which damages will be assessed for defamation is canvassed by the Supreme Court of Canada in Hill v. Church of Scientology, supra. At para. 187, which is reproduced above, the court emphasized that each libel case is unique and depends on its particular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xml:space="preserve">  However, as a general principle, the award of damages for defamation should be modest. In Taylor-Wright v. CHBC-TV, a Division of WIC Television Ltd., </w:t>
      </w:r>
      <w:hyperlink r:id="rId982" w:history="1">
        <w:r>
          <w:rPr>
            <w:rFonts w:ascii="arial" w:eastAsia="arial" w:hAnsi="arial" w:cs="arial"/>
            <w:i/>
            <w:color w:val="0077CC"/>
            <w:sz w:val="20"/>
            <w:u w:val="single"/>
            <w:shd w:val="clear" w:color="auto" w:fill="FFFFFF"/>
            <w:lang w:val="en-US" w:eastAsia="en-US" w:bidi="ar-SA"/>
          </w:rPr>
          <w:t>[2000] B.C.J. No. 2317</w:t>
        </w:r>
      </w:hyperlink>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2000 BCCA 629</w:t>
        </w:r>
      </w:hyperlink>
      <w:r>
        <w:rPr>
          <w:rFonts w:ascii="arial" w:eastAsia="arial" w:hAnsi="arial" w:cs="arial"/>
          <w:color w:val="000000"/>
          <w:sz w:val="20"/>
          <w:lang w:val="en-US" w:eastAsia="en-US" w:bidi="ar-SA"/>
        </w:rPr>
        <w:t>, at para. 68,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should be noted in any comparative analysis of awards is that the decision in Brown v. Cole lends no support to the notion that damages for defamation should now depart from the relatively modest level which has historically prevailed in this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Having regard to the legal principles governing the award of damages in defamation and the particular facts in the instant case, counsel submitted that the award of damages, if any, should be at the very low end of any range.</w:t>
      </w:r>
      <w:r>
        <w:rPr>
          <w:rFonts w:ascii="arial" w:eastAsia="arial" w:hAnsi="arial" w:cs="arial"/>
          <w:sz w:val="20"/>
          <w:lang w:val="en-US" w:eastAsia="en-US" w:bidi="ar-SA"/>
        </w:rPr>
        <w:cr/>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and Circumstances of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Counsel said that the plaintiffs have pointed to no evidence that would indicate publication beyond the corporate security offices of various banks and credit unions in the Lower Mainland and Citibank. In other words, said counsel, this is a very limited publication to a group that had an interest in receiving the balance of the information contained in the publication. No publication was intended to be vindictive. Instead, any publication by the BNS was made during good faith efforts to trace the Funds. The publications made by the BNS were made either as a warning, call for assistance or as an educational tool. In each circumstance, the publication occurred either as a necessary descriptor of the activity in question or through inadvertence. Certainly this does not reveal an attempt by the BNS to damage the plaintiffs personally or professionally.</w:t>
      </w:r>
      <w:r>
        <w:rPr>
          <w:rFonts w:ascii="arial" w:eastAsia="arial" w:hAnsi="arial" w:cs="arial"/>
          <w:sz w:val="20"/>
          <w:lang w:val="en-US" w:eastAsia="en-US" w:bidi="ar-SA"/>
        </w:rPr>
        <w:cr/>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and Position of the Victim of the Libel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Counsel said that the plaintiffs were moderately successful businessmen prior to their receipt of the Counterfeit Cheque. They did not hold office and were not influential or well known members of the political or professional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The evidence revealed that BMP Global was operating at a loss as at the most recent tax filing in 2001. BMP Global did not file income tax returns for the years 2001 or 2002 and no financial statements were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The invoices produced by BMP Global for all sales for the period 2001 and 2002 record sales of $6,254.51, revealing that BMP Global was, at the most, a very modest enterprise. The evidence also revealed that BMP Global had gross earnings in 2001 and 2002 that were reflective of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The BMP Global American Express account had an outstanding debt of $10,000 at the time the plaintiffs received the Counterfeit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There is no evidence that 636651 was ever a going concern or had a reputation to protect. For that matter, counsel said, the plaintiffs have failed to adduce evidence that 636651 was ever associated with any brand, product, service or was used by the plaintiffs for any purpose.</w:t>
      </w:r>
      <w:r>
        <w:rPr>
          <w:rFonts w:ascii="arial" w:eastAsia="arial" w:hAnsi="arial" w:cs="arial"/>
          <w:sz w:val="20"/>
          <w:lang w:val="en-US" w:eastAsia="en-US" w:bidi="ar-SA"/>
        </w:rPr>
        <w:cr/>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Possible Effects of the Libel upon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While Hill v. Church of Scientology, supra, asks what the possible effects of the statement are, counsel said that it is instructive, for the purpose of considering the possible effect, to examine the actual effects of the allegedly defamatory statement. In the present case, the evidence at trial revealed that the plaintiffs have not suffered professionally as a result of any allegedly defamatory statements by the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The plaintiffs offered no evidence of any difficulties they experienced dealing with financial institutions as at the date of trial, with the exception of limited difficulties experienced by Backman. However, any evidence as to difficulties Backman had with financial institutions must be assessed in light of Backman's financial history. Backman testified that his RBC Visa and his CIBC Visa accounts were both in collection and he paid these accounts in cash from the Funds to secure preferential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As well, Backman's explanation for his difficulty in securing a line of credit at the Vantel Credit Union included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we have to do our income tax returns and all that stuff, that - you know, to show that we have an income, and things like that.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Backman testified that his business with Quixtar was not effected by the events of November, 2001, and he continued to enjoy the benefits of his place on the ethics committee of the Salvation Army.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There is no evidence that Hashka suffered professionally as a result of the actions of the BNS. Indicative of his relationship and reputation within the financial services community, Hashka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you're presently employed in another area.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what's that all about?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work with TD Canada Trust First - and First Data MasterCard and I work on Interac, Visa and MasterCard merchant services. So I set up merchants with Interac, Visa and MasterCard.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how long have you been doing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started that in November of 2000.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As well, Hashka adopted his discovery testimony that his income increased in 2002 as compared to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we have a reviewed those records for 2001 and 2002. And you might want to confirm that you made more moneys in 2002 than you did in 2001, and I'd ask you to agree?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 suggest to you that the events in issue in this action in November - October and November of 2001 did not result in a decline of your employment income, did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 doesn't look like it did,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Counsel contended that there is no reason to believe that the plaintiffs' professional interests will be effected by the actions of the BNS. The publication was to a limited audience that did not include customers or potential customers of BMP Global. There is no evidence to suggest that the statements moved beyond the confines of the banking world or that the statements will impede BMP Global in the conduct of its business as a commercial distributor or any other commercial undertaking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Counsel submitted that the only notoriety generated as a result of the Counterfeit Cheque and the consequences thereof were newspaper articles, which were published as a result of the action commenced by the plaintiffs. Any discomfort the plaintiffs experienced as a consequence of this action cannot be visited upon the BNS since the plaintiffs are responsible for its commencement.</w:t>
      </w:r>
      <w:r>
        <w:rPr>
          <w:rFonts w:ascii="arial" w:eastAsia="arial" w:hAnsi="arial" w:cs="arial"/>
          <w:sz w:val="20"/>
          <w:lang w:val="en-US" w:eastAsia="en-US" w:bidi="ar-SA"/>
        </w:rPr>
        <w:cr/>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Actions and Motivations of the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Scheller testified why he requested a grid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had reasonable grounds to believe that a fraudulent cheque had been deposited into a Scotiabank account. The monies had been dispersed out of the account, and Scotiabank was in a loss position. We were looking to recover the --- the dispersed funds out of the account.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The motivation behind each of the remaining documents is similar: Tab 46 was a request for assistance to other corporate security departments; Tabs 50, 51 and 58 were communications made in an attempt to recover or trace a payment of USD $20,000. Exhibit 5 is an educational tool employed by Scheller.</w:t>
      </w:r>
      <w:r>
        <w:rPr>
          <w:rFonts w:ascii="arial" w:eastAsia="arial" w:hAnsi="arial" w:cs="arial"/>
          <w:sz w:val="20"/>
          <w:lang w:val="en-US" w:eastAsia="en-US" w:bidi="ar-SA"/>
        </w:rPr>
        <w:cr/>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xml:space="preserve">  Counsel argued that the absence of any concrete loss by the plaintiffs provides a full answer to the claim of aggravated damages advanced by the plaintiffs. Aggravated damages are compensatory in nature and may only be awarded for that purpose: See Vorvis v. Insurance Corporation of British Columbia, </w:t>
      </w:r>
      <w:hyperlink r:id="rId796"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Given that the plaintiffs have suffered no loss, there is no basis for an award of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The general principles and practice relating to the award of punitive damages were summarized in the judgment of Binnie J. in Whiten, supra, at paras. 66 to 76. The conclusions of Binnie J. may be summarized as follows:</w:t>
      </w:r>
      <w:r>
        <w:rPr>
          <w:rFonts w:ascii="arial" w:eastAsia="arial" w:hAnsi="arial" w:cs="arial"/>
          <w:sz w:val="20"/>
          <w:lang w:val="en-US" w:eastAsia="en-US" w:bidi="ar-SA"/>
        </w:rPr>
        <w:cr/>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control over when punitive damages are to be awarded does not lie in establishing categories of cases but in "rationally determining circumstances that warrant the addition of punishment to compensation in a civil action".</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general objectives of punitive damages are punishment, deterrence and denunciation.</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vehicle of punishment is the criminal law and regulatory offences and punitive damages should be resorted to only in exceptional cases and with restraint.</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traditional pejorative terms (such as "high-handed") provide insufficient guidance to the judge or jury.</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promote rationality, the court should relate the facts of the particular case to the underlying purposes of punitive damages and ask itself how, in particular, an award would further one or other of the objectives of the law, and what is the lowest award that would serve the purpose.</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rational to use punitive damages to relieve a wrongdoer of its profit where compensatory damages would amount to a licence fee.</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approach to the award of punitive damages should not be mechanical or formulaic.</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governing rule for quantum is proportionality.</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not at large and an appellate court is entitled to intervene if the award exceeds the outer boundaries of a rational and measured response to the facts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Binnie J. went on to give guidance as to the appropriate charge to be given to a jury in a case where there is a claim for punitive damages. At para. 94,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this end, not only should the pleadings of punitive damages be more rigorous in the future than in the past (see para. 87 above), but it would be helpful if the trial judge's charge to the jury included words to convey any understanding of the following points, even at the risk of some repetition for emphasis. (1) Punitive damages are very much the exception rather than the rule, (2) imposed only if there has been high-handed, malicious, arbitrary or highly reprehensible misconduct that departs to a marked degree from ordinary standards of decent behaviour. (3) Where they are awarded, punitive damages should be assessed in an amount reasonably proportionate to such facts as the harm caused, the degree of the misconduct, the relative vulnerability of the plaintiff and any advantage or profit gained by the defendant, (4) having regard to any other fines or penalties suffered by the defendant for the misconduct in question. (5) Punitive damages are generally given only where the misconduct would otherwise be unpunished or where other penalties are or are likely to be inadequate to achieve the objectives of retribution, deterrence and denunciation. (6) Their purpose is not to compensate the plaintiff, but (7) to give a defendant his or her just desert (retribution), to deter the defendant and others from similar misconduct in the future (deterrence), and to mark the community's collective condemnation (denunciation) of what has happened. (8) Punitive damages are awarded only where compensatory damages, which to some extent are punitive, are insufficient to accomplish these objectives, and (9) they are given in an amount that is no greater than necessary to rationally accomplish their purpose. (10) While normally the state would be the recipient of any fine or penalty for misconduct, the plaintiff will keep punitive damages as a "windfall" in addition to compensatory damages. (11) Judges and juries in our system have usually found that moderate awards of punitive damages, which inevitably carry a stigma in the broader community, are generally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Counsel said that it should also be noted that punitive damages are typically recoverable in breach of contract cases only where the defendant's conduct said to give rise to the claim is itself an "actionable wrong". That is, punitive damages are typically not recoverable for a breach of contract unless the conduct constituting the breach is also a tort for which punitive damages are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Counsel submitted that a consideration of the relevant factors set out in Whiten, supra, and the principle set down in Vorvis, supra, leads to the conclusion that punitive damages are not justified in the instant case. The conduct of the BNS does not constitute an independent wrong and punitive damages are not rationally required as a deterrent. In particular, there was no intent to injure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The principal basis upon which the plaintiffs claim to be entitled to an award for punitive damages arises from the allegation that the BNS had knowledge that, absent a court order, it was unlawful to transfer the Recovered Amount to the RBC. In addition, the plaintiffs cite the conduct of the BNS during trial as a basis for the award of punitive damages. In particular, the plaintiffs claim that punitive damages should be awarded because (i) the BNS lied to the court about its unlawfulness; and (ii) the BNS failed to produce relevant documents and obvious witnesses in an attempt to conceal or "cover up"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Counsel argued that evidence with respect to allegations that the BNS knew a certain course of action was contrary to law and nevertheless proceeded on that course is entirely unavailable despite several motions for the production of privileged documents and lengthy cross-examinations of Richards, Hyland and Scheller. To the contrary, the BNS recovered funds in the manner disclosed by the evidence because they were advised that they were justified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Counsel submitted that the evidence of Hyland established that the BNS made a business decision to recover funds from the plaintiffs' accounts and return them to the RBC. Hyland testified that the BNS' legal counsel advised that the BNS was justified in proceeding as they did. The evidence further established that banks exchange indemnity agreements for counterfeit funds in the ordinary course of their business and there was nothing unusual about the agreement between the BNS and the RBC. In remitting the counterfeit funds in exchange for an indemnity from the RBC rather than a court order, the BNS was taking into account the business practices of banks when confronted with counterfeit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Counsel said that privileged documents disclosed pursuant to my order made on January 19, 2004, revealed that Kinkartz would have preferred that the BNS proceed by manner of a court order. However, counsel said, the reasons therefore were not the unavailability of a court order, but rather that the Revised Indemnity Agreement did not prevent the BNS' participation in a civil proceeding over right and title to the monies. There is no suggestion in any documents that the BNS conspired with the RBC despite knowledge of a state of affairs the plaintiffs' claim represents the law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Counsel said that while assisting the RBC in the recovery of the counterfeit funds, the BNS acted cautiously and deliberately while providing an appropriate level of information to the plaintiffs in the circumstances. Once the authenticity of the Counterfeit Cheque had been established, the BNS advised the plaintiffs' solicitor accordingly and returned the Recovered Amount to the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Counsel said that contrary to the plaintiffs' allegations, evidence disclosing that the BNS knowingly, deliberately or otherwise acted unlawfully to assist the RBC is lacking. The allegation that the BNS proceeded one step further and lied to the court about its unlawfulness is wholly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During the BNS' efforts to recover the Funds, it froze a payroll deposit in the personal account of Hashka. These funds were not remitted to the RBC and Hashka was prevented from having access to the sum of $902.60 from the date the deposit was made on Friday, November 16, 2001, to Friday, November 29, 2001, when the freeze on Hashka's personal account was removed. Counsel said that it is relevant to note that Richards was away from November 23, 2001, to November 28, 2001. Immediately upon his return the freeze was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Hashka gave evidence that he did not suffer pecuniary damages as a result of being denied access to the payroll funds for the two-week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Counsel submitted that on this discreet issue (the freezing of $902.60 in Hashka's account), the evidence suggests that in-house counsel for the BNS was of the view that it was not legally advisable for the BNS to freeze Hashka's payroll deposit. This advice is reflected in an internal memo to file. However, said counsel, it is not clear on the evidence that this advice was communicated to the Branch. Scheller and Richards testified that they were not provided with a copy of this memo.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Counsel argued that applied to a standard of perfection, Hashka would have been provided with access to his payroll funds immediately following their deposit. Counsel said that as this case demonstrates, the deposit of a counterfeit item has the potential to cause significant disruption in the ordinary course of an individual or corporation's business. Counsel said that the deposit of the Counterfeit Cheque and subsequent recovery attempts of the Recovered Amount caused significant inconvenience and loss to the RBC, the BNS and other banks and financial institutions. Hashka was also inconvenienced by the fraud. He was denied access to his payroll deposit for a two week period. This does not warrant an award of punitive damages against the BNS.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Finally, argued counsel, as to the plaintiffs' claim that the BNS has failed to produce documents and witnesses throughout trial, the court has made two previous orders concerning the production of documents, including privileged documents; the affidavit evidence and the proceedings at trial reveal the careful, deliberate and professional manner in which the BNS has undertaken its document production. Counsel said that there is simply no foundation to the plaintiff's allegation that the BNS has failed to produce relevant documents.</w:t>
      </w:r>
      <w:r>
        <w:rPr>
          <w:rFonts w:ascii="arial" w:eastAsia="arial" w:hAnsi="arial" w:cs="arial"/>
          <w:sz w:val="20"/>
          <w:lang w:val="en-US" w:eastAsia="en-US" w:bidi="ar-SA"/>
        </w:rPr>
        <w:cr/>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 ON DAMAGES</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w:t>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Recovered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In S.M. Waddams, The Law of Damages, supra, at p. 267, the learned author states, "... it is usually said that the object of compensatory damages is to put the party complaining in the position that would have been occupied if the wrong had not been done' or if his rights had been observed'." In Chitty on Contracts, supra, at p. 33, the learned author states, "... the function of damages in contract is primarily to put the injured party as far as possible in the position in which he would have been had the contract been performed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In the case at bar, I find that the plaintiffs are entitled to pecuniary damages. On November 9, 2001, the plaintiffs suffered a loss of their right to demand repayment from the BNS of the BNS' debt to them by reason of the BNS' wrongful charge backs against their respective bank accounts in the total amount of $776,650.48, and specifically as follows:</w:t>
      </w:r>
      <w:r>
        <w:rPr>
          <w:rFonts w:ascii="arial" w:eastAsia="arial" w:hAnsi="arial" w:cs="arial"/>
          <w:sz w:val="20"/>
          <w:lang w:val="en-US" w:eastAsia="en-US" w:bidi="ar-SA"/>
        </w:rPr>
        <w:cr/>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$350,188.65 against BMP Global</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$17,711.17 against Backman</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$ 2,645.79 against Backman</w:t>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$13,104.87 against Hashka</w:t>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$393,000 against 636651 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The BNS also wrongfully reversed bill payments from the BMP Global account in the amount of $685.56. As a result the plaintiffs have suffered pecuniary damages equal to the Recovered Amount: $777,336.04.</w:t>
      </w:r>
      <w:r>
        <w:rPr>
          <w:rFonts w:ascii="arial" w:eastAsia="arial" w:hAnsi="arial" w:cs="arial"/>
          <w:sz w:val="20"/>
          <w:lang w:val="en-US" w:eastAsia="en-US" w:bidi="ar-SA"/>
        </w:rPr>
        <w:cr/>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to Honour Instructions and Access to Payroll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Mr. Hashka has not proven that any damage was sustained as a result of the freezing of his payroll deposit. However, due to the refusal to honour four cheques written by Backman, and five payments to his company, Backman was required to pay one late charge of $13.50. He is entitled to recover this amount.</w:t>
      </w:r>
      <w:r>
        <w:rPr>
          <w:rFonts w:ascii="arial" w:eastAsia="arial" w:hAnsi="arial" w:cs="arial"/>
          <w:sz w:val="20"/>
          <w:lang w:val="en-US" w:eastAsia="en-US" w:bidi="ar-SA"/>
        </w:rPr>
        <w:cr/>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Stress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The plaintiffs have not shown they suffered damages in relation to stress or anxiety.</w:t>
      </w:r>
      <w:r>
        <w:rPr>
          <w:rFonts w:ascii="arial" w:eastAsia="arial" w:hAnsi="arial" w:cs="arial"/>
          <w:sz w:val="20"/>
          <w:lang w:val="en-US" w:eastAsia="en-US" w:bidi="ar-SA"/>
        </w:rPr>
        <w:cr/>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Disclosure of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With respect to the plaintiffs' claim for damages pursuant to the breach of confidentiality under the Privacy Act they are claiming for losses arising from interference by the BNS with their businesses and damage to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I agree with counsel for the BNS that the damages awarded to the plaintiffs for the BNS' contravention of the Privacy Act should be low. The communication was to a limited audience, comprised exclusively of other banks rather than the public at large. Furthermore, I agree with counsel for the BNS that the plaintiffs have not clearly shown that there was any damage to their reputations or that there will be any long lasting detrimental effect due to the disclosure. In the result, I fix the plaintiffs' damages at $2,500.</w:t>
      </w:r>
      <w:r>
        <w:rPr>
          <w:rFonts w:ascii="arial" w:eastAsia="arial" w:hAnsi="arial" w:cs="arial"/>
          <w:sz w:val="20"/>
          <w:lang w:val="en-US" w:eastAsia="en-US" w:bidi="ar-SA"/>
        </w:rPr>
        <w:cr/>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With respect to the plaintiffs' claim for defamation, I concluded above that only two documents (the second document at tab 58 and Exhibit 5) were defamatory. The factors weighing in favour of a substantial award in this case are outweighed by those militating in favour of a smaller award. It is true that the two documents implicated the plaintiffs in a fraudulent activity. This type of allegation is among the most serious that can be made: See Capitanescu, supra, at para. 27. However, the statements were made to a very limited audience, and without, I think, the intention of causing economic harm to the plaintiffs. As such, I find that a lower damage award is appropriate. I fix the plaintiffs' damages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I make no award for aggravated damages as I find that the plaintiffs have not made out a case that the BNS was guilty of the factors listed by Cory J. at paras. 188 - 189 in Hill v. Church of Scientology, supra.</w:t>
      </w:r>
      <w:r>
        <w:rPr>
          <w:rFonts w:ascii="arial" w:eastAsia="arial" w:hAnsi="arial" w:cs="arial"/>
          <w:sz w:val="20"/>
          <w:lang w:val="en-US" w:eastAsia="en-US" w:bidi="ar-SA"/>
        </w:rPr>
        <w:cr/>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At para. 94 of Whitten, supra, Binnie J. stated that punitive damages are imposed only if there has been high handed, malicious, arbitrary or highly reprehensible misconduct that departs to a marked degree from the ordinary standards of decent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There is no doubt on the evidence that the decision by the BNS to freeze, retain and remit the Recovered Amount to the RBC was planned, deliberate and against the advice of Kinkartz who counselled a prudent approach of first seeking a court order. Moreover, it is clear from Richards' testimony that the BNS did not want to provide the plaintiffs with notice of its decision to remit the Recovered Amount to the RBC without a court order as to do so might trigger an application by the plaintiffs to the court for a ruling on their entitlement to the Recovered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While I think that the BNS should have been frank, forthright and transparent with the plaintiffs regarding its discussions with the RBC, rather than lulling the plaintiffs into the false impression that they would have their day in court on the issue of their entitlement to the Recovered Amount, I do not think the plaintiffs have made out a case for punitive damages. In my opinion, the evidence does not go far enough for me to conclude that the behaviour of the BNS in making a business decision to enter into the Revised Indemnity Agreement was vindictive, reprehensible or malicious toward the plaintiffs. While the BNS' business decision to remit the Recovered Amount to the RBC without a court order may have satisfied the RBC's bird in the hand approach to dealing with the issue of the plaintiffs' entitlement to the Recovered Amount and the BNS' desire to assist a fellow banker, I have found that the BNS' decision was wrong in law. The consequences of the BNS deciding to remit the Recovered Amount to the RBC without a court order has led to this lawsuit against it. I do not think that in addition to an order that the BNS pay the plaintiffs pecuniary and general damages that the court need make an award of punitive damages against the BNS as a form of deterrence or denunciation.</w:t>
      </w:r>
      <w:r>
        <w:rPr>
          <w:rFonts w:ascii="arial" w:eastAsia="arial" w:hAnsi="arial" w:cs="arial"/>
          <w:sz w:val="20"/>
          <w:lang w:val="en-US" w:eastAsia="en-US" w:bidi="ar-SA"/>
        </w:rPr>
        <w:cr/>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The plaintiffs are entitled to the following relief:</w:t>
      </w:r>
      <w:r>
        <w:rPr>
          <w:rFonts w:ascii="arial" w:eastAsia="arial" w:hAnsi="arial" w:cs="arial"/>
          <w:sz w:val="20"/>
          <w:lang w:val="en-US" w:eastAsia="en-US" w:bidi="ar-SA"/>
        </w:rPr>
        <w:cr/>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 in the amount of $777,336.04 payable to the plaintiffs;</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late charge in the amount of $13.50 payable to Backman;</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$7,500 in general damages for the BNS' wrongful disclosure of information and defamation of the plaintiffs;</w:t>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If an agreement on costs cannot be reached, the parties have liberty to apply for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7"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3"/>
          <w:headerReference w:type="default" r:id="rId984"/>
          <w:footerReference w:type="even" r:id="rId985"/>
          <w:footerReference w:type="default" r:id="rId986"/>
          <w:headerReference w:type="first" r:id="rId987"/>
          <w:footerReference w:type="first" r:id="rId9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9" w:history="1">
        <w:r>
          <w:rPr>
            <w:rFonts w:ascii="arial" w:eastAsia="arial" w:hAnsi="arial" w:cs="arial"/>
            <w:b/>
            <w:bCs/>
            <w:i/>
            <w:color w:val="0077CC"/>
            <w:kern w:val="32"/>
            <w:sz w:val="28"/>
            <w:szCs w:val="32"/>
            <w:u w:val="single"/>
            <w:shd w:val="clear" w:color="auto" w:fill="FFFFFF"/>
            <w:lang w:val="en-US" w:eastAsia="en-US" w:bidi="ar-SA"/>
          </w:rPr>
          <w:t>Bower v. Rosicky, [2000] B.C.J. No. 166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Cranbrook Registry No. 9475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94 A.C.W.S. (3d) 286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Matilda Jane Bower and Herbert Sidney Bower, plaintiffs, and Anton Dave Rosicky, Ray Banta, and Darlene Lois Larsen,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8"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1" w:name="Keywords_28"/>
      <w:bookmarkEnd w:id="231"/>
      <w:r>
        <w:rPr>
          <w:rFonts w:ascii="arial" w:eastAsia="arial" w:hAnsi="arial" w:cs="arial"/>
          <w:b/>
          <w:color w:val="000000"/>
          <w:sz w:val="20"/>
          <w:lang w:val="en-US" w:eastAsia="en-US" w:bidi="ar-SA"/>
        </w:rPr>
        <w:t>Damages — Torts affecting land and buildings — Normal measure — Trespass — Destruction of trees — Occupation and use — Measure of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2" w:name="Case Summary_26"/>
            <w:bookmarkEnd w:id="2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plaintiff Bower for summary judgment on his action for damages from Rosicky and others. Rosicky, Banta and Larsen accidentally entered onto Bower's property and Banta cut down his trees. The trees were on Bower's ranch and Bower argued that the 17 trees cut down formed part of the standing value of the ranch. He claimed that it would cost $18,500 to replace the trees with trees of comparable size. A forestry professional stated that the trees had a value of $231 and that there was no reduction to the value of Bower's property as a result of the removal of the trees.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3" w:name="Holdings of Court_23"/>
            <w:bookmarkEnd w:id="23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Bower was entitled to $331 in damages. Of this figure, $231 represented the value of the removed trees and $100 represented damages for trespass. The removed trees represented a very small area of trees in relation to the rest of the ranch and there was no reduction to the value of Bower's property. There was also no need for Bower to replace the trees. Since the injury was minor, it was not appropriate to grant Bower's desired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4" w:name="Legislation Cited_16"/>
      <w:bookmarkEnd w:id="2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9"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Civil Procedure,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5" w:name="Counsel_40"/>
      <w:bookmarkEnd w:id="2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0"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T.G. Colgur, for the plaintiffs. G.S. Majic, Q.C.,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6" w:name="Judgment_40"/>
      <w:bookmarkEnd w:id="236"/>
      <w:r>
        <w:pict>
          <v:line id="_x0000_s1201"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7" w:name="MELNICK J."/>
            <w:bookmarkEnd w:id="237"/>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was an application for judgment pursuant to Rule 18A for damages suffered by the plaintiffs when one of the defendants accidentally entered onto the plaintiffs' land and cut down trees. The defendants admit liability, indicating that they are prepared to pay fair value for the trees. However, the method of valuation is in dispute.</w:t>
      </w:r>
      <w:r>
        <w:rPr>
          <w:rFonts w:ascii="arial" w:eastAsia="arial" w:hAnsi="arial" w:cs="arial"/>
          <w:sz w:val="20"/>
          <w:lang w:val="en-US" w:eastAsia="en-US" w:bidi="ar-SA"/>
        </w:rPr>
        <w:cr/>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April 7, 1998, the defendant, Ray Banta, while clearing a gazetted right-of-way across property owned by the plaintiffs, accidentally trespassed onto the plaintiffs' land and, before realizing his mistake, cut down 15 lodgepole pine and two larch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land in question is part of the plaintiffs' ranch. It is largely treed with similar growth but with a significant component of deadfall and windfall. It is not close to any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only evidence advanced by the plaintiffs in their material as to the value of the trees to their property is the statement that "the trees have a standing value as part of our ranch". This evidence was advanced in argument in the context of indicating that the trees had a value to the plaintiffs apart from their value as saw logs.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provided an estimate from Gerard Fournier of Arbor Care Tree Service Ltd. of Calgary that it would cost $18,500 to replace the trees with the largest available transplantable trees of comparable species. There was no suggestion in the evidence that the plaintiffs intended to replace the trees nor that they would suffer any particular damage if the trees were not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Upon being told of his error, Mr. Banta offered to pay for the scaled value of the trees, that is, their value as saw logs. He was also prepared to remove the trees that he had cut down and clean up the site. Mr. Bower, on behalf of the plaintiffs, rejected both of these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Barry Benson, a retired professional forester, gave evidence that, at the time the cutting occurred, the subject trees had a fair market value in the forest industry of $231. He also gave evidence that the trees in question had no esthetic value as they had been located in a stand of trees that contained a lot of "blow-down", "bug-kill", as well as a significant number of rotting trees. It was his evidence that there had not been any reduction in market value in the plaintiffs' property as a result of the cutting. I note that it was not suggested in the plaintiffs' material that there had been any reduction in the market value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note also that the trees that were cut down had formed part of a very small area in relation to a stand of trees that still remains as well as to the total area of the plaintiffs' farmland. Finally, I note Mr. Benson's evidence that lodgepole pine is not a long living species.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do observe, however, that although Mr. Banta made an honest mistake in crossing onto the plaintiffs' land when clearing the right-of-way, he was somewhat careless in his assumption as to the survey lines delineating the boundaries of the right-of-way. He was obliged by the terms of the permit that he received to clear the right-of-way to ascertain those boundaries.</w:t>
      </w:r>
      <w:r>
        <w:rPr>
          <w:rFonts w:ascii="arial" w:eastAsia="arial" w:hAnsi="arial" w:cs="arial"/>
          <w:sz w:val="20"/>
          <w:lang w:val="en-US" w:eastAsia="en-US" w:bidi="ar-SA"/>
        </w:rPr>
        <w:cr/>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Our Court of Appeal in Kates v. Hall </w:t>
      </w:r>
      <w:hyperlink r:id="rId990" w:history="1">
        <w:r>
          <w:rPr>
            <w:rFonts w:ascii="arial" w:eastAsia="arial" w:hAnsi="arial" w:cs="arial"/>
            <w:i/>
            <w:color w:val="0077CC"/>
            <w:sz w:val="20"/>
            <w:u w:val="single"/>
            <w:shd w:val="clear" w:color="auto" w:fill="FFFFFF"/>
            <w:lang w:val="en-US" w:eastAsia="en-US" w:bidi="ar-SA"/>
          </w:rPr>
          <w:t>(1991), 53 B.C.L.R. (2d) 322</w:t>
        </w:r>
      </w:hyperlink>
      <w:r>
        <w:rPr>
          <w:rFonts w:ascii="arial" w:eastAsia="arial" w:hAnsi="arial" w:cs="arial"/>
          <w:color w:val="000000"/>
          <w:sz w:val="20"/>
          <w:lang w:val="en-US" w:eastAsia="en-US" w:bidi="ar-SA"/>
        </w:rPr>
        <w:t xml:space="preserve"> at 332, affirmed that courts in cases such as this must apply common sense and do justice that is reasonable and fair in the circumstances. I note also that Mr. Justice Drost summarized the law as follows in Bawa v. Noton (26 May 1994), Duncan No. 53095; </w:t>
      </w:r>
      <w:hyperlink r:id="rId991" w:history="1">
        <w:r>
          <w:rPr>
            <w:rFonts w:ascii="arial" w:eastAsia="arial" w:hAnsi="arial" w:cs="arial"/>
            <w:i/>
            <w:color w:val="0077CC"/>
            <w:sz w:val="20"/>
            <w:u w:val="single"/>
            <w:shd w:val="clear" w:color="auto" w:fill="FFFFFF"/>
            <w:lang w:val="en-US" w:eastAsia="en-US" w:bidi="ar-SA"/>
          </w:rPr>
          <w:t>[1994] B.C.J. No. 1703</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decisions demonstrate that, in cases such as this, where there has been a trespass and conversion, the court must first ascertain the degree of culpability, or want of bona fides, on the part of the trespasser. Then, depending on the characterization of the trespasser's conduct, one or other of two "rules" are applied. The first, or "milder", rule applies where the trespass was accidental or inadvertent. There the plaintiffs are entitled to recover, as damages for the trespass and conversion, the realized value of the trees taken less the cost of harvesting them from the land and taking them to market. The second, or "severer" rule applies where it is determined that the trespass was wilful, and there the plaintiffs are entitled to recover the realized value of the trees taken less only the cost of taking them to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Shewish [Shewish v. MacMillan Bloedel Ltd., </w:t>
      </w:r>
      <w:hyperlink r:id="rId992" w:history="1">
        <w:r>
          <w:rPr>
            <w:rFonts w:ascii="arial" w:eastAsia="arial" w:hAnsi="arial" w:cs="arial"/>
            <w:i/>
            <w:color w:val="0077CC"/>
            <w:sz w:val="20"/>
            <w:u w:val="single"/>
            <w:shd w:val="clear" w:color="auto" w:fill="FFFFFF"/>
            <w:lang w:val="en-US" w:eastAsia="en-US" w:bidi="ar-SA"/>
          </w:rPr>
          <w:t>(1990) 48 B.C.L.R. (2d) 290</w:t>
        </w:r>
      </w:hyperlink>
      <w:r>
        <w:rPr>
          <w:rFonts w:ascii="arial" w:eastAsia="arial" w:hAnsi="arial" w:cs="arial"/>
          <w:color w:val="000000"/>
          <w:sz w:val="20"/>
          <w:lang w:val="en-US" w:eastAsia="en-US" w:bidi="ar-SA"/>
        </w:rPr>
        <w:t xml:space="preserve"> (B.C.C.A.)] the Court of Appeal considered the "in-between" area, that which does not involve inadvertence or deliberate trespass, but rather a trespass resulting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indifference on the part of the defendant. There, Hollinrake, J.A., for the court, observed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the law has looked for in assessing damages in cases such as this is what I see as the degree of culpability, or want of bona fides, in the trespasser. I do not think it can be said that the law has developed to the point that it sees negligent trespass in cases such as this as necessarily attracting the severer rule for the assessment of damages. There are degrees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 think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terms of culpability and bona fides must be looked at in determining the rule to be applied to the assessment of damages in cases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foregoing decision was reviewed by the Court of Appeal at (23 February 1996), Victoria No. V02420; </w:t>
      </w:r>
      <w:hyperlink r:id="rId993" w:history="1">
        <w:r>
          <w:rPr>
            <w:rFonts w:ascii="arial" w:eastAsia="arial" w:hAnsi="arial" w:cs="arial"/>
            <w:i/>
            <w:color w:val="0077CC"/>
            <w:sz w:val="20"/>
            <w:u w:val="single"/>
            <w:shd w:val="clear" w:color="auto" w:fill="FFFFFF"/>
            <w:lang w:val="en-US" w:eastAsia="en-US" w:bidi="ar-SA"/>
          </w:rPr>
          <w:t>[1996] B.C.J. No. 567</w:t>
        </w:r>
      </w:hyperlink>
      <w:r>
        <w:rPr>
          <w:rFonts w:ascii="arial" w:eastAsia="arial" w:hAnsi="arial" w:cs="arial"/>
          <w:color w:val="000000"/>
          <w:sz w:val="20"/>
          <w:lang w:val="en-US" w:eastAsia="en-US" w:bidi="ar-SA"/>
        </w:rPr>
        <w:t>. Chief Justice McEachern observed, at para. 15, that the trial judge had not taken into account two factors, namely the loss to the plaintiffs of a range of choices regarding the future use of the land and, secondly, the diminished stability of the remaining trees. Neither of these two factors is present in this case on the evidence before me (notwithstanding that Mr. Colgur pressed them in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am, therefore, faced with a set of facts where there is no evidence as to diminished value of the land, its diminished utility, nor that there is any need for (nor that the plaintiffs have any intention of) replacing the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Undoubtedly, this was an unfortunate incident which could have been avoided if Mr. Banta had been more careful. However, in all of the circumstances, the incident cannot be described as anything more than an accidental trespass (I observe here, for what it is worth, that the action is not framed in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is clearly a case where the "less severe rule" for the assessment of damages should apply. The suggestion that the plaintiffs' damages should be assessed on the basis of the cost of replacing the 17 trees with the largest transplantable, comparable species is, in the circumstances, completely inappropriate. Here, the trespass as well as the injury were nominal, the effect on the balance of the property virtually unnoticeable, and the effect on market value non-existent.</w:t>
      </w:r>
      <w:r>
        <w:rPr>
          <w:rFonts w:ascii="arial" w:eastAsia="arial" w:hAnsi="arial" w:cs="arial"/>
          <w:sz w:val="20"/>
          <w:lang w:val="en-US" w:eastAsia="en-US" w:bidi="ar-SA"/>
        </w:rPr>
        <w:cr/>
      </w:r>
    </w:p>
    <w:p>
      <w:pPr>
        <w:numPr>
          <w:numId w:val="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above circumstances, therefore, I award the sum of $331 to the plaintiffs as damages for the 17 trees. This amount includes $231 for the saw log value of the trees plus an additional $100 to reflect the measure of culpability of Mr. Banta for the trespass.</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may speak to the question of costs at a convenient time or provide me with brief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2"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4"/>
          <w:headerReference w:type="default" r:id="rId995"/>
          <w:footerReference w:type="even" r:id="rId996"/>
          <w:footerReference w:type="default" r:id="rId997"/>
          <w:headerReference w:type="first" r:id="rId998"/>
          <w:footerReference w:type="first" r:id="rId9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00" w:history="1">
        <w:r>
          <w:rPr>
            <w:rFonts w:ascii="arial" w:eastAsia="arial" w:hAnsi="arial" w:cs="arial"/>
            <w:b/>
            <w:bCs/>
            <w:i/>
            <w:color w:val="0077CC"/>
            <w:kern w:val="32"/>
            <w:sz w:val="28"/>
            <w:szCs w:val="32"/>
            <w:u w:val="single"/>
            <w:shd w:val="clear" w:color="auto" w:fill="FFFFFF"/>
            <w:lang w:val="en-US" w:eastAsia="en-US" w:bidi="ar-SA"/>
          </w:rPr>
          <w:t>Brisson v. Brisson, [2001] B.C.J. No. 958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18 - 20,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S0009280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958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659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104 A.C.W.S. (3d) 852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Rose Marie Brisson, plaintiff, and Allen Brisson,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3"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8" w:name="Keywords_29"/>
      <w:bookmarkEnd w:id="238"/>
      <w:r>
        <w:rPr>
          <w:rFonts w:ascii="arial" w:eastAsia="arial" w:hAnsi="arial" w:cs="arial"/>
          <w:b/>
          <w:color w:val="000000"/>
          <w:sz w:val="20"/>
          <w:lang w:val="en-US" w:eastAsia="en-US" w:bidi="ar-SA"/>
        </w:rPr>
        <w:t>Practice — Juries and jury trials — Charge to jury — Respecting assessment of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9" w:name="Case Summary_27"/>
            <w:bookmarkEnd w:id="2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plaintiff, Brisson, wherein she requested that the trial judge instruct the jury as to a range of damages. The action arose after Brisson was injured in a motor vehicle accident. Liability was not in issue. The central issues for the jury to decide was the length of time it took Brisson to recover from her injuries and whether she had planned to retire earlier than she claimed, which would have resulted in a denial of her claim for lost capacity to earn income.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0" w:name="Holdings of Court_24"/>
            <w:bookmarkEnd w:id="240"/>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was not a case where there were so many variables entering into the jury's decision that it would have been confusing to give them a range of damages. Any concern about usurping the jury's fact finding powers or ability to reach a verdict by compromise was not acute and could be met by clear statements to the jury that the range was given to them for guidance only, that it was not binding, that they were perfectly free to award non-pecuniary damages in an amount either above or below the range given, and by reiteration of the fundamental point that damages were a question of fact for the jury.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1" w:name="Counsel_41"/>
      <w:bookmarkEnd w:id="2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4"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P.J. Rose, for the plaintiff. G.J. May,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2" w:name="Judgment_41"/>
      <w:bookmarkEnd w:id="242"/>
      <w:r>
        <w:pict>
          <v:line id="_x0000_s1205" style="position:absolute;z-index:2518036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3" w:name="C.L. SMITH J."/>
            <w:bookmarkEnd w:id="243"/>
            <w:r>
              <w:rPr>
                <w:rFonts w:ascii="arial" w:eastAsia="arial" w:hAnsi="arial" w:cs="arial"/>
                <w:b/>
                <w:color w:val="000000"/>
                <w:sz w:val="30"/>
                <w:lang w:val="en-US" w:eastAsia="en-US" w:bidi="ar-SA"/>
              </w:rPr>
              <w:t>C.L.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Counsel for the plaintiff submitted that I should instruct the jury as to a range of damages in this case; counsel for the defendant was opposed. After considering submissions from counsel and the two authorities cited to me by counsel for the plaintiff, Foreman v. Foster, </w:t>
      </w:r>
      <w:hyperlink r:id="rId1001" w:history="1">
        <w:r>
          <w:rPr>
            <w:rFonts w:ascii="arial" w:eastAsia="arial" w:hAnsi="arial" w:cs="arial"/>
            <w:i/>
            <w:color w:val="0077CC"/>
            <w:sz w:val="20"/>
            <w:u w:val="single"/>
            <w:shd w:val="clear" w:color="auto" w:fill="FFFFFF"/>
            <w:lang w:val="en-US" w:eastAsia="en-US" w:bidi="ar-SA"/>
          </w:rPr>
          <w:t>2001 BCCA 26</w:t>
        </w:r>
      </w:hyperlink>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[2001] B.C.J. No. 94</w:t>
        </w:r>
      </w:hyperlink>
      <w:r>
        <w:rPr>
          <w:rFonts w:ascii="arial" w:eastAsia="arial" w:hAnsi="arial" w:cs="arial"/>
          <w:color w:val="000000"/>
          <w:sz w:val="20"/>
          <w:lang w:val="en-US" w:eastAsia="en-US" w:bidi="ar-SA"/>
        </w:rPr>
        <w:t xml:space="preserve"> and Estphanous v. McLeod, </w:t>
      </w:r>
      <w:hyperlink r:id="rId1002" w:history="1">
        <w:r>
          <w:rPr>
            <w:rFonts w:ascii="arial" w:eastAsia="arial" w:hAnsi="arial" w:cs="arial"/>
            <w:i/>
            <w:color w:val="0077CC"/>
            <w:sz w:val="20"/>
            <w:u w:val="single"/>
            <w:shd w:val="clear" w:color="auto" w:fill="FFFFFF"/>
            <w:lang w:val="en-US" w:eastAsia="en-US" w:bidi="ar-SA"/>
          </w:rPr>
          <w:t>2001 BCSC 331</w:t>
        </w:r>
      </w:hyperlink>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[2001] B.C.J. No. 492</w:t>
        </w:r>
      </w:hyperlink>
      <w:r>
        <w:rPr>
          <w:rFonts w:ascii="arial" w:eastAsia="arial" w:hAnsi="arial" w:cs="arial"/>
          <w:color w:val="000000"/>
          <w:sz w:val="20"/>
          <w:lang w:val="en-US" w:eastAsia="en-US" w:bidi="ar-SA"/>
        </w:rPr>
        <w:t>, I concluded that this was an appropriate case in which to deliver such an instruction. I advised counsel that I would provide brief written reasons for this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sole issue between the parties was damages. The plaintiff, Rose Brisson, was injured as a passenger in a single vehicle accident on December 27, 1998 in which her husband was the driver. She suffered injuries affecting her head, vision, neck and shoulder. The vehicle, which was a Dodge Ram, was extensively damaged in the accident and was categorized as a "total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Counsel for the plaintiff submitted that Ms. Brisson has been unable to return to full-time work in her position as a "wiper" in the paper mill at Scott Paper and will probably not be able to do so in the future, due to pain which she experiences when carrying out the duties entailed by her job. The plaintiff's position was that the pain is attributable to the motor vehicle accident. Her claim was for lost income to the date of trial, lost capacity to earn income in the future, non-pecuniary damages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for the defendant conceded that the plaintiff was required to take time off work from the date of the accident to June, 1999, but argued that as of that date her injuries from the accident had resolved and that she was not entitled to be compensated for lost income after that date nor for lost capacity to work in the future. The defence position was that the origin of the plaintiff's pain and difficulty in carrying on full-time work in her job at the paper mill lies in the onerous nature of the work entailed in that job, her age (she was 56 at the time of the trial) and some extended periods of unpaid leave during which she became deconditioned.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defence also argued that in fact Ms. Brisson was planning to retire in 1999. Ms. Brisson's position was that she had never intended to retire until age 61, because the pension to which she is entitled from her employment would be greatly reduced before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Thus, the jury was asked to take into consideration in answering the Questions to the Jury its conclusions about the length of time which it took Ms. Brisson to recover from her injuries in the collision, about whether her pain after June 1999 was attributable to the accident, and about whether she planned to retire in 1999 in any event, such that there could be no claim for lost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Foreman v. Foster, Mr. Justice Lambert in obiter dicta discussed the question whether there is discretion in trial judges in British Columbia to give juries guidance on the appropriate range of damages. At para. 73 he stated the conclusion: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has been modified in Canada (Saskatchewan, Ontario, and Crosby v. O'Reilly in the Supreme Court of Canada). It has been modified in similar ways in England, Australia, and New Zealand. In each jurisdiction the Courts have tried to strike a balance in which "the need for fairness, consistency, and rationality in damage awards" is coupled with the independence of judgment of the jury on questions of fact. In every jurisdiction in which the balance has been struck, the trial judge is given the discretion to choose whether to give guidance on the appropriate range for a conventional award, or not. That decision depends on whether the interests of justice would be more likely to be served than thwarted by the guidance. If the findings of fact open to the jury on the evidence are so diverse as to complicate any guidance instruction to the point of potential confusion, then giving guidance may be more confusing than enlightening. But a greater measure of consistency in damage awards is an important goal in the administration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believe that the Saskatchewan procedure summarizes the best elements of a procedure which will maximize the goal of avoiding injustice. I would like to see it adopted in British Columbia. It would give more flexibility and discretion to trial judges and more assistance to juries, as they discharge their tasks in assessing damages for personal injuries, without affecting in any way the rule that factual questions are for the jury, and without affecting the application of s. 6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convenience of reference, I will conclude by setting out again Mr. Justice Vancise's summary of the Saskatchewan procedure as set out in Junek v. Ede, </w:t>
      </w:r>
      <w:hyperlink r:id="rId1003" w:history="1">
        <w:r>
          <w:rPr>
            <w:rFonts w:ascii="arial" w:eastAsia="arial" w:hAnsi="arial" w:cs="arial"/>
            <w:i/>
            <w:color w:val="0077CC"/>
            <w:sz w:val="20"/>
            <w:u w:val="single"/>
            <w:shd w:val="clear" w:color="auto" w:fill="FFFFFF"/>
            <w:lang w:val="en-US" w:eastAsia="en-US" w:bidi="ar-SA"/>
          </w:rPr>
          <w:t>[1990] S.J. No. 454</w:t>
        </w:r>
      </w:hyperlink>
      <w:r>
        <w:rPr>
          <w:rFonts w:ascii="arial" w:eastAsia="arial" w:hAnsi="arial" w:cs="arial"/>
          <w:color w:val="000000"/>
          <w:sz w:val="20"/>
          <w:lang w:val="en-US" w:eastAsia="en-US" w:bidi="ar-SA"/>
        </w:rPr>
        <w:t xml:space="preserve"> (SKCA) at p.69:</w:t>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should receive submissions from counsel as to the appropriate range of damages, in the absence of the jury. Those submissions can be in the form of written briefs submitted prior to trial or during the trial which will then form the basis for argument, having regard to the evidence proved at trial, which will be made to the judge in the absence of the jury before the judge instructs the jury. Counsel are not permitted to make submissions regarding damages directly to the jury, as that is the function of the trial judge, and the submissions will assist the trial judge in formulating an appropriate range of damages.</w:t>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counsel agree on the appropriate range of damages, and the trial judge is of the view that it will be helpful, he shall instruct the jury on the agreed range of damages.</w:t>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counsel do not agree, and the trial judge is of the view that it would be helpful, he shall instruct the jury as to the range of damages he considers appropriate having regard to the evidence and the submissions of counsel.</w:t>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instructing the jury as to damages, the trial judge should state in clear and unequivocal terms that it is the jury's function to determine damages and that his function is to assist them in their task. He should make it clear that the range which is being put to them is for their guidance and assistance and is not a hard-and-fast upper and lower limit but a range which the trial judge considers wide enough in the circumstances, having regard to the evidence, to encompass the damages suffered by the plaintiff, and that they alone will determine the appropriate amount. It is the jury's function, not the trial judge's function, to decide the proper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Madam Justice Saunders gave different Reasons for Judgment in which she commented that "the prevailing scope of instructions to the jury does not include instructions on the appropriate range of damages in cases of non-catastrophic injury" (at para. 4). Mr. Justice Braidwood concurred with both sets of Reasons. Although Lambert J.A. acknowledges that his discussion of the issue of providing guidance to juries about a range of damages is obiter, Foreman v. Foster is a decision of the Court of Appeal and is based upon other authorities, including two Supreme Court of Canada decisions (Crosby v. O'Reilly, </w:t>
      </w:r>
      <w:hyperlink r:id="rId1004" w:history="1">
        <w:r>
          <w:rPr>
            <w:rFonts w:ascii="arial" w:eastAsia="arial" w:hAnsi="arial" w:cs="arial"/>
            <w:i/>
            <w:color w:val="0077CC"/>
            <w:sz w:val="20"/>
            <w:u w:val="single"/>
            <w:shd w:val="clear" w:color="auto" w:fill="FFFFFF"/>
            <w:lang w:val="en-US" w:eastAsia="en-US" w:bidi="ar-SA"/>
          </w:rPr>
          <w:t>[1975] 2 S.C.R. 381</w:t>
        </w:r>
      </w:hyperlink>
      <w:r>
        <w:rPr>
          <w:rFonts w:ascii="arial" w:eastAsia="arial" w:hAnsi="arial" w:cs="arial"/>
          <w:color w:val="000000"/>
          <w:sz w:val="20"/>
          <w:lang w:val="en-US" w:eastAsia="en-US" w:bidi="ar-SA"/>
        </w:rPr>
        <w:t xml:space="preserve"> and terNuezen v. Korn, </w:t>
      </w:r>
      <w:hyperlink r:id="rId648"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which are consistent with the proposition that there is discretion in a trial judge to provide guidance in appropriate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Accepting that there is discretion, I then considered whether this was an appropriate case in which to exercise it in favour of giving an instruction on a range of damages. In Estphanous v. McLeod, </w:t>
      </w:r>
      <w:hyperlink r:id="rId1002" w:history="1">
        <w:r>
          <w:rPr>
            <w:rFonts w:ascii="arial" w:eastAsia="arial" w:hAnsi="arial" w:cs="arial"/>
            <w:i/>
            <w:color w:val="0077CC"/>
            <w:sz w:val="20"/>
            <w:u w:val="single"/>
            <w:shd w:val="clear" w:color="auto" w:fill="FFFFFF"/>
            <w:lang w:val="en-US" w:eastAsia="en-US" w:bidi="ar-SA"/>
          </w:rPr>
          <w:t>2001 BCSC 331</w:t>
        </w:r>
      </w:hyperlink>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[2001] B.C.J. No. 492</w:t>
        </w:r>
      </w:hyperlink>
      <w:r>
        <w:rPr>
          <w:rFonts w:ascii="arial" w:eastAsia="arial" w:hAnsi="arial" w:cs="arial"/>
          <w:color w:val="000000"/>
          <w:sz w:val="20"/>
          <w:lang w:val="en-US" w:eastAsia="en-US" w:bidi="ar-SA"/>
        </w:rPr>
        <w:t>, Mr. Justice Edwards of this court rejected an application to give such instructions, holding that it was not appropriate in the case before him.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this sort of instruction in a case where the defence says the plaintiff should not be believed would inappropriately interfere with the jury's authority to reach a verdict by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Justice Edwards also reviewed some of the arguments for and against giving such instructions. In particular, he expressed concern that the practice would involve the judge usurping at least in part the jury's fact finding role, since typically there is conflicting evidence on the severity of an injury or the likely duration of the injury and no range could be set without considering what the jury would or should find as facts in regard to such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case before me, liability was not in issue. The defendant was not saying that the plaintiff should not be believed. Instead, the defence was that, after a certain point, her physical and emotional problems should not properly be attributed to the accident. There were not so many variables entering into the jury's decision that it would be confusing to give them a range. In my opinion, concern about usurping the jury's fact-finding powers or ability to reach a verdict by compromise was not acute in this case and could be met by clear statements to the jury that the range was given to them for guidance only, that it was not binding, that they were perfectly free to award non-pecuniary damages in an amount either above or below the range given, and by reiteration of the fundamental point that damages are a question of fact for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hearing submissions from counsel as to what the range of damages in a case such as this should be, I concluded that the jury should be instructed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are for personal injury losses that did not result in actual loss of money. Their purpose is to compensate the plaintiff for pain, injury, suffering, disability and loss of enjoyment of life arising from the injuries she suffered in the accident. There is no formula for measuring such an award. Each award is custom-made for a particular individual plaintiff. With respect to non-pecuniary damages it is generally not possible to put a person back in the position she would have been in had the injury not occurred - in other words, it is a mistake to try to award a sum for which the plaintiff would voluntarily have chosen to suffer pain and disability. You must fix a sum that is fair and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heard Rose Brisson describe physical pain and discomfort she experienced following the accident. She described persistent severe headaches, blurred vision, sore neck, shoulder, and elbow. She described pain that would recur when she undertook the full duties required by her job.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accept Ms. Brisson's evidence, she is entitled to reasonable compensation for the pain, suffering, disability, inconvenience and loss of enjoyment of life she suffered to date and for that which she may suffer into the foreseeable future. In reaching your conclusion, you will wish to consider the evidence in the medical reports, and the evidence of other witnesses who described Ms. Brisson as exhibiting or describing pain. You should know that if a motor vehicle accident causes injuries, and if as a result of the injuries and the recovery process the person suffers depression, that emotional state can be considered part of the injuries. However, if depression flows from or is largely due to other causes, then it is not. The defendant's position is that some amount of the pain and suffering Ms. Brisson described is not attributable to the injuries suffered in the accident, but flows from other causes. It is for you to decide.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your function as a jury to determine damages in this case but it may be helpful to you to know what in my opinion is an appropriate range of damages in a case such as this. Before I state that opinion, I must emphasize that this is only for your guidance and assistance. It is not binding on you. You are free to disregard the range that I provide to you and you are free to award an amount for non-pecuniary damages either above or below this range. It is your function as a jury, not mine as a judge, to determine the proper amount of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should understand that the exercise of determining an appropriate award for non-pecuniary damages is not intellectual in the sense that it is taught as a course at law school. You are in just as good a position as I am to decide what is the correct figure. Your figure may differ from what I think is appropriate, but that does not necessarily mean you are wrong and I am right. You bring to the law the common sense of the community. Your decision helps the courts keep in touch with the views of the citizens, whom the law is designed to serve. Because your verdict is not published in the law books and because you give no reasons for your decision, it sets no particular precedent.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all of that in mind, I will tell you that in a case such as this, in my opinion the appropriate range of damages for pain, suffering, and loss of enjoyment of life is from $15,000 to $50,000. Your decision, whether it is inside or outside that range, will depend upon your view of the evidence and what you conclude is attributable to the accident and what is not. You have heard the submissions of counsel in that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I must add and emphasize that, under the law of this province, the amount of any damages is a question of fact and not of law. It is your exclusive province as the judges of the facts to determine an amount that is fair and reasonable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6" style="position:absolute;z-index:2518405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05"/>
          <w:headerReference w:type="default" r:id="rId1006"/>
          <w:footerReference w:type="even" r:id="rId1007"/>
          <w:footerReference w:type="default" r:id="rId1008"/>
          <w:headerReference w:type="first" r:id="rId1009"/>
          <w:footerReference w:type="first" r:id="rId10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1" w:history="1">
        <w:r>
          <w:rPr>
            <w:rFonts w:ascii="arial" w:eastAsia="arial" w:hAnsi="arial" w:cs="arial"/>
            <w:b/>
            <w:bCs/>
            <w:i/>
            <w:color w:val="0077CC"/>
            <w:kern w:val="32"/>
            <w:sz w:val="28"/>
            <w:szCs w:val="32"/>
            <w:u w:val="single"/>
            <w:shd w:val="clear" w:color="auto" w:fill="FFFFFF"/>
            <w:lang w:val="en-US" w:eastAsia="en-US" w:bidi="ar-SA"/>
          </w:rPr>
          <w:t>British Columbia v. Bolster, [2005] B.C.J. No. 2365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28 and 29,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January 11 and 14,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19,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L041536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2365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1491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B.C.L.R. (4th) 374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34 Admin. L.R. (4th) 112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143 A.C.W.S. (3d) 900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2575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55 C.H.R.R. D/36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 Majesty the Queen in Right of the Province of British Columbia, petitioner, and William Bolster and The British Columbia Human Rights Tribunal,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7"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4" w:name="Keywords_30"/>
      <w:bookmarkEnd w:id="244"/>
      <w:r>
        <w:rPr>
          <w:rFonts w:ascii="arial" w:eastAsia="arial" w:hAnsi="arial" w:cs="arial"/>
          <w:b/>
          <w:color w:val="000000"/>
          <w:sz w:val="20"/>
          <w:lang w:val="en-US" w:eastAsia="en-US" w:bidi="ar-SA"/>
        </w:rPr>
        <w:t>Administrative law — Judicial review and statutory appeal — Standard of review — When available — Error of mixed law and fact — The Crown's application for judicial review of a decision of the B.C. Human Rights Tribunal was dismissed, as the tribunal neither erred in law nor exceeded its jurisdiction by ordering the petitioner to pay compensation to the respondent — The standard of review applicable to a decision rendered prior to the coming into force of the Administrative Tribunals Act on which an application to review had been filed is that in effect at the time of the decision under review — Human Rights Code, s.8 — Administrative Tribunals Act, s.59 — Human rights law — Discrimination — Grounds — Mental or physical disability — The court held the Tribunal did not err in finding discrimination against the respondent or in determining when it began.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5" w:name="Case Summary_28"/>
            <w:bookmarkEnd w:id="2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Crown applied for judicial review of a decision of the British Columbia Human Rights Tribunal finding that the respondent had suffered discrimination regarding a service or facility customarily available to the public on the basis of his physical disability contrary to the Human Rights Code -- The respondent was a truck driver who had his driver's licence rescinded due to a vision-related disability -- The respondent had been awarded a sum of $141,939 in respect of lost wages and $5,000 in compensation for injury to feelings -- HELD: The petition for judicial review was dismissed -- The standard of review applicable to a decision rendered prior to the coming into force of the Administrative Tribunals Act on which an application to review had been filed is that in effect at the time of the decision under review -- The Tribunal neither erred in law nor exceeded its jurisdiction by ordering the petitioner to pay compensation to Mr. Bolster -- The Tribunal did not err in finding discrimination or in determining that it began in October 1998 -- The Tribunal did not err in quantifying compensation.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6" w:name="Legislation Cited_17"/>
      <w:bookmarkEnd w:id="2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8"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Administrative Tribunals Act, </w:t>
      </w:r>
      <w:hyperlink r:id="rId1012" w:history="1">
        <w:r>
          <w:rPr>
            <w:rFonts w:ascii="arial" w:eastAsia="arial" w:hAnsi="arial" w:cs="arial"/>
            <w:i/>
            <w:color w:val="0077CC"/>
            <w:sz w:val="20"/>
            <w:u w:val="single"/>
            <w:shd w:val="clear" w:color="auto" w:fill="FFFFFF"/>
            <w:lang w:val="en-US" w:eastAsia="en-US" w:bidi="ar-SA"/>
          </w:rPr>
          <w:t>S.B.C. 2004, c. 45 s.59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Human Rights Code, </w:t>
      </w:r>
      <w:hyperlink r:id="rId1013" w:history="1">
        <w:r>
          <w:rPr>
            <w:rFonts w:ascii="arial" w:eastAsia="arial" w:hAnsi="arial" w:cs="arial"/>
            <w:i/>
            <w:color w:val="0077CC"/>
            <w:sz w:val="20"/>
            <w:u w:val="single"/>
            <w:shd w:val="clear" w:color="auto" w:fill="FFFFFF"/>
            <w:lang w:val="en-US" w:eastAsia="en-US" w:bidi="ar-SA"/>
          </w:rPr>
          <w:t>R.S.B.C. 1996, c. 210 s.8</w:t>
        </w:r>
      </w:hyperlink>
      <w:r>
        <w:rPr>
          <w:rFonts w:ascii="arial" w:eastAsia="arial" w:hAnsi="arial" w:cs="arial"/>
          <w:color w:val="000000"/>
          <w:sz w:val="20"/>
          <w:lang w:val="en-US" w:eastAsia="en-US" w:bidi="ar-SA"/>
        </w:rPr>
        <w:t>, s.31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7" w:name="Counsel_42"/>
      <w:bookmarkEnd w:id="24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9"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L.R. Greathead.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William Bolster: J.T. Doulis F.M.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B.C. Human Rights Tribunal: K.A. Hardie.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8" w:name="Judgment_42"/>
      <w:bookmarkEnd w:id="248"/>
      <w:r>
        <w:pict>
          <v:line id="_x0000_s1210" style="position:absolute;z-index:2518415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9" w:name="PARRETT J."/>
            <w:bookmarkEnd w:id="249"/>
            <w:r>
              <w:rPr>
                <w:rFonts w:ascii="arial" w:eastAsia="arial" w:hAnsi="arial" w:cs="arial"/>
                <w:b/>
                <w:color w:val="000000"/>
                <w:sz w:val="30"/>
                <w:lang w:val="en-US" w:eastAsia="en-US" w:bidi="ar-SA"/>
              </w:rPr>
              <w:t>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present case, the petitioner, Her Majesty the Queen in Right of the Province of British Columbia, seeks</w:t>
      </w:r>
      <w:r>
        <w:rPr>
          <w:rFonts w:ascii="arial" w:eastAsia="arial" w:hAnsi="arial" w:cs="arial"/>
          <w:sz w:val="20"/>
          <w:lang w:val="en-US" w:eastAsia="en-US" w:bidi="ar-SA"/>
        </w:rPr>
        <w:cr/>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in the nature of certiorari quashing the decision of the British Columbia Human Rights Tribunal dated April 22, 2004 in Bolster v. Her Majesty the Queen in Right of the Province of British Columbia as represented by the Ministry of Public Safety and Solicitor General (Superintendent of Motor Vehicles);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an order in the nature of certiorari quashing that part of the decision requiring the petitioner to compensate Mr. Bolster in the amount of $141,939.38 in respect of wages lost as a result of the discriminatory conduct, $5,000.00 in compensation for injury to feelings, dignity and self respect and an amount sufficient to offset any additional income tax liability Mr. Bolster may incur as a result of receiving compensation for loss of salary in a lump sum; and</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staying the order of the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HISTORY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January 18, 2003, the respondent, William Bolster, filed a complaint with the former British Columbia Human Rights Commission. In his complaint Mr. Bolster alleged that the petitioner had discriminated against him regarding a service or facility customarily available to the public on the basis of his physical disability, contrary to s. 8 of the Human Rights Code,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a result of amendments to the Human Rights Code, the Commission was disbanded on March 31, 2003 and the complaint was transferred to the British Columbia Human Rights Tribunal ("the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complaint proceeded to a hearing before the Tribunal between October 27, 2003 and October 30, 2003, with final submissions proceeding on January 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Tribunal's decision was issued on April 22, 2004 and the present petition seeking judicial review of that decision was filed on June 21,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arising from the present petition are: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standard of review?</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err in law or exceed its jurisdiction by ordering the petitioner to pay Mr. Bolster financial compensation?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err in finding discrimination or liability for the discrimination from October 1998?</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err in quantifying the compensation for lost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British Columbia Human Rights Tribunal is a permanent, quasi-judicial tribunal established under s. 31 of the Human Rights Code,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as amended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Bolster suffers from a mild congenital optic atrophy which is a condition resulting from a diminished capacity of the optic nerves. This disability was diagnosed and identified when Mr. Bolster was 12 years old. His visual acuity is approximately 20/70 with both eyes and is not fully correctable with glasses or contact lenses.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1980, after turning 16, Mr. Bolster unsuccessfully attempted to obtain a driver's licence. He failed because he was unable to pass the eye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obtaining various medical reports and providing them to the B.C. Motor Vehicle Branch and passing a road test he was issued a Class 5 driver's licence on December 1,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1985, after purchasing a gravel truck, Mr. Bolster began the process of upgrading to a commercial driver's licence. He obtained a Class 3 learner's licence, then, on March 2, 1985, he provided the Motor Vehicle Branch with reports from his ophthalmologist and optometrist. On March 30, 1985 he obtained his air brake ticket, and on April 9, 1985 he completed the necessary road test and obtained his Class 3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Shortly thereafter he sought his Class 1 licence. After providing another Examination of Visual Function report on April 20, 1985 he passed the necessary tests and, on April 23, 1985 he was issued a Class 1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recognition of his visual defects, the Motor Vehicle Branch restricted Mr. Bolster's Class 1 licence to prevent him from driving any vehicles authorized by a Class 2 and Class 4 licence. These included buses, school buses and special activity vehicles in the case of Class 2 and taxis, limousines, ambulances and special buses to transport persons with disabilities in the case of Class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From 1985 until 1998 Mr. Bolster worked as a professional truck driver for various carriers and shippers as well as in a self-employed capacity. Over some 13 years he operated log trucks, Super B train flat decks, low bed heavy equipment configurations, gravel trucks with pup trailers, 45 through 53 foot flat decks, dry van tanker trailers, reefers and Super B tank trailer configurations. This included a six month period in the early 1990's when he pulled Super B flat deck trailers between Vancouver and Creston as well as through the western United States averaging 10,000 miles per month with no accidents or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April 21, 1998 the Ministry of Transportation, Office of the Superintendent of Motor Vehicles ("the Superintendent") re-issued Mr. Bolster's Class 1 licence with the same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May 5, 1998 Mr. Bolster entered into a lease with option to purchase agreement with Inland Kenworth for the lease of a Western Star tractor trailer. The option to purchase was for a price of $54,200.00 after 7 months with the lease payments credited against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Bolster was, throughout this time, seeking employment with Westcan Bulk Transport Ltd. ("Westcan"). During this process he provided Westcan with his driving record, as well as passing a comprehensive road test, and a medical assessment which included a visual function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May 13, 1998 he signed an Independent Contractor Agreement with Westcan and on May 19, 1998 he began driving for them under the agreement. On September 22, 1998 he was involved in a motor vehicle accident. The driver of the other vehicle was charged with failing to yield. Mr. Bolster's truck was damaged and was taken off the road for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August 13, 1998 Mr. Bolster had seen an ophthalmologist at Dr. Playfair's request. Dr. Playfair was the doctor who had examined Mr. Bolster for Westcan. Dr. Anderson's report of August 19, 1998 to Dr. Playfair included the following passage: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has been driving tandem trucks all his life and has not had problems. He is legally below his visual limit to drive either cars or trucks. I have explained this to him, both in 1994 and again today. </w:t>
      </w:r>
      <w:r>
        <w:rPr>
          <w:rFonts w:ascii="arial" w:eastAsia="arial" w:hAnsi="arial" w:cs="arial"/>
          <w:color w:val="000000"/>
          <w:sz w:val="20"/>
          <w:u w:val="single"/>
          <w:lang w:val="en-US" w:eastAsia="en-US" w:bidi="ar-SA"/>
        </w:rPr>
        <w:t>There is no evidence of any progressive visual decline and there is no evidence of any other neurological disease so this is an isolated congenital mild optic atrophy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August 25, 1998 Dr. Playfair reported to the Superintendent. His report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gentleman works as a trucker. He saw me for an employment medical and turned out to have 20/70 vision with both eyes. This is a congenital atrophy of visual acuity, he has plainly made very good central compensation and functions very well. </w:t>
      </w:r>
      <w:r>
        <w:rPr>
          <w:rFonts w:ascii="arial" w:eastAsia="arial" w:hAnsi="arial" w:cs="arial"/>
          <w:color w:val="000000"/>
          <w:sz w:val="20"/>
          <w:u w:val="single"/>
          <w:lang w:val="en-US" w:eastAsia="en-US" w:bidi="ar-SA"/>
        </w:rPr>
        <w:t>I do not consider him a danger BUT think it my duty to inform you. Perhaps a road test would do him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This report was apparently sent by facsimile transmission to the Superintendent on September 9, 1998 and was referred by the Superintendent to Dr. Hosgood, a retired medical doctor, with no speciality in ophthalmology or optometry.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Hosgood's notes indicate his view on October 8, 1998 that Mr. Bolster should not have been driving and that he had no alternative but to cancel his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October 26, 1998 the Superintendent cancelled Mr. Bolster's driver's licence without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Tribunal found as facts that (a) the Superintendent made no effort to contact Mr. Bolster or his physicians before cancelling his licence; (b) they did not seek further information from Mr. Bolster or his physicians; and that (c) Dr. Hosgood's recommendation to cancel the licence was based solely on the fact he did not meet the visual acuity standards and was made without consultation with his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October 27, 1998 Mr. Bolster contacted the office of the Superintendent and advised them that his vision had remained unchanged for many years and had been the same when he was issued his Class 1 licence in 1985. He was told they did not believe this but would look into it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Bolster remained active, contacting both Dr. Anderson and Dr. Playfair. Dr. Playfair wrote to Dr. Hosgood questioning his assumption that Mr. Bolster posed a safety concern and Dr. Anderson submitted a further report noting his lengthy good driving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a result of these activities, Dr. Hosgood requested the opinions of Dr. Beattie, an eye physician and surgeon. Dr. Beattie was provided with letters from Drs. Playfair and Anderson as well as information concerning Mr. Bolster's driving record. On November 10, 1998 Dr. Beattie provided the opinion that Mr. Bolster was incapable of operating a motor vehicle safely, and that a driver's licence would not be appropriate. He based this conclusion on his level of visual acuity and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missing from these records is an assessment of other visual function abnormalities present in a person with this diagnosis. Regardless of the performance level at which one has been functioning, a person with any form of optic atrophy and visual acuity reduced to this level will also suffer from significantly reduced colour vision performance, reduced contrast sensitivity, reduced overall visual field sensitivity and delayed visual pathway conduction (ie, delayed response time in the visual system). Note that all these visual functions will deteriorate further with advancing 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Regardless of the driving history and sympathetic correspondence on Mr. Bolster's behalf, I cannot bring myself to believe that a person with this visual acuity and ophthalmic diagnosis is capable of operating a motor vehicle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January 15, 1999 the Office of the Superintendent wrote to Mr. Bolster confirming the cancellation would remain.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April 23, 1999 Mr. Bolster, now represented by counsel, sought a reconsideration through the formal review procedure. As part of the review Mr. Bolster's medical records were submitted to an independent medical review board made up of two ophthalmologists. Dr. Ben Wikinson, in his opinion, concluded "there is no way I would support this man continuing to hold a truck driver's licence. His acuity is simply not adequate". However, after considering Mr. Bolster's good driving record, the stability of his visual condition and the fact that the condition was congenital, he gave the opinion that Mr. Bolster should be allowed a Class 5 licence "if his visual fields and colour vision are adequate". The second member of the board, Dr. Fredrick Mikelberg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given his previous driving record and the fact that he almost meets the criteria for a Class 5 licence, it would be reasonable to allow him to maintain a Class 5 licence. I would not approve a Class 1 licence since he is not close enough to meeting the criteria for this class of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June 16, 1999 Dr. Hosgood recommended that Mr. Bolster be given a Class 5 licence, restricted to daylight hours only. On June 23, 1999 this decision was communicated to Mr. Bolster and on June 24, 1999 a restricted Class 5 licence was issued. At the same time, the Superintendent required Mr. Bolster to complete a driver's medical examination in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June 30, 1999 and July 15, 1999, Mr. Bolster's counsel advised by letter that an appeal of this decision was being taken seeking the reinstatement of his commercial licence and the removal of the daylight hours restriction.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July 10, 1999 Dr. Hopp, an ophthalmologist, wrote to the Superintendent requesting a lifting of the daylight hours restriction. In his letter, Dr. Hopp notes that ". . . certainly there appears no reason why he should have night blindness as no peripheral retinal degeneration is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July 30, 1999, Mr. Kazmiruk, the Superintendent's adjudicative team leader, confirmed the June 23, 1999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August 2000 the Superintendent advised Mr. Bolster that he was required to undergo a medical examination. When he contacted their office and asked why, when their decision said two years, he was told the notice was sent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June 19, 2001 the Superintendent mailed the notice requiring a two year medical examination and as a result Mr. Bolster attended on an optometrist, Dr. Clark. Dr. Clark's report of July 8, 2001 noted that by use of a combination of high plus spectacles and contact lenses Mr. Bolster's corrected vision was 20/40-2 and that Mr. Bolster's night vision was better than his daylight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report appears to have drawn little reaction or interest from the office of the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September 24, 2002, Dr. Clark completed the next Examination of Visual Function and in forwarding his report attached a copy of his report of July 8, 2001. On the basis of this report the daylight restriction was removed on November 28,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about this time Mr. Bolster again contacted the Superintendent's office and was told he did not meet the current standards. A renewed effort began involving a steady flow of telephone calls and letters from Mr. Bolster and contact from his MLA's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When the B.C. Human Rights Commission contacted the Superintendent's office and advised he was considering a complaint there seemed to be a shift in the Superintendent's responses.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January 10, 2003, Mr. Bolster telephoned Lynette Pineau, a case manger for the Superintendent, who advised that a letter requesting information related to his request was forthcoming. On January 21, 2003, Mr. Bolster's follow-up inquiry drew the response that the letter "was in the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Within 11 days of that complaint being filed, the Superintendent, on January 29, 2003, forwarded a letter outlining the information it needed to assess his application for a Class 1 licence. The requested information included: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of his previous Class 1 driving history (including names of employers, length of employment, type of driving, type of Class 1 vehicles operated and estimated number of Class 1 driving hours);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current need for the Class 1 driver's licence (type of employment, anticipated hours per week of Class 1 driving);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anticipated types of driving conditions;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concerning his visual history prior to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March 4, 2003 after being provided with extensive medical and other information by Mr. Bolster, the Superintendent gave Mr. Bolster approval to have an individualized functional assessment scheduled to take place at Community Therapists Inc. in Vancouver at Mr. Bolster's expense. The estimated cost was $1,145.00 and Mr. Bolster, who lived in Kamloops, was understandably concerned about the cost and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March 18, 2003 Mr. Bolster was advised he could have it done at Robertson Rehabilitation Inc. in Vernon but his financial circumstances would not allow him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June 12, 2003 Mr. Bolster suffered a work related injury and was off work for an extended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September 18, 2003, approximately 5 weeks before the hearing of his complaint was to begin, the Superintendent offered to pay for the individualized assessment. Mr. Bolster called and advised of his injury and that he would undergo the assessment as soon as he had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Between October 27 and October 30, 2001 the hearing of Mr. Bolster's complaint proceeded and on January 9, 2004 final submissions were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After the hearing, Mr. Bolster underwent the individualized driving assessment and on February 12, 2004 the Superintendent issued Mr. Bolster a Class 1 driver's licence with the same restrictions as that which they had revoked in October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TRIBUNAL'S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April 22, 2004 the Tribunal released its decision consisting of 34 pages of written reasons comprising 154 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the decision the Tribunal found that Mr. Bolster had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discrimination on the basis of physical disability and that the Superintendent had not established a bona fide and reasonable justification. The Tribunal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from the period of October 1998 to January 28, 2003, the Respondent discriminated against Mr. Bolster, without a reasonable and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justification, contrary to the Code. In addition, I find that from the period of March 3, 2003 to September 17, 2003, the Respondent discriminated against Mr. Bolster by refusing to pay the cost of his individualized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After disposing of a series of preliminary objections raised by the Superintendent as to the remedy, the Tribunal:</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ordered the Petitioner pay for Mr. Bolster's individualized testing if it had not already done so. (para. 128)</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awarded $141,939.28 in lost wages. (para. 129-143)</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ordered the Petitioner to pay an amount sufficient to offset any additional income tax liability Mr. Bolster may incur as a result of receiving compensation for lost wages for a five year period in a lump sum in one taxation years. (para. 144)</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declined to award damages for the lost opportunity to purchase a tractor trailer. (para. 145-148)</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awarded $5,000 for compensation for injury to Mr. Bolster's feelings, dignity, and self-respect. (para. 149-151)</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ordered interest payable on all amounts other than the award for injury to feelings, dignity and self-respect. (para. 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history of proceedings set out in the beginning of these reasons is important in this case because on October 15, 2004, nearly six months after the Tribunal's decision and nearly four months after the present petition was filed, the Administrative Tribunals Act,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came into force. This legislation deals specifically with the standard of review to be applied by a court in reviewing a decision of various listed administrative tribunals including the Human Rights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October 28, 2004 when the present hearing began this legislation had been in force for 13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Code does not contain a privative clause and, as a result, the section of the Administrative Tribunals Act (the "ATA") applicable to the Tribunal in this case is s. 59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Standard of review if tribunal's enabling Act has no privative clause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59(1) In a judicial review proceeding, the standard of review to be applied to a decision of the tribunal is correctness for all questions except those respecting the exercise of discretion, findings of fact and the application of the common law rules of natural justice and procedural fairness.</w:t>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must not set aside a finding of fact by the tribunal unless there is no evidence to support it or if, in light of all the evidence, the finding is otherwise unreasonable.</w:t>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must not set aside a discretionary decision of the tribunal unless it is patently unreasonable.</w:t>
      </w:r>
    </w:p>
    <w:p>
      <w:pPr>
        <w:numPr>
          <w:numId w:val="10"/>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(3), a discretionary decision is patently unreasonable if the discretion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arbitrarily or in bad faith,</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for an improper purpose,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based entirely or predominantly on irrelevant factors,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take statutory requirements into account.</w:t>
      </w:r>
    </w:p>
    <w:p>
      <w:pPr>
        <w:numPr>
          <w:numId w:val="1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Questions about the application of common law rules of natural justice and procedural fairness must be decided having regard to whether, in all of the circumstances, the tribunal acted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parties are essentially on common ground on the question of whether the Tribunal member erred in law or exceeded her jurisdiction in ordering the Crown to pay a compensatory award, the standard of review under both the pragmatic and functional approach mandated by the common law authorities and that specified under the new ATA legislation is that of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parties, however, differ on what they submit is the proper standard of review to be applied to the question of whether the Tribunal member erred in finding discrimination or ordering compensation from October 1998 and with respect to the question of the qualification of the compensatory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petitioner says that the ATA applies and that s. 59(2) and (3) apply as at the time of a court's review. This, they submit, does not give the legislation retroactive effect but simply applies the standards at the time of the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Tribunal which appeared on the hearing of this petition made submissions on the issue of the standard of review. They submit that s. 59 is not a procedural provision but rather one that substantively alters the content of the right to seek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An immediate application of s. 59 would, they submit, operate to change the substantive content of the applicable standards of review in relation to a decision made prior to its coming into force and in respect of which a judicial review proceeding was already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complainant and the personal respondent in this proceeding takes a similar position that s. 59 does not apply in this case as it would operate so as to remove a vested substantive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propositions advanced by both sides are correct. The difficulty inherent in the submission of the petitioner, however, is that it ignores the fact that Mr. Bolster, in this case, has a vested right. I emphasize the fact that prior to this legislation coming into effect he had made a complaint, taken that complaint to a hearing and obtained a decision in his favour. In my view, he is entitled to the benefits of that decision subject to the rights of review that existed at the time these proceedings were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distinction between procedural and substantive changes is important to this analysis. In R. Sullivan, Driedger on the Construction of Statutes, 3rd Ed. (Vancouver: Butterworths, 1994), the learned author, at 545, notes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be considered procedural in the circumstances of a case, a provision must be exclusively procedural; that is, its application to the facts in question must not interfere with any substantive rights or liabilities of the parties or produce other unjust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goes on to say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provision is "purely" procedural, the courts look to the substance of the provisions and its practical impact on the parties. The important thing is not the label, but the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 present case if the standard of review was unchanged after the enactment of the ATA perhaps it could be viewed as procedural, but if there is a difference then, in my view, it cannot be viewed as being purely procedural.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Re Hansard Spruce Mills Ltd., </w:t>
      </w:r>
      <w:hyperlink r:id="rId695"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it was recognized that on rare occasions and in specific circumstances a judge may decline to follow the decision of another judge of the same court where subsequent decisions have affected its validity, where some binding authority was not considered, or where the judgment was unconsidered.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While I would be loathe to describe any decision of Paris J. as unconsidered, it was an oral decision made without citation or analysis of what constitutes a procedural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Insofar as s. 59 of the ATA has altered the standard of review, in my view, those changes are substantive changes which cannot operate so as to affect existing rights which have accrued as at the time the changes came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Fraser (Re), </w:t>
      </w:r>
      <w:hyperlink r:id="rId1014" w:history="1">
        <w:r>
          <w:rPr>
            <w:rFonts w:ascii="arial" w:eastAsia="arial" w:hAnsi="arial" w:cs="arial"/>
            <w:i/>
            <w:color w:val="0077CC"/>
            <w:sz w:val="20"/>
            <w:u w:val="single"/>
            <w:shd w:val="clear" w:color="auto" w:fill="FFFFFF"/>
            <w:lang w:val="en-US" w:eastAsia="en-US" w:bidi="ar-SA"/>
          </w:rPr>
          <w:t>[1986] B.C.J. No. 2376</w:t>
        </w:r>
      </w:hyperlink>
      <w:r>
        <w:rPr>
          <w:rFonts w:ascii="arial" w:eastAsia="arial" w:hAnsi="arial" w:cs="arial"/>
          <w:color w:val="000000"/>
          <w:sz w:val="20"/>
          <w:lang w:val="en-US" w:eastAsia="en-US" w:bidi="ar-SA"/>
        </w:rPr>
        <w:t>, Gibbs J., in the context of an application brought under the Judicial Review Procedure Act to review a decision of the British Columbia Council of Human Rights under the Human Rights Act, wrote, at p.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of repeal, or destruction, of rights by implication has no application to human rights legislation. To accomplish that end clear legislative pronouncement is required. See Lamer J. in Insurance Corporation of British Columbia v. Heerspink et al. </w:t>
      </w:r>
      <w:hyperlink r:id="rId1015" w:history="1">
        <w:r>
          <w:rPr>
            <w:rFonts w:ascii="arial" w:eastAsia="arial" w:hAnsi="arial" w:cs="arial"/>
            <w:i/>
            <w:color w:val="0077CC"/>
            <w:sz w:val="20"/>
            <w:u w:val="single"/>
            <w:shd w:val="clear" w:color="auto" w:fill="FFFFFF"/>
            <w:lang w:val="en-US" w:eastAsia="en-US" w:bidi="ar-SA"/>
          </w:rPr>
          <w:t>(1982), 137 D.L.R. (3d) 219</w:t>
        </w:r>
      </w:hyperlink>
      <w:r>
        <w:rPr>
          <w:rFonts w:ascii="arial" w:eastAsia="arial" w:hAnsi="arial" w:cs="arial"/>
          <w:color w:val="000000"/>
          <w:sz w:val="20"/>
          <w:lang w:val="en-US" w:eastAsia="en-US" w:bidi="ar-SA"/>
        </w:rPr>
        <w:t xml:space="preserve"> (S.C.C.) at p. 229: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the subject-matter of a law is said to be the comprehensive statement of the "human rights" of the people living in that jurisdiction, then there is no doubt in my mind that the people of that jurisdiction have through their legislature clearly indicated that they consider that law, and the values it endeavours to buttress and protect, are, save their constitutional laws, more important than all others. Therefore, short of that legislature speaking to the contrary in express and unequivocal language in the Code or in some other enactment, it is intended that the Code supersede all other laws when conflict arises.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the legal proposition </w:t>
      </w:r>
      <w:r>
        <w:rPr>
          <w:rFonts w:ascii="arial" w:eastAsia="arial" w:hAnsi="arial" w:cs="arial"/>
          <w:i/>
          <w:color w:val="000000"/>
          <w:sz w:val="20"/>
          <w:lang w:val="en-US" w:eastAsia="en-US" w:bidi="ar-SA"/>
        </w:rPr>
        <w:t>generalia specialibus non derogant cannot be applied to such a Code. Indeed the Human Rights Code of British Columbia, 1973 (B.C.) (2nd Sess.), c. 119 [now the Human Rights Code, R.S.B.C. 1979, c. 186] when in conflict with "particular and specific legislation", is not to be treated as another ordinary law of general application. It should be recognized for what it is, a fundamental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would have been an easy matter for this legislation to have expressly incorporated a provision which made s. 59 applicable to cases in which reviews of decisions took place after the legislation came into effect. It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my view, s. 59 to the extent that it alters the standard of review effects substantive change and as such cannot be applied to applications brought prior to its coming into force and the standard of review applicable are those that existed at the time the decision was made and the petition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reaching the conclusion I have I am aware that my brother Paris J. in St. James Community Service Society v. Brent E. Johnston and The British Columbia Human Rights Tribunal, (unreported) December 2, 2004, Vancouver Registry No. L042142, reached a different conclusion and found that the charges were procedural. I observe that in the case before him the facts were undisputed and the issues were issues of law. I also note that despite that ruling he went on to indicate his analysis, under the common law pragmatic and functional approach, would not alter 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H.M.T.Q. v. Hutchinson et al, </w:t>
      </w:r>
      <w:hyperlink r:id="rId1016" w:history="1">
        <w:r>
          <w:rPr>
            <w:rFonts w:ascii="arial" w:eastAsia="arial" w:hAnsi="arial" w:cs="arial"/>
            <w:i/>
            <w:color w:val="0077CC"/>
            <w:sz w:val="20"/>
            <w:u w:val="single"/>
            <w:shd w:val="clear" w:color="auto" w:fill="FFFFFF"/>
            <w:lang w:val="en-US" w:eastAsia="en-US" w:bidi="ar-SA"/>
          </w:rPr>
          <w:t>[2005] B.C.J. No. 2270</w:t>
        </w:r>
      </w:hyperlink>
      <w:r>
        <w:rPr>
          <w:rFonts w:ascii="arial" w:eastAsia="arial" w:hAnsi="arial" w:cs="arial"/>
          <w:color w:val="000000"/>
          <w:sz w:val="20"/>
          <w:lang w:val="en-US" w:eastAsia="en-US" w:bidi="ar-SA"/>
        </w:rPr>
        <w:t xml:space="preserve">, </w:t>
      </w:r>
      <w:hyperlink r:id="rId1016" w:history="1">
        <w:r>
          <w:rPr>
            <w:rFonts w:ascii="arial" w:eastAsia="arial" w:hAnsi="arial" w:cs="arial"/>
            <w:i/>
            <w:color w:val="0077CC"/>
            <w:sz w:val="20"/>
            <w:u w:val="single"/>
            <w:shd w:val="clear" w:color="auto" w:fill="FFFFFF"/>
            <w:lang w:val="en-US" w:eastAsia="en-US" w:bidi="ar-SA"/>
          </w:rPr>
          <w:t>2005 BCSC 1421</w:t>
        </w:r>
      </w:hyperlink>
      <w:r>
        <w:rPr>
          <w:rFonts w:ascii="arial" w:eastAsia="arial" w:hAnsi="arial" w:cs="arial"/>
          <w:color w:val="000000"/>
          <w:sz w:val="20"/>
          <w:lang w:val="en-US" w:eastAsia="en-US" w:bidi="ar-SA"/>
        </w:rPr>
        <w:t xml:space="preserve"> at para. 72, Cullen J., for the purposes of his decision, accepted that the ATA applied and cited the decision of Paris J. in support. With the utmost deference to those decisions I have reached a different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Bartman v. Twohey et al, </w:t>
      </w:r>
      <w:hyperlink r:id="rId1017" w:history="1">
        <w:r>
          <w:rPr>
            <w:rFonts w:ascii="arial" w:eastAsia="arial" w:hAnsi="arial" w:cs="arial"/>
            <w:i/>
            <w:color w:val="0077CC"/>
            <w:sz w:val="20"/>
            <w:u w:val="single"/>
            <w:shd w:val="clear" w:color="auto" w:fill="FFFFFF"/>
            <w:lang w:val="en-US" w:eastAsia="en-US" w:bidi="ar-SA"/>
          </w:rPr>
          <w:t>[2004] B.C.J. No. 1896</w:t>
        </w:r>
      </w:hyperlink>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2004 BCSC 1211</w:t>
        </w:r>
      </w:hyperlink>
      <w:r>
        <w:rPr>
          <w:rFonts w:ascii="arial" w:eastAsia="arial" w:hAnsi="arial" w:cs="arial"/>
          <w:color w:val="000000"/>
          <w:sz w:val="20"/>
          <w:lang w:val="en-US" w:eastAsia="en-US" w:bidi="ar-SA"/>
        </w:rPr>
        <w:t>, Holmes J. canvassed at length the standard of review applicable in the case of a decision of the B.C. Human Rights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paras. 9 to 12 Holmes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There are three standards of review of the Tribunal's decisions:</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"correctness", which allows the Court to intervene if it disagrees with the decision under review;</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"reasonableness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i.e. whether the evidence, viewed reasonably, is capable of supporting the findings or inferences;</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"patent unreasonableness", the most deferential standard of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Assessing the standard of review applicable to review of an administrative tribunal's decision involves determination of legislative intent. Whether the legislature intended to leave an issue to the exclusive jurisdiction of the tribunal must be considered. [Pushpanathan v. Canada (Minister of Employment &amp; Immigration), </w:t>
      </w:r>
      <w:hyperlink r:id="rId1018" w:history="1">
        <w:r>
          <w:rPr>
            <w:rFonts w:ascii="arial" w:eastAsia="arial" w:hAnsi="arial" w:cs="arial"/>
            <w:i/>
            <w:color w:val="0077CC"/>
            <w:sz w:val="20"/>
            <w:u w:val="single"/>
            <w:shd w:val="clear" w:color="auto" w:fill="FFFFFF"/>
            <w:lang w:val="en-US" w:eastAsia="en-US" w:bidi="ar-SA"/>
          </w:rPr>
          <w:t>[1998] 1 S.C.R. 982</w:t>
        </w:r>
      </w:hyperlink>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160 D.L.R. (4th) 193</w:t>
        </w:r>
      </w:hyperlink>
      <w:r>
        <w:rPr>
          <w:rFonts w:ascii="arial" w:eastAsia="arial" w:hAnsi="arial" w:cs="arial"/>
          <w:color w:val="000000"/>
          <w:sz w:val="20"/>
          <w:lang w:val="en-US" w:eastAsia="en-US" w:bidi="ar-SA"/>
        </w:rPr>
        <w:t>, (paragraph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A determination of the appropriate level of deference to be accorded each issue under review involves employment of a pragmatic and functional approach. The appropriate level of deference dictates the standard of review applicable: patent unreasonableness, reasonableness simpliciter, or correctness. [Ryan v. Law Society (New Brunswick), </w:t>
      </w:r>
      <w:hyperlink r:id="rId1019" w:history="1">
        <w:r>
          <w:rPr>
            <w:rFonts w:ascii="arial" w:eastAsia="arial" w:hAnsi="arial" w:cs="arial"/>
            <w:i/>
            <w:color w:val="0077CC"/>
            <w:sz w:val="20"/>
            <w:u w:val="single"/>
            <w:shd w:val="clear" w:color="auto" w:fill="FFFFFF"/>
            <w:lang w:val="en-US" w:eastAsia="en-US" w:bidi="ar-SA"/>
          </w:rPr>
          <w:t>[2003] 1 S.C.R. 247</w:t>
        </w:r>
      </w:hyperlink>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223 D.L.R. (4th) 577</w:t>
        </w:r>
      </w:hyperlink>
      <w:r>
        <w:rPr>
          <w:rFonts w:ascii="arial" w:eastAsia="arial" w:hAnsi="arial" w:cs="arial"/>
          <w:color w:val="000000"/>
          <w:sz w:val="20"/>
          <w:lang w:val="en-US" w:eastAsia="en-US" w:bidi="ar-SA"/>
        </w:rPr>
        <w:t>, (paragraph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There are four relevant factors in determining the applicable standard of review:</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or absence of a privative clause, or a statutory right of appeal,</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expertise of the tribunal relative to the court,</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statute,</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problem.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Q. v. College of Physicians &amp; Surgeons (British Columbia), </w:t>
      </w:r>
      <w:hyperlink r:id="rId1020" w:history="1">
        <w:r>
          <w:rPr>
            <w:rFonts w:ascii="arial" w:eastAsia="arial" w:hAnsi="arial" w:cs="arial"/>
            <w:i/>
            <w:color w:val="0077CC"/>
            <w:sz w:val="20"/>
            <w:u w:val="single"/>
            <w:shd w:val="clear" w:color="auto" w:fill="FFFFFF"/>
            <w:lang w:val="en-US" w:eastAsia="en-US" w:bidi="ar-SA"/>
          </w:rPr>
          <w:t>[2003] 1 S.C.R. 226</w:t>
        </w:r>
      </w:hyperlink>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11 B.C.L.R. (4th) 1</w:t>
        </w:r>
      </w:hyperlink>
      <w:r>
        <w:rPr>
          <w:rFonts w:ascii="arial" w:eastAsia="arial" w:hAnsi="arial" w:cs="arial"/>
          <w:color w:val="000000"/>
          <w:sz w:val="20"/>
          <w:lang w:val="en-US" w:eastAsia="en-US" w:bidi="ar-SA"/>
        </w:rPr>
        <w:t>, (paragraph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TRIBUNAL ERR IN LAW OR EXCEED ITS JURISDICTION BY ORDERING THE PETITIONER TO PAY MR. BOLSTER FINANCIAL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decision under review the Tribunal member under s. 37(2)(d)(ii) of the Code ordered the province to pay Mr. Bolster $141,939.38 in respect of wages lost as a result of the discriminatory conduct and, under s. 37(2)(d)(iii) a further $5,000.00 for injury to feelings, dignity and self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petitioner submits that these awards are in contravention of long standing common law and constitutional principles which protect the Crown and hold it immune from damage awards arising from legislation, quasi-judicial or policy decisions made by government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approaching this issue it should be noted that in this petition (a) there is no dispute that the provincial Crown is bound by the Code; (b) the petitioner does not challenge the Tribunal's finding that they discriminated against Mr. Bolster without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and reasonable justification contrary to s. 8 of the Code. Instead it limits its challenge to the temporal scope of the finding, and (c) it does not challenge the Tribunal's jurisdiction to order a remedy against it under s. 37(2) of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issue as framed by the petitioner narrows this issue to a claim that longstanding principles of Crown immunity precludes the Tribunal from awarding monetary compensation under s. 37(2)(d)(ii) and (iii) despite findings of discriminatory government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support of this proposition the petitioner relies on the line of cases beginning with Welbridge Holdings Ltd. v. Winnipeg (Greater), </w:t>
      </w:r>
      <w:hyperlink r:id="rId649"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plaintiff's action in Welbridge was one brought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municipal corporation. Underlying the action was a zoning bylaw which was declared to be invalid. The plaintiff was precluded from recovering damages said to arise from the invalidity of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Laskin J., as he then was, speaking for the court drew a distinction between the defendant municipal corporation acting ". . . in a legislative capacity or [performing] a quasi-judicial duty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distinction, drawn at pp. 968 - 969, he found applied in situations where the municipality was "exercising discretionary statutory authority". He went on to conclude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incredible to say in such circumstances that it owed a duty of care giving rise to liability in damages for its breach "invalidity is not the test of fault and it should not be the test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other authorities relied upon include Quebec (Commission des droits de la persona et des droits de la jeunesse) v. Communauté urbaine de Montréal </w:t>
      </w:r>
      <w:hyperlink r:id="rId1021" w:history="1">
        <w:r>
          <w:rPr>
            <w:rFonts w:ascii="arial" w:eastAsia="arial" w:hAnsi="arial" w:cs="arial"/>
            <w:i/>
            <w:color w:val="0077CC"/>
            <w:sz w:val="20"/>
            <w:u w:val="single"/>
            <w:shd w:val="clear" w:color="auto" w:fill="FFFFFF"/>
            <w:lang w:val="en-US" w:eastAsia="en-US" w:bidi="ar-SA"/>
          </w:rPr>
          <w:t>[2004] 1 S.C.R. 789</w:t>
        </w:r>
      </w:hyperlink>
      <w:r>
        <w:rPr>
          <w:rFonts w:ascii="arial" w:eastAsia="arial" w:hAnsi="arial" w:cs="arial"/>
          <w:color w:val="000000"/>
          <w:sz w:val="20"/>
          <w:lang w:val="en-US" w:eastAsia="en-US" w:bidi="ar-SA"/>
        </w:rPr>
        <w:t xml:space="preserve">, Guimand v. Quebec (Attorney) </w:t>
      </w:r>
      <w:hyperlink r:id="rId650" w:history="1">
        <w:r>
          <w:rPr>
            <w:rFonts w:ascii="arial" w:eastAsia="arial" w:hAnsi="arial" w:cs="arial"/>
            <w:i/>
            <w:color w:val="0077CC"/>
            <w:sz w:val="20"/>
            <w:u w:val="single"/>
            <w:shd w:val="clear" w:color="auto" w:fill="FFFFFF"/>
            <w:lang w:val="en-US" w:eastAsia="en-US" w:bidi="ar-SA"/>
          </w:rPr>
          <w:t>[1996] 3 S.C.R. 347</w:t>
        </w:r>
      </w:hyperlink>
      <w:r>
        <w:rPr>
          <w:rFonts w:ascii="arial" w:eastAsia="arial" w:hAnsi="arial" w:cs="arial"/>
          <w:color w:val="000000"/>
          <w:sz w:val="20"/>
          <w:lang w:val="en-US" w:eastAsia="en-US" w:bidi="ar-SA"/>
        </w:rPr>
        <w:t xml:space="preserve">, Mackin v. New Brunswick (Minister of Finance) </w:t>
      </w:r>
      <w:hyperlink r:id="rId1022" w:history="1">
        <w:r>
          <w:rPr>
            <w:rFonts w:ascii="arial" w:eastAsia="arial" w:hAnsi="arial" w:cs="arial"/>
            <w:i/>
            <w:color w:val="0077CC"/>
            <w:sz w:val="20"/>
            <w:u w:val="single"/>
            <w:shd w:val="clear" w:color="auto" w:fill="FFFFFF"/>
            <w:lang w:val="en-US" w:eastAsia="en-US" w:bidi="ar-SA"/>
          </w:rPr>
          <w:t>[2002] 1 S.C.R. 405</w:t>
        </w:r>
      </w:hyperlink>
      <w:r>
        <w:rPr>
          <w:rFonts w:ascii="arial" w:eastAsia="arial" w:hAnsi="arial" w:cs="arial"/>
          <w:color w:val="000000"/>
          <w:sz w:val="20"/>
          <w:lang w:val="en-US" w:eastAsia="en-US" w:bidi="ar-SA"/>
        </w:rPr>
        <w:t xml:space="preserve">, McCorkell v. Riverview Hospital Review Panel </w:t>
      </w:r>
      <w:hyperlink r:id="rId1023" w:history="1">
        <w:r>
          <w:rPr>
            <w:rFonts w:ascii="arial" w:eastAsia="arial" w:hAnsi="arial" w:cs="arial"/>
            <w:i/>
            <w:color w:val="0077CC"/>
            <w:sz w:val="20"/>
            <w:u w:val="single"/>
            <w:shd w:val="clear" w:color="auto" w:fill="FFFFFF"/>
            <w:lang w:val="en-US" w:eastAsia="en-US" w:bidi="ar-SA"/>
          </w:rPr>
          <w:t>[1993] B.C.J. No. 1518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each case these decisions involved a consideration of whether legislation (a law or a regulation) was invalid by application of constitutional principles. In Guimand v. Quebec this involved a consideration of s. 52 of the Constitution Act, 1982 and s. 52 of the Quebec Charter of Human Rights and Freedoms. In Mackin it involved an attempt to amend the Provincial Court Act by Bill 7. The court found the legislation violated s. 11(d) of the Canadian Charter of Rights and Freedoms and declared it invalid under s. 52 of the Constitution Act,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McCorkell involved an unsuccessful challenge of provisions of the Mental Health Act as violating s. 7 and 9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Returning to the decision in Welbridge the critical reasoning in terms of the present case begins at p. 967: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Accepting that Hedley Byrne, [1964] A.C. 165, has expanded the concept of duty of care, whether in amplification or extension of Donoghue v. Stevenson, [1932] A.C. 562, it does not, nor, in my view, would any underlying principle which animates it, reach the case of </w:t>
      </w:r>
      <w:r>
        <w:rPr>
          <w:rFonts w:ascii="arial" w:eastAsia="arial" w:hAnsi="arial" w:cs="arial"/>
          <w:color w:val="000000"/>
          <w:sz w:val="20"/>
          <w:u w:val="single"/>
          <w:lang w:val="en-US" w:eastAsia="en-US" w:bidi="ar-SA"/>
        </w:rPr>
        <w:t>a legislative body, or other statutory tribunal with quasi-judicial functions, which in the good faith exercise of its powers promulgates an enactment or makes a decision which turns out to be invalid</w:t>
      </w:r>
      <w:r>
        <w:rPr>
          <w:rFonts w:ascii="arial" w:eastAsia="arial" w:hAnsi="arial" w:cs="arial"/>
          <w:color w:val="000000"/>
          <w:sz w:val="20"/>
          <w:lang w:val="en-US" w:eastAsia="en-US" w:bidi="ar-SA"/>
        </w:rPr>
        <w:t xml:space="preserve"> because of anterior procedural defects.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is a municipal corporation with a variety of functions, some legislative, some with also a quasi-judicial component (as the Wiswell case determined, </w:t>
      </w:r>
      <w:hyperlink r:id="rId1024" w:history="1">
        <w:r>
          <w:rPr>
            <w:rFonts w:ascii="arial" w:eastAsia="arial" w:hAnsi="arial" w:cs="arial"/>
            <w:i/>
            <w:color w:val="0077CC"/>
            <w:sz w:val="20"/>
            <w:u w:val="single"/>
            <w:shd w:val="clear" w:color="auto" w:fill="FFFFFF"/>
            <w:lang w:val="en-US" w:eastAsia="en-US" w:bidi="ar-SA"/>
          </w:rPr>
          <w:t>[1965] S.C.R. 512</w:t>
        </w:r>
      </w:hyperlink>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 xml:space="preserve">some administrative or ministerial, or perhaps better categorized as business powers. In exercising the latter, the defendant may undoubtedly (subject to statutory qualification) incur liabilities in contract and in tort, including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There may, therefore, be an individualization of responsibility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in the exercise of business powers which does not exist when the defendant acts in a legislative capacity or performs a quasi-judicial duty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is in the present case no law or regulation under attack and there is no underlying legislative function. At best the petitioner must strive to equate what happened in the present case with the exercise of a "quasi-judicial function" exercised in good faith. There is no decision here subsequently found to be invalid let alone one found to be invalid "because of anterior procedural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emphasize the fact that in the present case the decision was to cancel the complainant's existing driving licences without notice or consultation and to eventually reissue them on identical terms once the present complaint had been filed and the individual assessment had been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If I assume good faith on the part of the petitioner in light of what they submit is their overriding responsibility to protect the public, I must assume firstly that in issuing the licence originally and renewing it as necessary between 1985 and 1998 they properly fulfilled their duty in good faith and licensed Mr. Bolster. Secondly, I must assume that having finally provided Mr. Bolster with an individualized driving assessment they had that public protection responsibility in mind when they restored the identical licence to him on February 12, 2004 something over 5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am left with their decision, on October 26, 1998 to cancel his Class 1 commercial licence without notice or consultation, and without any evidence that his physical or medical conditions had changed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my view, the Welbridge decision and the line of authorities derived from it do not support the broad application of the concept of Crown immunity urged on the court in the present case. The Superintendent, in the case at bar, was exercising neither a legislative nor a quasi-judicial function but rather a "business" power. Even if I am wrong in that conclusion this is not a decision that turns out to be invalid as a result of procedural defects, nor on the circumstances present here is it possible to view the decision to cancel Mr. Bolster's licence as a good faith exercise of the powers entrusted to the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petitioner goes on to submit that the decision of Callaghan J. in Harrington (Guardian ad litem) v. Pappachristos </w:t>
      </w:r>
      <w:hyperlink r:id="rId62" w:history="1">
        <w:r>
          <w:rPr>
            <w:rFonts w:ascii="arial" w:eastAsia="arial" w:hAnsi="arial" w:cs="arial"/>
            <w:i/>
            <w:color w:val="0077CC"/>
            <w:sz w:val="20"/>
            <w:u w:val="single"/>
            <w:shd w:val="clear" w:color="auto" w:fill="FFFFFF"/>
            <w:lang w:val="en-US" w:eastAsia="en-US" w:bidi="ar-SA"/>
          </w:rPr>
          <w:t>[1992] B.C.J. No. 2600</w:t>
        </w:r>
      </w:hyperlink>
      <w:r>
        <w:rPr>
          <w:rFonts w:ascii="arial" w:eastAsia="arial" w:hAnsi="arial" w:cs="arial"/>
          <w:color w:val="000000"/>
          <w:sz w:val="20"/>
          <w:lang w:val="en-US" w:eastAsia="en-US" w:bidi="ar-SA"/>
        </w:rPr>
        <w:t xml:space="preserve"> supports its assertion that the Crown enjoys immunity from an award of damages if the individual was acting in a "quasi-judicial" manner. While this decision is indeed given in somewhat broad terms, that decision has been implicitly overruled by our Court of Appeal in British Columbia Council of Licensed Practical Nurses v. Mans, </w:t>
      </w:r>
      <w:hyperlink r:id="rId1025" w:history="1">
        <w:r>
          <w:rPr>
            <w:rFonts w:ascii="arial" w:eastAsia="arial" w:hAnsi="arial" w:cs="arial"/>
            <w:i/>
            <w:color w:val="0077CC"/>
            <w:sz w:val="20"/>
            <w:u w:val="single"/>
            <w:shd w:val="clear" w:color="auto" w:fill="FFFFFF"/>
            <w:lang w:val="en-US" w:eastAsia="en-US" w:bidi="ar-SA"/>
          </w:rPr>
          <w:t>[1993] B.C.J. No. 371</w:t>
        </w:r>
      </w:hyperlink>
      <w:r>
        <w:rPr>
          <w:rFonts w:ascii="arial" w:eastAsia="arial" w:hAnsi="arial" w:cs="arial"/>
          <w:color w:val="000000"/>
          <w:sz w:val="20"/>
          <w:lang w:val="en-US" w:eastAsia="en-US" w:bidi="ar-SA"/>
        </w:rPr>
        <w:t xml:space="preserve"> where they specifically found that licensing authorities are subject to human rights proceedings, including liability for compensatory damages. On appeal they specifically upheld the judge's conclusion that the jurisdiction of the Human Rights Council was not ousted by the fact that the complaint arose out of the exercise of statutory powers exercised by the LPN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British Columbia (Workers Compensation Board) v. British Columbia (Council of Human Rights) </w:t>
      </w:r>
      <w:hyperlink r:id="rId1026" w:history="1">
        <w:r>
          <w:rPr>
            <w:rFonts w:ascii="arial" w:eastAsia="arial" w:hAnsi="arial" w:cs="arial"/>
            <w:i/>
            <w:color w:val="0077CC"/>
            <w:sz w:val="20"/>
            <w:u w:val="single"/>
            <w:shd w:val="clear" w:color="auto" w:fill="FFFFFF"/>
            <w:lang w:val="en-US" w:eastAsia="en-US" w:bidi="ar-SA"/>
          </w:rPr>
          <w:t>(1990), 47 B.C.L.R. (2d) 119</w:t>
        </w:r>
      </w:hyperlink>
      <w:r>
        <w:rPr>
          <w:rFonts w:ascii="arial" w:eastAsia="arial" w:hAnsi="arial" w:cs="arial"/>
          <w:color w:val="000000"/>
          <w:sz w:val="20"/>
          <w:lang w:val="en-US" w:eastAsia="en-US" w:bidi="ar-SA"/>
        </w:rPr>
        <w:t>, the court reached a similar conclusion even where there existed a privative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 AND HUMAN RIGHTS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petitioner, in their written submissions, took the following position:</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submit that City of Montreal answers completely any question as to whether the Tribunal can make a compensatory award against government for actions taken of a quasi-judicial nature that may later be found to be "unlawfully (discriminatory) [sic]. While the City of Montreal acted in a discriminatory manner in relying upon hearing standards in deciding not to hire Mr. Laroque it did not follow that it was liable to Mr. Laroque for compensation for lost wages arising out of the discrimination. Likewise here, if the Superintendent discriminated against Mr. Bolster in relying upon sight standards, other medical information and Mr. Bolster's drivers record, and in not providing a functionally based individualized assessment it does not follow, notwithstanding the unlawfulness of the decision that he, or the province, is liable for any past wage loss Mr. Bolster experienced.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policy rationale for holding government immune from damage awards applies equally to legislative standards, policy standards or quasi-judicial decisions made pursuant to statute. The rationale behind limited immunity is to allow for effective and efficient government action. Government needs to be free from damage awards in order to effectively govern. In light of the law on Crown immunity the Tribunal had no jurisdiction to order the Province to compensate Mr. Bolster.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With respect this submission seeks to expand the decision well beyond its bounds to create a widespread form of Crown immunity that even encompasses specific terms of its own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narrow ratio of the City of Montreal decision can be found in paras. 18 and 19 of the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In the case at bar, as I have already mentioned, the dispute arose out of the adoption and application of a regulatory standard authorized by provincial legislation. It stems from the regulatory activities of the CUM authorized under s. 178.1 of its enabling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such cases, well-established principles of public law rule out the possibility of awarding damages when legislation is declared unconstitutional, be it on the grounds of a violation of the separation of legislative powers within the Canadian federation or of non-compliance with the Canadian Charter. The case law of this Court has been consistent in this regard. The Court's position was recently outlined in the comments of Gonthier J. in Mackin v. New Brunswick (Minister of Finance), </w:t>
      </w:r>
      <w:hyperlink r:id="rId1022" w:history="1">
        <w:r>
          <w:rPr>
            <w:rFonts w:ascii="arial" w:eastAsia="arial" w:hAnsi="arial" w:cs="arial"/>
            <w:i/>
            <w:color w:val="0077CC"/>
            <w:sz w:val="20"/>
            <w:u w:val="single"/>
            <w:shd w:val="clear" w:color="auto" w:fill="FFFFFF"/>
            <w:lang w:val="en-US" w:eastAsia="en-US" w:bidi="ar-SA"/>
          </w:rPr>
          <w:t>[2002] 1 S.C.R. 405</w:t>
        </w:r>
      </w:hyperlink>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2002 SCC 13</w:t>
        </w:r>
      </w:hyperlink>
      <w:r>
        <w:rPr>
          <w:rFonts w:ascii="arial" w:eastAsia="arial" w:hAnsi="arial" w:cs="arial"/>
          <w:color w:val="000000"/>
          <w:sz w:val="20"/>
          <w:lang w:val="en-US" w:eastAsia="en-US" w:bidi="ar-SA"/>
        </w:rPr>
        <w:t>, at paras. 78-79: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a general rule of public law, absent conduct that is clearly wrong, in bad faith or an abuse of power, the courts will not award damages for the harm suffered as a result of the mere enactment or application of a law that is subsequently declared to be unconstitutional (Welbridge Holdings Ltd. v. Greater Winnipeg, </w:t>
      </w:r>
      <w:hyperlink r:id="rId649"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 xml:space="preserve">; Central Canada Potash Co. v. Government of Saskatchewan, </w:t>
      </w:r>
      <w:hyperlink r:id="rId1027" w:history="1">
        <w:r>
          <w:rPr>
            <w:rFonts w:ascii="arial" w:eastAsia="arial" w:hAnsi="arial" w:cs="arial"/>
            <w:i/>
            <w:color w:val="0077CC"/>
            <w:sz w:val="20"/>
            <w:u w:val="single"/>
            <w:shd w:val="clear" w:color="auto" w:fill="FFFFFF"/>
            <w:lang w:val="en-US" w:eastAsia="en-US" w:bidi="ar-SA"/>
          </w:rPr>
          <w:t>[1979] 1 S.C.R. 42</w:t>
        </w:r>
      </w:hyperlink>
      <w:r>
        <w:rPr>
          <w:rFonts w:ascii="arial" w:eastAsia="arial" w:hAnsi="arial" w:cs="arial"/>
          <w:color w:val="000000"/>
          <w:sz w:val="20"/>
          <w:lang w:val="en-US" w:eastAsia="en-US" w:bidi="ar-SA"/>
        </w:rPr>
        <w:t>) . .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our parliamentary system of government, Parliament or a legislature of a province cannot be held liable for anything it does in exercising its legislative powers. The law is the source of duty, as much for citizens as for the Administration, and while a wrong and damaging failure to respect the law may for anyone raise a liability, it is hard to imagine that either Parliament or a legislature can as the lawmaker be held accountable for harm caused to an individual following the enactment of legislation. (Footnotes omitted.)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The limited immunity given to government is specifically a means of creating a balance between the protection of constitutional rights and the need for effective government. In other words, this doctrine makes it possible to determine whether a remedy is appropriate and just in the circumstances. Consequently, the reasons that inform the general principle of public law are also relevant in a Charter context. </w:t>
      </w:r>
      <w:r>
        <w:rPr>
          <w:rFonts w:ascii="arial" w:eastAsia="arial" w:hAnsi="arial" w:cs="arial"/>
          <w:color w:val="000000"/>
          <w:sz w:val="20"/>
          <w:u w:val="single"/>
          <w:lang w:val="en-US" w:eastAsia="en-US" w:bidi="ar-SA"/>
        </w:rPr>
        <w:t>Thus, the government and its representatives are required to exercise their powers in good faith and to respect the "established and indisputable" laws that define the constitutional rights of individuals. However, if they act in good faith and without abusing their power under prevailing law and only subsequently are their acts found to be unconstitutional, they will not be liable</w:t>
      </w:r>
      <w:r>
        <w:rPr>
          <w:rFonts w:ascii="arial" w:eastAsia="arial" w:hAnsi="arial" w:cs="arial"/>
          <w:color w:val="000000"/>
          <w:sz w:val="20"/>
          <w:lang w:val="en-US" w:eastAsia="en-US" w:bidi="ar-SA"/>
        </w:rPr>
        <w:t xml:space="preserve">. Otherwise, the effectiveness and efficiency of government action would be excessively constrained. </w:t>
      </w:r>
      <w:r>
        <w:rPr>
          <w:rFonts w:ascii="arial" w:eastAsia="arial" w:hAnsi="arial" w:cs="arial"/>
          <w:color w:val="000000"/>
          <w:sz w:val="20"/>
          <w:u w:val="single"/>
          <w:lang w:val="en-US" w:eastAsia="en-US" w:bidi="ar-SA"/>
        </w:rPr>
        <w:t>Laws must be given their full force and effect as long as they are not declared invalid</w:t>
      </w:r>
      <w:r>
        <w:rPr>
          <w:rFonts w:ascii="arial" w:eastAsia="arial" w:hAnsi="arial" w:cs="arial"/>
          <w:color w:val="000000"/>
          <w:sz w:val="20"/>
          <w:lang w:val="en-US" w:eastAsia="en-US" w:bidi="ar-SA"/>
        </w:rPr>
        <w:t xml:space="preserve">. Thus it is only in the event of conduct that is clearly wrong, in bad faith or an abuse of power that damages may be awarded (Crown Trust Co. v. The Queen in Right of Ontario </w:t>
      </w:r>
      <w:hyperlink r:id="rId1028" w:history="1">
        <w:r>
          <w:rPr>
            <w:rFonts w:ascii="arial" w:eastAsia="arial" w:hAnsi="arial" w:cs="arial"/>
            <w:i/>
            <w:color w:val="0077CC"/>
            <w:sz w:val="20"/>
            <w:u w:val="single"/>
            <w:shd w:val="clear" w:color="auto" w:fill="FFFFFF"/>
            <w:lang w:val="en-US" w:eastAsia="en-US" w:bidi="ar-SA"/>
          </w:rPr>
          <w:t>(1986), 26 D.L.R. (4th) 41</w:t>
        </w:r>
      </w:hyperlink>
      <w:r>
        <w:rPr>
          <w:rFonts w:ascii="arial" w:eastAsia="arial" w:hAnsi="arial" w:cs="arial"/>
          <w:color w:val="000000"/>
          <w:sz w:val="20"/>
          <w:lang w:val="en-US" w:eastAsia="en-US" w:bidi="ar-SA"/>
        </w:rPr>
        <w:t xml:space="preserve"> (Ont. Div.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I have already indicated in this case the petitioner seeks to expand the principle of Crown immunity well beyond that which is recognized in the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purpose of the Code is identified in s. 3 and its application by s.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is a conflict between this Code and any other enactment, this Code prevails.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s. 37(2)(d) a member or panel who has determined that a complaint is justified may:</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discriminated against is a party to the complaint, or is an identifiable member of a group or class on behalf of which a complaint is filed, may order the person that contravened this Code to do one or more of the following:</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available to the person discriminated against the right, opportunity or privilege that, in the opinion of the member or panel, the person was denied contrary to this Code;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compensate the person discriminated against for all, or a part the member or panel determines, of any wages or salary lost, or expenses incurred, by the contravention;</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 to the person discriminated against an amount that the member or panel considers appropriate to compensate that person for injury to dignity, feelings and self respect or to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Since 1979 the courts have recognized in this country the compensatory nature of human rights legislation determining that this type of legislation codifies the remedies for discrimination (see Bhadauria v. Board of Governors of Seneca College of Applied Art and Technology </w:t>
      </w:r>
      <w:hyperlink r:id="rId1029" w:history="1">
        <w:r>
          <w:rPr>
            <w:rFonts w:ascii="arial" w:eastAsia="arial" w:hAnsi="arial" w:cs="arial"/>
            <w:i/>
            <w:color w:val="0077CC"/>
            <w:sz w:val="20"/>
            <w:u w:val="single"/>
            <w:shd w:val="clear" w:color="auto" w:fill="FFFFFF"/>
            <w:lang w:val="en-US" w:eastAsia="en-US" w:bidi="ar-SA"/>
          </w:rPr>
          <w:t>(1979), 105 D.L.R. (3d) 707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courts have recognized and upheld the award of damage claims against government officials found to engage in discriminatory conduct even when these actions involved statutory discretion (see Canada (Attorney General) v. Green </w:t>
      </w:r>
      <w:hyperlink r:id="rId1030" w:history="1">
        <w:r>
          <w:rPr>
            <w:rFonts w:ascii="arial" w:eastAsia="arial" w:hAnsi="arial" w:cs="arial"/>
            <w:i/>
            <w:color w:val="0077CC"/>
            <w:sz w:val="20"/>
            <w:u w:val="single"/>
            <w:shd w:val="clear" w:color="auto" w:fill="FFFFFF"/>
            <w:lang w:val="en-US" w:eastAsia="en-US" w:bidi="ar-SA"/>
          </w:rPr>
          <w:t>(2000) 38 C.H.R.R. D/1</w:t>
        </w:r>
      </w:hyperlink>
      <w:r>
        <w:rPr>
          <w:rFonts w:ascii="arial" w:eastAsia="arial" w:hAnsi="arial" w:cs="arial"/>
          <w:color w:val="000000"/>
          <w:sz w:val="20"/>
          <w:lang w:val="en-US" w:eastAsia="en-US" w:bidi="ar-SA"/>
        </w:rPr>
        <w:t xml:space="preserve"> (F.C.T.D.); British Columbia (Superintendent of Motor Vehicles) v. British Columbia Council of Human Rights </w:t>
      </w:r>
      <w:hyperlink r:id="rId1031" w:history="1">
        <w:r>
          <w:rPr>
            <w:rFonts w:ascii="arial" w:eastAsia="arial" w:hAnsi="arial" w:cs="arial"/>
            <w:i/>
            <w:color w:val="0077CC"/>
            <w:sz w:val="20"/>
            <w:u w:val="single"/>
            <w:shd w:val="clear" w:color="auto" w:fill="FFFFFF"/>
            <w:lang w:val="en-US" w:eastAsia="en-US" w:bidi="ar-SA"/>
          </w:rPr>
          <w:t>[1999] 3 S.C.R. 868</w:t>
        </w:r>
      </w:hyperlink>
      <w:r>
        <w:rPr>
          <w:rFonts w:ascii="arial" w:eastAsia="arial" w:hAnsi="arial" w:cs="arial"/>
          <w:color w:val="000000"/>
          <w:sz w:val="20"/>
          <w:lang w:val="en-US" w:eastAsia="en-US" w:bidi="ar-SA"/>
        </w:rPr>
        <w:t xml:space="preserve"> ("Grismer")).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It is equally clear that human rights legislation has been recognized as having a special character and nature. In Winnipeg School Division No. 1 v. Craton, </w:t>
      </w:r>
      <w:hyperlink r:id="rId1032" w:history="1">
        <w:r>
          <w:rPr>
            <w:rFonts w:ascii="arial" w:eastAsia="arial" w:hAnsi="arial" w:cs="arial"/>
            <w:i/>
            <w:color w:val="0077CC"/>
            <w:sz w:val="20"/>
            <w:u w:val="single"/>
            <w:shd w:val="clear" w:color="auto" w:fill="FFFFFF"/>
            <w:lang w:val="en-US" w:eastAsia="en-US" w:bidi="ar-SA"/>
          </w:rPr>
          <w:t>[1985] 2 S.C.R. 150</w:t>
        </w:r>
      </w:hyperlink>
      <w:r>
        <w:rPr>
          <w:rFonts w:ascii="arial" w:eastAsia="arial" w:hAnsi="arial" w:cs="arial"/>
          <w:color w:val="000000"/>
          <w:sz w:val="20"/>
          <w:lang w:val="en-US" w:eastAsia="en-US" w:bidi="ar-SA"/>
        </w:rPr>
        <w:t>, the Supreme Court of Canada observed at para. 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Human rights legislation is of a special nature and declares public policy regarding matters of general concern. It is not constitutional in nature in the sense that it may not be altered, amended, or repealed by the Legislature. It is, however, of such nature that it may not be altered, amended, or repealed, nor may exceptions be created to its provisions, save by clear legislative pronouncement. To adopt and apply any theory of implied repeal by later statutory enactment to legislation of this kind would be to rob it of its special nature and give scant protection to the rights it proclaims.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am satisfied that a plain reading of the Code provides the Tribunal hearing a complaint and finding that the complaint is justified, by s. 37 the statutory jurisdiction to order that the person discriminated against be compensated. The provisions of s. 37(2)(d)(ii) specifically contemplate an award of compensation for lost wages or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There is, in my view, no principle of law emerging from the authorities relied upon by the petitioner which limit the Tribunal's statutory jurisdiction to make such an award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petitioner relies heavily on the City of Montreal decision as imposing such limits. With respect, there are, in my view, two important distinguishing features. Firstly, the facts in that case arose from a discriminatory regulation passed under specific regulatory authority and, as such, specifically engaged the legislative authority aspect of Crown immunity. Secondly, there was, in that case, two specific legislated limits on the jurisdiction of the Quebec Human Rights Tribunal to award damages against the government. Those limits are found in s. 80 of the Charter of Rights and Freedoms, R.S.Q., c. 12 and in s. 1376 of the Civil Code of Quebec, S.Q. 1991, c.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No such legislative limits exist in the present case, despite the fact it was within the power of the legislature to include such limits within the language when it enacted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It is also significant, in my view, that since its enactment the Code has been significantly reviewed on two occasions. In 2002 it was substantially reworked with the dismantling of the Commission and the restructuring of the Code's application (B.C. Human Rights Code Amendment Act, 2002 (Bill 64) S.B.C. 2002, c. 62). In 2004 the subject was again considered by the legislature with the enactment of the Administrative Tribunals Act,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xml:space="preserve"> and with the enactment of the Attorney General Statutes Amendment Act, S.B.C. 2004, c.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Despite these express and recent considerations no express limitation exists within the Code which would limit the Tribunal from exercising its express statutory power in s. 37. In my view, in such circumstances it is inappropriate for the court to effectively write such limits into the Code (Canada (Attorney General) v. Mossop </w:t>
      </w:r>
      <w:hyperlink r:id="rId499" w:history="1">
        <w:r>
          <w:rPr>
            <w:rFonts w:ascii="arial" w:eastAsia="arial" w:hAnsi="arial" w:cs="arial"/>
            <w:i/>
            <w:color w:val="0077CC"/>
            <w:sz w:val="20"/>
            <w:u w:val="single"/>
            <w:shd w:val="clear" w:color="auto" w:fill="FFFFFF"/>
            <w:lang w:val="en-US" w:eastAsia="en-US" w:bidi="ar-SA"/>
          </w:rPr>
          <w:t>[1993] 1 S.C.R. 554</w:t>
        </w:r>
      </w:hyperlink>
      <w:r>
        <w:rPr>
          <w:rFonts w:ascii="arial" w:eastAsia="arial" w:hAnsi="arial" w:cs="arial"/>
          <w:color w:val="000000"/>
          <w:sz w:val="20"/>
          <w:lang w:val="en-US" w:eastAsia="en-US" w:bidi="ar-SA"/>
        </w:rPr>
        <w:t xml:space="preserve"> at 581 and Berg v. University of British Columbia </w:t>
      </w:r>
      <w:hyperlink r:id="rId1033" w:history="1">
        <w:r>
          <w:rPr>
            <w:rFonts w:ascii="arial" w:eastAsia="arial" w:hAnsi="arial" w:cs="arial"/>
            <w:i/>
            <w:color w:val="0077CC"/>
            <w:sz w:val="20"/>
            <w:u w:val="single"/>
            <w:shd w:val="clear" w:color="auto" w:fill="FFFFFF"/>
            <w:lang w:val="en-US" w:eastAsia="en-US" w:bidi="ar-SA"/>
          </w:rPr>
          <w:t>[1993] 2 S.C.R. 353</w:t>
        </w:r>
      </w:hyperlink>
      <w:r>
        <w:rPr>
          <w:rFonts w:ascii="arial" w:eastAsia="arial" w:hAnsi="arial" w:cs="arial"/>
          <w:color w:val="000000"/>
          <w:sz w:val="20"/>
          <w:lang w:val="en-US" w:eastAsia="en-US" w:bidi="ar-SA"/>
        </w:rPr>
        <w:t xml:space="preserve"> at 371).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TRIBUNAL ERR IN FINDING LIABILITY FOR DISCRIMINATION FROM OCTOBER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petitioner submits that the Tribunal's finding of discrimination from October 1998 cannot be supported because until the Supreme Court of Canada released its decision in Grismer on December 16, 1999, there was no obligation on the Superintendent to offer individualized assessments. This result, they submit, flows from the decision of our Court of Appeal that, until it was overturned by the Supreme Court of Canada, held that requiring individual assessment was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petitioner also submits that between December 1999 and November 2002 there is little evidence that Mr. Bolster was pressing for the reinstatement of his commercial Class 1 licence on an individualized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TRIBUNAL'S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On this aspect of the matter the Tribunal determined that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discriminatory conduct was the cancellation of Mr. Bolster's Class 1 licence in October 1998 and not reinstating it (paras. 76 - 81). They found this was a continuing discrimination.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Tribunal went on to reject the submission that the petitioner had accommodated Mr. Bolster or that there was a bona fide and reasonable justification for its conduct. In making these findings the Tribunal specifically found that the petitioner had not fairly assessed the risk posed by Mr. Bolster based on all the evidence before it, but rather relied solely on Mr. Bolster's failure to meet its visual acuity standards (paras. 88 - 91).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cannot summarize the evidence on this aspect of the matter better than it was in para. 90 of the decision under review: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I recognize and appreciate that it is part of the OSMV's responsibility to protect the travelling public from individuals who might pose a risk. However, there is no indication that the OSMV took into account any factors other than Mr. Bolster's visual acuity that may have assisted them in making a risk assessment: for example, </w:t>
      </w:r>
      <w:r>
        <w:rPr>
          <w:rFonts w:ascii="arial" w:eastAsia="arial" w:hAnsi="arial" w:cs="arial"/>
          <w:color w:val="000000"/>
          <w:sz w:val="20"/>
          <w:u w:val="single"/>
          <w:lang w:val="en-US" w:eastAsia="en-US" w:bidi="ar-SA"/>
        </w:rPr>
        <w:t>the opinions of his treating physicians, the congenital nature of his condition (which made it more likely that Mr. Bolster had learned to compensate for his low visual acuity), the fact that his condition was not deteriorating, his 13 years of commercial driving experience, or his driving record</w:t>
      </w:r>
      <w:r>
        <w:rPr>
          <w:rFonts w:ascii="arial" w:eastAsia="arial" w:hAnsi="arial" w:cs="arial"/>
          <w:color w:val="000000"/>
          <w:sz w:val="20"/>
          <w:lang w:val="en-US" w:eastAsia="en-US" w:bidi="ar-SA"/>
        </w:rPr>
        <w:t>. This does not constitute an individual assessment. In cancelling Mr. Bolster's licence in this manner, the OSMV discriminated against him contrary to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Tribunal went on to conclude that the initial reconsideration by Dr. Beattie did not meet the requirements of the Code, and, in fact, applied the very kind of stereotyping by assumption and generalization it was designed to avoid (paras. 92 - 93).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Medical Review Panel subsequently convened equally, in the Tribunal's view, failed to meet the standard required by focusing on Mr. Bolster's disability rather than his proven abilities (paras. 94 - 98).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January 2003, the Tribunal found that the petitioner began a good faith process of providing Mr. Bolster with an individualized assessment. Even then, however, they required Mr. Bolster to pay for the assessment which they found constituted further discrimination. The petitioner finally agreed to pay for the assessment eight months later on September 18, 2003 (paras. 99 - 102).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Tribunal concluded that the petitioner discriminated against Mr. Bolster without a reasonable and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justification from October 1998 to January 28, 2003, and from March 3, 2003 to September 17, 2003 by refusing to pay the cost of his individualized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A finding of discrimination such as this is a question of mixed fact and law and as such the standard of review is reasonableness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petitioner essentially submits that it was not obliged to provide an individualized assessment because of the decision of our Court of Appeal in Grismer. With respect that submission ignores the other components of the Tribunal's finding. Central to those findings was the conclusion that the petitioner cancelled Mr. Bolster's licence without ever fairly assessing the risk he may have posed on the basis of the evidence they had before them and readily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This cancellation was of a commercial Class 1 licence that had been held by Mr. Bolster to the petitioner's knowledge for 13 years. The petitioner had not only issued the licence originally (presumably and in fact after full and detailed assessments were required of him) it had also presumably renewed it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Whether or not they were required to provide an individualized assessment by the reasoning of the Court of Appeal, the conclusion is inescapable that on the basis of their own records in issuing the licence they had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fact that eventually after providing an individualized assessment they reissued the licence they had cancelled only serves to highlight the extent to which the decision to cancel stands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respondent Bolster submits that the petitioner's argument is unsound because s. 2 of the Code provides: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Discrimination in contravention of this Code does not require an intention to contravene this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He submits that if intention is not an element then knowledge of the Court of Appeal's decision cannot change the existence of an act of discrimination.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British Columbia (Public Service Relations Commission) v. BCGSEU </w:t>
      </w:r>
      <w:hyperlink r:id="rId1034" w:history="1">
        <w:r>
          <w:rPr>
            <w:rFonts w:ascii="arial" w:eastAsia="arial" w:hAnsi="arial" w:cs="arial"/>
            <w:i/>
            <w:color w:val="0077CC"/>
            <w:sz w:val="20"/>
            <w:u w:val="single"/>
            <w:shd w:val="clear" w:color="auto" w:fill="FFFFFF"/>
            <w:lang w:val="en-US" w:eastAsia="en-US" w:bidi="ar-SA"/>
          </w:rPr>
          <w:t>[1999] 3 S.C.R. 3</w:t>
        </w:r>
      </w:hyperlink>
      <w:r>
        <w:rPr>
          <w:rFonts w:ascii="arial" w:eastAsia="arial" w:hAnsi="arial" w:cs="arial"/>
          <w:color w:val="000000"/>
          <w:sz w:val="20"/>
          <w:lang w:val="en-US" w:eastAsia="en-US" w:bidi="ar-SA"/>
        </w:rPr>
        <w:t xml:space="preserve"> ("Meiorin") and in Grismer the Supreme Court of Canada determined that once a prima facie case of discrimination has been established the onus shifts to the party accused of discrimination to justify its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three step process established requires the party accused of discrimination to demonstrate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and reasonable justification by proving:</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adopted the standard for a purpose or goal that is rationally connected to the function being performed;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adopted the standard in good faith, in the belief that it is necessary to the fulfilment of the purpose or goal;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is reasonably necessary to accomplish its purposes or goals, in the sense that the respondent cannot accommodate the complainant and others adversely affected by the standard without incurring undue hardship.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petitioner had direct involvement at all stages in the Grismer litigation and had knowledge of the issues in that litigation as well as those in Hussey v. British Columbia (Ministry of Transportation and Highways), </w:t>
      </w:r>
      <w:hyperlink r:id="rId1035" w:history="1">
        <w:r>
          <w:rPr>
            <w:rFonts w:ascii="arial" w:eastAsia="arial" w:hAnsi="arial" w:cs="arial"/>
            <w:i/>
            <w:color w:val="0077CC"/>
            <w:sz w:val="20"/>
            <w:u w:val="single"/>
            <w:shd w:val="clear" w:color="auto" w:fill="FFFFFF"/>
            <w:lang w:val="en-US" w:eastAsia="en-US" w:bidi="ar-SA"/>
          </w:rPr>
          <w:t>[1999] B.C.H.R.T.D. No. 63</w:t>
        </w:r>
      </w:hyperlink>
      <w:r>
        <w:rPr>
          <w:rFonts w:ascii="arial" w:eastAsia="arial" w:hAnsi="arial" w:cs="arial"/>
          <w:color w:val="000000"/>
          <w:sz w:val="20"/>
          <w:lang w:val="en-US" w:eastAsia="en-US" w:bidi="ar-SA"/>
        </w:rPr>
        <w:t xml:space="preserve">, </w:t>
      </w:r>
      <w:hyperlink r:id="rId1035" w:history="1">
        <w:r>
          <w:rPr>
            <w:rFonts w:ascii="arial" w:eastAsia="arial" w:hAnsi="arial" w:cs="arial"/>
            <w:i/>
            <w:color w:val="0077CC"/>
            <w:sz w:val="20"/>
            <w:u w:val="single"/>
            <w:shd w:val="clear" w:color="auto" w:fill="FFFFFF"/>
            <w:lang w:val="en-US" w:eastAsia="en-US" w:bidi="ar-SA"/>
          </w:rPr>
          <w:t>36 C.H.R.R. D/429</w:t>
        </w:r>
      </w:hyperlink>
      <w:r>
        <w:rPr>
          <w:rFonts w:ascii="arial" w:eastAsia="arial" w:hAnsi="arial" w:cs="arial"/>
          <w:color w:val="000000"/>
          <w:sz w:val="20"/>
          <w:lang w:val="en-US" w:eastAsia="en-US" w:bidi="ar-SA"/>
        </w:rPr>
        <w:t xml:space="preserve"> (B.C.H.R.T.). Despite that there is no evidence that the petitioner changed its practices to comply with those mandated by Grismer or Meiorin. It was only after Mr. Bolster had taken initial steps towards initiating these proceedings that the petitioner took any steps towards conducting an individualized assessment. That was in January 2003 over three years after the decision in Grismer was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petitioner's submission that Mr. Bolster did not actively pursue the matter between December 1999 and November 2002 must be given the weight it deserves in the context of the evidence as a whole. The cancellation of his licence had created pressure both financially and emotionally. He had limited income and funds and his efforts were met with repeated rejections. On May 4, 2001, he became a bankrupt. The Tribunal made a specific finding that he did pursue the matter of his Class 1 licence and, on the evidence that conclusion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find the Tribunal's finding of discrimination and liability for that discrimination was reasonable and meets the requisite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TRIBUNAL ERR IN DETERMINING THE QUANTITY OF COMPENSATION TO BE PAID TO MR. BOLSTER?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petitioner submits that the Tribunal erred in assessing the quantum of compensation in awarding some $5,000 per month when his income tax returns from 1992 to 1997 showed income of some $5,000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TRIBUNAL'S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Tribunal in this case made the following factual findings on the issue of compensation:</w:t>
      </w:r>
      <w:r>
        <w:rPr>
          <w:rFonts w:ascii="arial" w:eastAsia="arial" w:hAnsi="arial" w:cs="arial"/>
          <w:sz w:val="20"/>
          <w:lang w:val="en-US" w:eastAsia="en-US" w:bidi="ar-SA"/>
        </w:rPr>
        <w:cr/>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Bolster as a result of the cancellation of his licence was unable to continue his work for Westcan (para. 130);</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his licence was cancelled he was earning net monthly income in excess of $5,000 from his position at Westcan;</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period of loss extended some 51 months;</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Bolster's total income loss over that period would have totalled $255,000 but his efforts to mitigate his losses reduced that amount to $166,987.51 (paras. 131 - 139);</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negative contingencies would reduce that loss by 15% bringing the loss to $141,939.38 (paras. 140 - 143).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Tribunal's findings in determining the appropriate remedy under s. 37 are either factual or discretionary in nature and the applicable standard of review in either case is that of patent unreasonableness.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authorities recognize that common law principles governing compensating damages should be applied in the human rights context (Vanton v. B.C. (Council of Human Rights), </w:t>
      </w:r>
      <w:hyperlink r:id="rId1036" w:history="1">
        <w:r>
          <w:rPr>
            <w:rFonts w:ascii="arial" w:eastAsia="arial" w:hAnsi="arial" w:cs="arial"/>
            <w:i/>
            <w:color w:val="0077CC"/>
            <w:sz w:val="20"/>
            <w:u w:val="single"/>
            <w:shd w:val="clear" w:color="auto" w:fill="FFFFFF"/>
            <w:lang w:val="en-US" w:eastAsia="en-US" w:bidi="ar-SA"/>
          </w:rPr>
          <w:t>[1994] B.C.J. No. 497</w:t>
        </w:r>
      </w:hyperlink>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21 C.H.R.R. D/492</w:t>
        </w:r>
      </w:hyperlink>
      <w:r>
        <w:rPr>
          <w:rFonts w:ascii="arial" w:eastAsia="arial" w:hAnsi="arial" w:cs="arial"/>
          <w:color w:val="000000"/>
          <w:sz w:val="20"/>
          <w:lang w:val="en-US" w:eastAsia="en-US" w:bidi="ar-SA"/>
        </w:rPr>
        <w:t xml:space="preserve"> (B.C.S.C.)). Those principles are usefully set out in Andrews v. Grand &amp; Toy Alberta Ltd. </w:t>
      </w:r>
      <w:hyperlink r:id="rId41"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and Wallace v. United Grain Growers Ltd. </w:t>
      </w:r>
      <w:hyperlink r:id="rId1037" w:history="1">
        <w:r>
          <w:rPr>
            <w:rFonts w:ascii="arial" w:eastAsia="arial" w:hAnsi="arial" w:cs="arial"/>
            <w:i/>
            <w:color w:val="0077CC"/>
            <w:sz w:val="20"/>
            <w:u w:val="single"/>
            <w:shd w:val="clear" w:color="auto" w:fill="FFFFFF"/>
            <w:lang w:val="en-US" w:eastAsia="en-US" w:bidi="ar-SA"/>
          </w:rPr>
          <w:t>[1997] 3 S.C.R. 701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When Mr. Bolster's licence was cancelled he was working for Westcan earning a fixed wage. Prior to that he had run his own business with his former wife. When they divorced he sold that business and went to work for Westcan.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September 1998 Mr. Bolster was injured in a motor vehicle accident. I.C.B.C. concluded his wage loss for a 16 day period was $4,454.56.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my view, there is no rational basis on the facts of this case to give overriding weight to Mr. Bolster's income tax returns prior to his beginning fulltime employment with Westcan. This is particularly so when the tax returns and financial statements of that business were not before the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commencement of his employment with Westcan was an event that to a significant extent fixed his income and his loss. The approach taken by the Tribunal was reasonable in the circumstances and, in my view, cannot be found to be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standards of review applicable to a decision rendered prior to the coming into force of the Administrative Tribunals Act on which an application to review had been filed is that in effect at the time of the decision under review.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applicable standards are:</w:t>
      </w:r>
    </w:p>
    <w:p>
      <w:pPr>
        <w:numPr>
          <w:numId w:val="2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of interpretation of the bona fide and reasonable justification under s. 8(1) of the Code is a question of law on which the Tribunal must be correct.</w:t>
      </w:r>
    </w:p>
    <w:p>
      <w:pPr>
        <w:numPr>
          <w:numId w:val="2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the Tribunal's factual findings are challenged, the standard is patent unreasonableness.</w:t>
      </w:r>
    </w:p>
    <w:p>
      <w:pPr>
        <w:numPr>
          <w:numId w:val="2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finding of discrimination is a mixed finding of fact and law and the standard of review is reasonableness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w:t>
      </w:r>
    </w:p>
    <w:p>
      <w:pPr>
        <w:numPr>
          <w:numId w:val="2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allegation that the Tribunal erred in awarding compensation is a finding of fact or an exercise of discretion and the standard of review is that of patent unreasonableness.</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Tribunal neither erred in law nor exceeded its jurisdiction by ordering the petitioner to pay compensation to Mr. Bolster.</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Tribunal did not err in finding discrimination or in determining that it began in October 1998.</w:t>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Tribunal did not err in quantifying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dismiss the petition for judicial review. Costs may be spoken to if counsel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1"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38"/>
          <w:headerReference w:type="default" r:id="rId1039"/>
          <w:footerReference w:type="even" r:id="rId1040"/>
          <w:footerReference w:type="default" r:id="rId1041"/>
          <w:headerReference w:type="first" r:id="rId1042"/>
          <w:footerReference w:type="first" r:id="rId10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44" w:history="1">
        <w:r>
          <w:rPr>
            <w:rFonts w:ascii="arial" w:eastAsia="arial" w:hAnsi="arial" w:cs="arial"/>
            <w:b/>
            <w:bCs/>
            <w:i/>
            <w:color w:val="0077CC"/>
            <w:kern w:val="32"/>
            <w:sz w:val="28"/>
            <w:szCs w:val="32"/>
            <w:u w:val="single"/>
            <w:shd w:val="clear" w:color="auto" w:fill="FFFFFF"/>
            <w:lang w:val="en-US" w:eastAsia="en-US" w:bidi="ar-SA"/>
          </w:rPr>
          <w:t>Canada Mortgage and Housing Corp. v. Barclay Construction Corp., [2007] B.C.J. No. 1411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Pitfield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9 and 17,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C992877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1411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885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63 C.L.R. (3d) 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158 A.C.W.S. (3d) 581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1513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Canada Mortgage and Housing Corporation, Plaintiff, and Barclay Construction Corporation, Neale Staniszkis Doll Adams Architects, Derrick W. Neale Architect Incorporated, Tom Staniszkis Architect Incorporated, Jerry I. Doll Architect Incorporated, Derrick W. Neale, Tom Staniszkis and Jerry I. Doll, Defendants, and Neale Staniszkis Doll Adams Architects, Derrick W. Neale Architect Incorporated, Tom Staniszkis Architect Incorporated, Jerry I. Doll Architect Incorporated, Derrick W. Neale, Tom Staniszkis and Jerry I. Doll, Steven Lerer Engineering Ltd., Femo Construction Ltd., South Slope Railings Ltd., Highland Industries Ltd., Crown Roofing Company Inc., Enviro-Vac Systems Inc., N.A.P. Building Products Ltd., Prestige Glass Ltd., Eltex Enterprises Ltd., Glenco Electric Ltd., Fox Mechanical Ltd., and John Doe carrying on business as K-3 Contractors, Third Parties, and E.I. DuPont Canada Company and E.I. DuPont de Nemours and Company,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2"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0" w:name="Keywords_31"/>
      <w:bookmarkEnd w:id="250"/>
      <w:r>
        <w:rPr>
          <w:rFonts w:ascii="arial" w:eastAsia="arial" w:hAnsi="arial" w:cs="arial"/>
          <w:b/>
          <w:color w:val="000000"/>
          <w:sz w:val="20"/>
          <w:lang w:val="en-US" w:eastAsia="en-US" w:bidi="ar-SA"/>
        </w:rPr>
        <w:t>Civil procedure — Parties — Third party procedure — Notice — Striking out or setting aside — The application to strike the third party notice was dismissed — The delay did not justify striking the third party notice, as unlike the situation in which a plaintiff applied to add a party as a defendant after the limitation period in relation to that party had expired, the limitation period in respect of a claim for indemnity did not begin to run until the liability of the defendant had been established.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of actions — Time — When time begins to run — The application to strike the third party notice was dismissed — The delay did not justify striking the third party notice, as unlike the situation in which a plaintiff applied to add a party as a defendant after the limitation period in relation to that party had expired, the limitation period in respect of a claim for indemnity did not begin to run until the liability of the defendant had been established.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of actions — Construction law — The application to strike the third party notice was dismissed — The delay did not justify striking the third party notice, as unlike the situation in which a plaintiff applied to add a party as a defendant after the limitation period in relation to that party had expired, the limitation period in respect of a claim for indemnity did not begin to run until the liability of the defendant had been established.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1" w:name="Case Summary_29"/>
            <w:bookmarkEnd w:id="2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"leaky condominium" action, the applicants sought to strike the third party notice issued to them by the defendant architects -- The applicants manufactured and distributed a building wrap material used in the construction of the apartment building, and the architects claimed the applicants misrepresented the capacity of the material to prevent water damage, that they negligently manufactured the product, or failed to warn them that the material was not suitable for use in the kind of construction employed on the project -- The two issues were (a) whether the notice should be struck because of the unexplained delay between the filing of the architects' defence in 1999 and the filing of the third party notice in 2005, and (b) if it was not struck, whether intervening events in the form of the settlement with the defendants and the assignment to the plaintiffs of the rights associated with the third party now justified the striking of the third party notice -- HELD: The application to strike the third party notice was dismissed -- The balance of justice and convenience did not justify striking the notice -- The delay did not justify striking the third party notice -- Unlike the situation in which a plaintiff applied to add a party as a defendant after the limitation period in relation to that party had expired, the limitation period in respect of a claim for indemnity did not begin to run until the liability of the defendant had been established -- That being the case, it would be open to the architect defendants to commence an action for indemnity within six years of September 2005 when liability was established by settlement, and the argument relating to limitation periods could not succeed -- Moreover, the applicants were not caught unaware -- The settlement between the plaintiff and the architects and the commencement of the plaintiff's action against the present applicants did not alter the situation so that an order to strike was warranted.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2" w:name="Legislation Cited_18"/>
      <w:bookmarkEnd w:id="2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3"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22(6)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3" w:name="Counsel_43"/>
      <w:bookmarkEnd w:id="2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4"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Architect Defendants (NSDA): Terrance A. Kowalchuk.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E.I. DuPont Canada Company and E.I. DuPont de Nemours and Company: Charles F. Willms, Kevin O'Callaghan,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4" w:name="Judgment_43"/>
      <w:bookmarkEnd w:id="254"/>
      <w:r>
        <w:pict>
          <v:line id="_x0000_s1215" style="position:absolute;z-index:2518425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5" w:name="PITFIELD J._0"/>
            <w:bookmarkEnd w:id="255"/>
            <w:r>
              <w:rPr>
                <w:rFonts w:ascii="arial" w:eastAsia="arial" w:hAnsi="arial" w:cs="arial"/>
                <w:b/>
                <w:color w:val="000000"/>
                <w:sz w:val="30"/>
                <w:lang w:val="en-US" w:eastAsia="en-US" w:bidi="ar-SA"/>
              </w:rPr>
              <w:t>PITFIELD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"leaky condominium" action in which E.I. DuPont Canada Company ("DuPont Canada") and E.I. DuPont de Nemours and Company ("DuPont de Nemours") apply under Rule 22(6) to strike the third party notice issued to them by the architect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DuPont de Nemours manufactures, and DuPont Canada distributes, a product known as "Tyvek", a building wrap material that was used in the construction of a 62-unit, four-storey, apartment building located at 3525-3595 West Broadway, Vancouver, British Columbia, described as the "Point Grey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that the architects were negligent in the design of the building or, alternatively, negligent in the supervision and inspection of construction, thereby permitting deficiencies which allowed water to enter and damage the envelope and structural elements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architects claim that DuPont Canada and DuPont de Nemours misrepresented the capacity of Tyvek to prevent water damage, negligently manufactured the product, or failed to warn them that Tyvek was not suitable for use in the kind of construction employed in the Point Grey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support of their application to strike the third party notice, the applicants allege the following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retained the defendant, Barclay Construction Corporation, as the general contractor. Construction commenced in 1992 and was substantially completed by August 1994. On March 28, 1995, the plaintiff retained Gordon Spratt and Associates ("Spratt") to inspect the building. In November 1995, Spratt investigated reports of water leaks in the building. Leaks were identified. The third parties claim that Spratt issued a report containing photographs taken June 25 through June 28, 1996, and a second report showing photographs taken July 2, 5, 10 and 15, 1996, in which Tyvek was associated with the water damage. A series of meetings ensued between the plaintiff, the architect defendants, and Spratt regarding remediation of the building. The deficiencies were corrected between July 1996 and July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June 4, 1999, the plaintiff commenced this action naming the general contractor and the architects as defendants. The architect defendants filed a statement of defence on October 1, 1999. The architects issued a third party notice to DuPont Canada and DuPont de Nemours on February 21, 2005, by which time the limitation period, which the third parties say commenced in 1996 or 1997 at the latest, had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filed an amended statement of claim on July 22,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September 29, 2005, the plaintiff and the architect defendants concluded a settlement whereby the architects consented to judgment in favour of the plaintiff in the amount of $250,000 inclusive of damages, pre-judgment interest and costs, and assigned their third party claim against DuPont Canada and DuPont de Nemours to the plaintiff. For present purposes, the material terms of the settlement agreement were the following:</w:t>
      </w:r>
      <w:r>
        <w:rPr>
          <w:rFonts w:ascii="arial" w:eastAsia="arial" w:hAnsi="arial" w:cs="arial"/>
          <w:sz w:val="20"/>
          <w:lang w:val="en-US" w:eastAsia="en-US" w:bidi="ar-SA"/>
        </w:rPr>
        <w:cr/>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consideration of $5.00, the receipt and sufficiency whereof is hereby acknowledged, and, further the consideration hereinbefore specified and acknowledged, the Architect Defendants hereby absolutely assign, transfer and convey to the Plaintiff all claims, rights, actions and causes of action, including for contribution and indemnity, and, further, claims and rights pursuant to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c.333</w:t>
      </w:r>
      <w:r>
        <w:rPr>
          <w:rFonts w:ascii="arial" w:eastAsia="arial" w:hAnsi="arial" w:cs="arial"/>
          <w:color w:val="000000"/>
          <w:sz w:val="20"/>
          <w:lang w:val="en-US" w:eastAsia="en-US" w:bidi="ar-SA"/>
        </w:rPr>
        <w:t>, as amended, against the Du Pont Third Parties, including the claims set out in the Du Pont Third Party Notice as may be amended from time to time, in respect of the $250,000 paid by or on behalf of the Architect Defendants' Judgment or otherwise in respect of the matters referred to in or relating to this Action (the "Architect Assigned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Architect Defendants for and on behalf of themselves, and further, their partners, officers, directors and employees as of the date of this Agreement, hereby agree to assist the Plaintiff in presenting and pursuing the claims which are assigned, transferred and conveyed by the Architect Defendants and by Barclay against the Du Pont Third Parties and the Non-Settling Third Parties and, further, any claims which the Plaintiff may add or commence against the Du Pont Third parties and the Non-Settling Third Parties as defendants with respect to the Unrecovered Damages (the "Direct Claims"), for the purpose of obtaining and enforcing judgments against the Du Pont Third Parties and the Non-Settling Third Parties and, to that end, hereby agree that they shall:</w:t>
      </w:r>
    </w:p>
    <w:p>
      <w:pPr>
        <w:numPr>
          <w:numId w:val="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and make available, as may reasonably be requested by Plaintiff's counsel, Mr. Derek Neale, or, if Mr. Neale is unavailable, such substitute as may be acceptable to CMHC in its sole discretion, for the purposes of assisting counsel, and giving evidence, including by affidavit, on examination for discovery, by commission and at trial, ...</w:t>
      </w:r>
    </w:p>
    <w:p>
      <w:pPr>
        <w:numPr>
          <w:numId w:val="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 make available and provide to the Plaintiff's counsel all evidence, documents and copies of documents, including expert reports, within their power, possession, custody or control relating to the matters in issue in the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a settlement with any person or Third Party or Third Parties in the action, the Plaintiff may require the Architect Defendants and Barclay to execute releases of the Defendants or Third Parties and their respective affiliated and associated companies, officers, directors, servants, employees, agents, successors, assigns, and the insurers ("Releases") or other closing documentation as may reasonably be required, and the Architect Defendants and Barclay shall forthwith provide the Plaintiff with duly executed Releases or other closing documentation as may reasonably be required upon the Plaintiff's request.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$5.00, the receipt and sufficiency whereof is hereby acknowledged, and which said consideration is in addition to the consideration hereinbefore specified and acknowledged, the Architect Defendants and Barclay hereby absolutely assign to the Plaintiff any and all proceeds, settlement funds and/or consideration whether monetary or otherwise relating to the Assigned Claims, the Direct Claims and/or the Action recovered by the Plaintiff either by settlement of or judgment in the Assigned Claims, the Direct Claims and/or the Action.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Architect Defendants and Barclay hereby disclaim and relinquish any entitlement to any and all proceeds, settlement funds and/or consideration whether monetary or otherwise relating to the Assigned Claims, the Direct Claims and/or Action recovered by the Plaintiff either by settlement of or judgment in the Assigned Claims, the Direct Claims and/or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October 5, 2005, the plaintiff commenced a new action naming DuPont Canada and DuPont de Nemours as defendants (the "New Action"). In that action, the plaintiff claims that DuPont Canada and DuPont de Nemours made negligent misrepresentations with respect to Tyvek, breached collateral warranties in favour of the plaintiff, breached a duty to warn, and supplied a defective product. Except to the extent that the plaintiff claims the benefit of collateral warranties, the damage alleged and the relief claimed parallel the claim for contribution and indemnity asserted in the third party notice issued by the architect defendants to DuPont Canada and DuPont de Nemours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DuPont Canada and DuPont de Nemours filed a statement of defence in the New Action on October 25,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June 27, 2006, the plaintiff applied for judgment in the amount of $250,000 against the architect defendants as contemplated by the settlement with them. DuPont Canada and DuPont de Nemours opposed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June 13, 2006, the plaintiff filed an amended third party notice on behalf of the architect defendants. On October 5, 2006, DuPont Canada and DuPont de Nemours filed a statement of defence to the amended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February 9, 2007, DuPont Canada and DuPont de Nemours filed a notice of motion seeking to strike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That being the background, DuPont Canada and DuPont de Nemours claim that the third party notice should be struck because: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deprives them of a limitation defence in circumstances where the architect defendants have not explained the delay in issuing a third party notice from 1999 through February 2005.</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no trial of the main action because of the settlement and the ability to defend against the third party notice is thereby impaired.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of the architect defendants to claim indemnity against the third parties has been abrogated by virtue of the assignment of the right to the plaintiffs.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rights against DuPont Canada and DuPont de Nemours should be determined in the action commenced by the plaintiff against them as defendants on October 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architect defendants, now represented by the plaintiff, respond by saying that: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Prejudice in the form of the loss of a limitation defence in relation to the third party claim is contemplated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actual prejudice has been pleaded or demonstrated by the third party defendants arising from the filing of the third party notice.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claim is limited to contribution and indemnity in respect of damages of $250,000 agreed to by the architect defendants.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additional claims asserted by the plaintiffs against DuPont Canada and DuPont de Nemours are pleaded in the separate action commenced October 5, 2005.</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of contribution and indemnity has not been lost or abrogated, but the benefit thereof has been assigned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result of the third party defendants' application depends on answers to two questions. The first is whether the third party notice filed February 21, 2005 should be struck because of the unexplained delay between the filing of the architect defendants' defence in 1999, and the filing of the third party notice in February 2005. The second is whether, if the third party notice is not struck at the outset, intervening events in the form of the settlement with the architect defendants and the assignment to the plaintiffs of the rights associated with the third party, now justify the striking of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kind of analysis in which the court must engage when considering whether to exercise the discretion to strike a third party notice was described in </w:t>
      </w:r>
      <w:r>
        <w:rPr>
          <w:rFonts w:ascii="arial" w:eastAsia="arial" w:hAnsi="arial" w:cs="arial"/>
          <w:i/>
          <w:color w:val="000000"/>
          <w:sz w:val="20"/>
          <w:lang w:val="en-US" w:eastAsia="en-US" w:bidi="ar-SA"/>
        </w:rPr>
        <w:t>Lui and Lui v. West Granville Manor Ltd. No. 1</w:t>
      </w:r>
      <w:r>
        <w:rPr>
          <w:rFonts w:ascii="arial" w:eastAsia="arial" w:hAnsi="arial" w:cs="arial"/>
          <w:color w:val="000000"/>
          <w:sz w:val="20"/>
          <w:lang w:val="en-US" w:eastAsia="en-US" w:bidi="ar-SA"/>
        </w:rPr>
        <w:t xml:space="preserve"> </w:t>
      </w:r>
      <w:hyperlink r:id="rId1045" w:history="1">
        <w:r>
          <w:rPr>
            <w:rFonts w:ascii="arial" w:eastAsia="arial" w:hAnsi="arial" w:cs="arial"/>
            <w:i/>
            <w:color w:val="0077CC"/>
            <w:sz w:val="20"/>
            <w:u w:val="single"/>
            <w:shd w:val="clear" w:color="auto" w:fill="FFFFFF"/>
            <w:lang w:val="en-US" w:eastAsia="en-US" w:bidi="ar-SA"/>
          </w:rPr>
          <w:t>(1985), 61 B.C.L.R. 315</w:t>
        </w:r>
      </w:hyperlink>
      <w:r>
        <w:rPr>
          <w:rFonts w:ascii="arial" w:eastAsia="arial" w:hAnsi="arial" w:cs="arial"/>
          <w:color w:val="000000"/>
          <w:sz w:val="20"/>
          <w:lang w:val="en-US" w:eastAsia="en-US" w:bidi="ar-SA"/>
        </w:rPr>
        <w:t xml:space="preserve"> (C.A.), </w:t>
      </w:r>
      <w:hyperlink r:id="rId1045" w:history="1">
        <w:r>
          <w:rPr>
            <w:rFonts w:ascii="arial" w:eastAsia="arial" w:hAnsi="arial" w:cs="arial"/>
            <w:i/>
            <w:color w:val="0077CC"/>
            <w:sz w:val="20"/>
            <w:u w:val="single"/>
            <w:shd w:val="clear" w:color="auto" w:fill="FFFFFF"/>
            <w:lang w:val="en-US" w:eastAsia="en-US" w:bidi="ar-SA"/>
          </w:rPr>
          <w:t>18 D.L.R. (4th) 391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Lui v. West Granville Manor Ltd. No. 2</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(1987), 11 B.C.L.R. (2d) 273</w:t>
        </w:r>
      </w:hyperlink>
      <w:r>
        <w:rPr>
          <w:rFonts w:ascii="arial" w:eastAsia="arial" w:hAnsi="arial" w:cs="arial"/>
          <w:color w:val="000000"/>
          <w:sz w:val="20"/>
          <w:lang w:val="en-US" w:eastAsia="en-US" w:bidi="ar-SA"/>
        </w:rPr>
        <w:t xml:space="preserve"> (C.A.), </w:t>
      </w:r>
      <w:hyperlink r:id="rId70" w:history="1">
        <w:r>
          <w:rPr>
            <w:rFonts w:ascii="arial" w:eastAsia="arial" w:hAnsi="arial" w:cs="arial"/>
            <w:i/>
            <w:color w:val="0077CC"/>
            <w:sz w:val="20"/>
            <w:u w:val="single"/>
            <w:shd w:val="clear" w:color="auto" w:fill="FFFFFF"/>
            <w:lang w:val="en-US" w:eastAsia="en-US" w:bidi="ar-SA"/>
          </w:rPr>
          <w:t>[1987] 4 W.W.R. 49</w:t>
        </w:r>
      </w:hyperlink>
      <w:r>
        <w:rPr>
          <w:rFonts w:ascii="arial" w:eastAsia="arial" w:hAnsi="arial" w:cs="arial"/>
          <w:color w:val="000000"/>
          <w:sz w:val="20"/>
          <w:lang w:val="en-US" w:eastAsia="en-US" w:bidi="ar-SA"/>
        </w:rPr>
        <w:t>, decisions of three-judge and five-judge panels, respectively, of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issue in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was whether a cause of action in respect of which the limitation period had most assuredly expired, and which was markedly different from the cause pleaded in the action that had been commenced in that instance within the prescribed limitation period and settled, could be invigorated by means of a third party notice served in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decisions did not involve applications to strike third party notices issued by a defendant claiming contribution and indemnity from a third party in respect of the defendant's potential liability in the base action. That notwithstanding, the Court of Appeal held that similar considerations should apply whether one was dealing with an application to strike a third party notice claiming contribution and indemnity, or an application to strike a third party notice purporting to advance a new or independent cause of action that did not arise from, or in connection with, the initial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principles enunciated by the Court of Appeal in </w:t>
      </w:r>
      <w:r>
        <w:rPr>
          <w:rFonts w:ascii="arial" w:eastAsia="arial" w:hAnsi="arial" w:cs="arial"/>
          <w:i/>
          <w:color w:val="000000"/>
          <w:sz w:val="20"/>
          <w:lang w:val="en-US" w:eastAsia="en-US" w:bidi="ar-SA"/>
        </w:rPr>
        <w:t>Lui No. 1</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Lui No. 2</w:t>
      </w:r>
      <w:r>
        <w:rPr>
          <w:rFonts w:ascii="arial" w:eastAsia="arial" w:hAnsi="arial" w:cs="arial"/>
          <w:color w:val="000000"/>
          <w:sz w:val="20"/>
          <w:lang w:val="en-US" w:eastAsia="en-US" w:bidi="ar-SA"/>
        </w:rPr>
        <w:t xml:space="preserve"> may be summarized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legislative purpose of s. 4(1)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was to eliminate any limitation defence in all proceedings described in paragraphs (a) to (d) of s. 4(1).</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 original parties to the original proceedings, there is no injustice in permitting all issues to be raised that, in the words of s. 4(1), relate to or are connected with the subject matter of the original action.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expiry of a limitation period is a relevant factor in determining whether subordinate proceedings, namely those not directly related to, or arising out of, the original cause of action, can be commenced by means of a third party notice.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exercise of discretion to strike or refrain from striking a third party notice, the fundamental principle should be to balance the interests of justice and convenience in relation to all the parties. In </w:t>
      </w:r>
      <w:r>
        <w:rPr>
          <w:rFonts w:ascii="arial" w:eastAsia="arial" w:hAnsi="arial" w:cs="arial"/>
          <w:i/>
          <w:color w:val="000000"/>
          <w:sz w:val="20"/>
          <w:lang w:val="en-US" w:eastAsia="en-US" w:bidi="ar-SA"/>
        </w:rPr>
        <w:t>Lui No. 1, supra,</w:t>
      </w:r>
      <w:r>
        <w:rPr>
          <w:rFonts w:ascii="arial" w:eastAsia="arial" w:hAnsi="arial" w:cs="arial"/>
          <w:color w:val="000000"/>
          <w:sz w:val="20"/>
          <w:lang w:val="en-US" w:eastAsia="en-US" w:bidi="ar-SA"/>
        </w:rPr>
        <w:t xml:space="preserve"> at 405 (D.L.R.), the factors were described in the following terms: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is the fair thing to do? Who suffers prejudice if the discretion is exercised? How much prejudice? Who suffers prejudice if the discretion is not exercised? How much prejudice? Have the parties acted properly and reasonably in their own interests? If a party has not acted properly and reasonably, should he be relieved from the consequences of his own behaviour? Is there another course available to one or other of the parties? Where does the balance of convenience lie?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Lui No. 2, supra,</w:t>
      </w:r>
      <w:r>
        <w:rPr>
          <w:rFonts w:ascii="arial" w:eastAsia="arial" w:hAnsi="arial" w:cs="arial"/>
          <w:color w:val="000000"/>
          <w:sz w:val="20"/>
          <w:lang w:val="en-US" w:eastAsia="en-US" w:bidi="ar-SA"/>
        </w:rPr>
        <w:t xml:space="preserve"> at 303 (B.C.L.R.), the Court of Appeal added the following caveat: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guidelines set out ... deal only with balancing the interests of the parties with respect to limitation defences. But delay or even the mere passage of time can sometimes adversely affect the opportunity of one or other of the parties to make its case. That adverse effect would constitute a separate factor which might alter the balance of justice and convenience.</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Finally, where the limitation period has expired, and the third party proceedings set up a separate cause of action subordinate to the original action, prejudice to the third party must be presumed, and a reasonable explanation for the delay is required from the defendant who issued the third party proceedings in the original action before the third party notice will be allowed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It is worth repeating that the foregoing principles or guidelines were framed in the context of an attempt to advance a new and independent cause of action, for which the limitation period had expired, by means of a third party notice served in an action that had been commenced within the relevant limitation period. The end result in </w:t>
      </w:r>
      <w:r>
        <w:rPr>
          <w:rFonts w:ascii="arial" w:eastAsia="arial" w:hAnsi="arial" w:cs="arial"/>
          <w:i/>
          <w:color w:val="000000"/>
          <w:sz w:val="20"/>
          <w:lang w:val="en-US" w:eastAsia="en-US" w:bidi="ar-SA"/>
        </w:rPr>
        <w:t>Lui No. 2</w:t>
      </w:r>
      <w:r>
        <w:rPr>
          <w:rFonts w:ascii="arial" w:eastAsia="arial" w:hAnsi="arial" w:cs="arial"/>
          <w:color w:val="000000"/>
          <w:sz w:val="20"/>
          <w:lang w:val="en-US" w:eastAsia="en-US" w:bidi="ar-SA"/>
        </w:rPr>
        <w:t xml:space="preserve"> was that the delay in commencing the independent cause of action was not adequately explained, and the third party notice was struck. The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guidelines were not developed in the context of an application to strike a third party notice claiming contribution and indemnity in respect of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of the opinion that the balance of justice and convenience, assessed in the context of the circumstances that prevailed at the time it was issued in February 2005, or in the context of the settlement and assignment in September 2005, does not justify striking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respect, the arguments advanced by the third party defendants in support of their application tend to conflate the third party claim and the more recent New Action in which the third parties are named directly as defendants. In fact, the claims are materially different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third party notice originally issued by the architect defendants claims contribution and indemnity in respect of any damages for which the architect defendants were found to be liable to the plaintiff. That continues to be the thrust of the amended third party notice and the subject of the relief claimed. In this proceeding, the question is whether any portion of the architects' loss was caused by actions of either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plaintiff's New Action against DuPont Canada and DuPont de Nemours claims damages in respect of loss sustained by the plaintiff directly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their misrepresentations, or product deficiencies. The issue in that action is whether the defendants are directly liable to the plaintiff for any of the costs of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Rules of Court permit a defendant to issue a third party notice without a court order and, by virtue of s. 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 fact that any limitation period has expired is of no consequence. In this regard, a third party proceeding differs from the addition of a defendant to an action in which case a court order is required. The application will only be granted in the event it is "just and convenient" to make the addition, and, in that assessment, prejudice resulting from the loss of any protection afforded by a limitation period will be presumed.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Had the plaintiff not commenced its own action against the DuPont defendants, any criticism of the third party proceeding based on expiry of the limitation period alone would, I suggest, have been bound to fail. In my opinion, the fact of the New Action cannot affect the result. Whether the DuPont defendants can claim the benefit of a limitation period in the New Action is a matter for consideration and adjudication in that action. Whatever the outcome, the character of the original third party proceeding seeking contribution and indemnity in respect of the architects' liability remains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question that remains to be resolved is whether any of the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factors justify striking the third party notice. In terms of comparative prejudice, ordinarily if not always, the refusal to strike a third party notice will be far more prejudicial to the third party than to the defendant initiating the proceeding because of loss of the protection of a limitation period. However, that prejudice is contemplated and condoned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actual prejudice might be sufficient to warrant striking the third party notice, the DuPont defendants do not allege actual prejudice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my opinion, the single factor of concern identified in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that warrants consideration in this case where the issue is contribution and indemnity rather than initiation of an independent action under the guise of a third party proceeding, is the delay between the commencement of the plaintiff's action against the architects in 1999, and the issue of a third party notice to DuPont Canada and DuPont de Nemours five and one-half years later in 2005. I conclude, however, that the delay does not justify striking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Unlike the situation in which a plaintiff applies to add a party as a defendant after the limitation period in relation to that party has expired, the limitation period in respect of a claim for indemnity does not begin to run until the liability of the defendant has been established: see </w:t>
      </w:r>
      <w:r>
        <w:rPr>
          <w:rFonts w:ascii="arial" w:eastAsia="arial" w:hAnsi="arial" w:cs="arial"/>
          <w:i/>
          <w:color w:val="000000"/>
          <w:sz w:val="20"/>
          <w:lang w:val="en-US" w:eastAsia="en-US" w:bidi="ar-SA"/>
        </w:rPr>
        <w:t>Krusel v. Firth</w:t>
      </w:r>
      <w:r>
        <w:rPr>
          <w:rFonts w:ascii="arial" w:eastAsia="arial" w:hAnsi="arial" w:cs="arial"/>
          <w:color w:val="000000"/>
          <w:sz w:val="20"/>
          <w:lang w:val="en-US" w:eastAsia="en-US" w:bidi="ar-SA"/>
        </w:rPr>
        <w:t xml:space="preserve"> </w:t>
      </w:r>
      <w:hyperlink r:id="rId1046" w:history="1">
        <w:r>
          <w:rPr>
            <w:rFonts w:ascii="arial" w:eastAsia="arial" w:hAnsi="arial" w:cs="arial"/>
            <w:i/>
            <w:color w:val="0077CC"/>
            <w:sz w:val="20"/>
            <w:u w:val="single"/>
            <w:shd w:val="clear" w:color="auto" w:fill="FFFFFF"/>
            <w:lang w:val="en-US" w:eastAsia="en-US" w:bidi="ar-SA"/>
          </w:rPr>
          <w:t>(1991), 61 B.C.L.R. (2d) 312</w:t>
        </w:r>
      </w:hyperlink>
      <w:r>
        <w:rPr>
          <w:rFonts w:ascii="arial" w:eastAsia="arial" w:hAnsi="arial" w:cs="arial"/>
          <w:color w:val="000000"/>
          <w:sz w:val="20"/>
          <w:lang w:val="en-US" w:eastAsia="en-US" w:bidi="ar-SA"/>
        </w:rPr>
        <w:t xml:space="preserve"> at para. 47, </w:t>
      </w:r>
      <w:r>
        <w:rPr>
          <w:rFonts w:ascii="arial" w:eastAsia="arial" w:hAnsi="arial" w:cs="arial"/>
          <w:i/>
          <w:color w:val="000000"/>
          <w:sz w:val="20"/>
          <w:lang w:val="en-US" w:eastAsia="en-US" w:bidi="ar-SA"/>
        </w:rPr>
        <w:t>et seq.</w:t>
      </w:r>
      <w:r>
        <w:rPr>
          <w:rFonts w:ascii="arial" w:eastAsia="arial" w:hAnsi="arial" w:cs="arial"/>
          <w:color w:val="000000"/>
          <w:sz w:val="20"/>
          <w:lang w:val="en-US" w:eastAsia="en-US" w:bidi="ar-SA"/>
        </w:rPr>
        <w:t xml:space="preserve"> That being the case, it would be open to the architect defendants to commence an action for indemnity within six years of September 2005 when liability was established by settlement, and the argument relating to limitation periods could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case, even if delay in commencing the third party proceeding could justify an order to strike, the order would not be warranted. The affidavit evidence persuades me that DuPont Canada and DuPont de Nemours were aware that the use of Tyvek in this kind of construction was alleged to be a cause of water ingress in other similar projects involving the plaintiff, the general contractor, and the architects. The DuPont defendants were not caught unaware.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DuPont defendants engaged in extensive pre-trial activity between February 2005, when the third party notice was served upon them, and early 2007, when the application to strike was filed. The third parties say that their purpose in doing so was to determine whether there was a basis for the third party claim and a basis for moving to strike. I am not persuaded that the pre-trial activity was a necessary pre-condition to the motion to strike, given the principal objection which was directed at the loss of the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remaining concern is whether the settlement between the plaintiff and the architect defendants and the commencement of the plaintiff's action against DuPont Canada and DuPont de Nemours in 2005 alter the situation so that an order to strike is warranted. In my opinion, they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some circumstances, the fact a defendant settles will condemn a third party proceeding to failure, but that need not be the case, and will not be the case when a settlement is concluded after the commencement of third party proceedings: see </w:t>
      </w:r>
      <w:r>
        <w:rPr>
          <w:rFonts w:ascii="arial" w:eastAsia="arial" w:hAnsi="arial" w:cs="arial"/>
          <w:i/>
          <w:color w:val="000000"/>
          <w:sz w:val="20"/>
          <w:lang w:val="en-US" w:eastAsia="en-US" w:bidi="ar-SA"/>
        </w:rPr>
        <w:t>Pybus .v. Palm Springs &amp; European Health Spa Ltd.</w:t>
      </w:r>
      <w:r>
        <w:rPr>
          <w:rFonts w:ascii="arial" w:eastAsia="arial" w:hAnsi="arial" w:cs="arial"/>
          <w:color w:val="000000"/>
          <w:sz w:val="20"/>
          <w:lang w:val="en-US" w:eastAsia="en-US" w:bidi="ar-SA"/>
        </w:rPr>
        <w:t xml:space="preserve"> </w:t>
      </w:r>
      <w:hyperlink r:id="rId1047" w:history="1">
        <w:r>
          <w:rPr>
            <w:rFonts w:ascii="arial" w:eastAsia="arial" w:hAnsi="arial" w:cs="arial"/>
            <w:i/>
            <w:color w:val="0077CC"/>
            <w:sz w:val="20"/>
            <w:u w:val="single"/>
            <w:shd w:val="clear" w:color="auto" w:fill="FFFFFF"/>
            <w:lang w:val="en-US" w:eastAsia="en-US" w:bidi="ar-SA"/>
          </w:rPr>
          <w:t>(1986), 20 C.P.C. (2d) 92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assignment of the benefit of the architect defendants' claim for contribution and indemnity is not fatal. The architects' original claim for contribution and indemnity persists. There is no reason why those defendants may not assign any benefit actually derived from their claim. The decision to do so is purely commercial and economic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fact that the benefit associated with the claim was assigned was undoubtedly a factor in assessing the value of the settlement and the plaintiff's decision to accept the sum of $250,000 as damages coupled with an assignment of the risk and benefit associated with the claim for contribution and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my opinion, it is reasonable to infer that if the benefit of any recovery under the head of contribution and indemnity had remained with the architects, the plaintiff would have insisted on damages of a greater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fact of settlement will not deprive the third party defendants of the right to contest the extent of the architect defendants' liability arising because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misrepresentation attributable to either third party. In addition, the measure of their potential loss in the third party proceeding has been restricted to a maximum of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Finally, I am not persuaded that all claims the plaintiffs have directly against the DuPont defendants, or derivatively by virtue of the settlement, should be left to be resolved in the New Action commenced in October 2005. That action may not have been commenced within the relevant limitation period. It may fail in its entirety as a result. That is an issue for trial. Should that prove to be the case, and were the third party proceeding struck in this action, the DuPont defendants would elude responsibility for any damages that might be attributable to their actions in relation to the architect defendants. In the circumstances, that is an unwarranted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application to strike the third party notice is dismissed. The costs of this application will be to the plaintiff, as successor to the architect defendants,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PITFIELD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6"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8"/>
          <w:headerReference w:type="default" r:id="rId1049"/>
          <w:footerReference w:type="even" r:id="rId1050"/>
          <w:footerReference w:type="default" r:id="rId1051"/>
          <w:headerReference w:type="first" r:id="rId1052"/>
          <w:footerReference w:type="first" r:id="rId10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4" w:history="1">
        <w:r>
          <w:rPr>
            <w:rFonts w:ascii="arial" w:eastAsia="arial" w:hAnsi="arial" w:cs="arial"/>
            <w:b/>
            <w:bCs/>
            <w:i/>
            <w:color w:val="0077CC"/>
            <w:kern w:val="32"/>
            <w:sz w:val="28"/>
            <w:szCs w:val="32"/>
            <w:u w:val="single"/>
            <w:shd w:val="clear" w:color="auto" w:fill="FFFFFF"/>
            <w:lang w:val="en-US" w:eastAsia="en-US" w:bidi="ar-SA"/>
          </w:rPr>
          <w:t>Charles v. 0804656 BC Ltd., [2019] I.L.R. para. G-2845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May 14,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S200973</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[2019] I.L.R. para. G-2845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[2019] B.C.J. No. 849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2019 BCSC 763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Gavin Charles v. 0804656 BC Ltd. operating All Starts Sports Bar and Grill, 0804656 BC Ltd. operating North Delta Inn, Three Jay Holdings Ltd., operating All Stars Sports Bar and Grill, Three Jay Holdings Ltd., operating North Delta Inn</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7"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6" w:name="Keywords_32"/>
      <w:bookmarkEnd w:id="256"/>
      <w:r>
        <w:rPr>
          <w:rFonts w:ascii="arial" w:eastAsia="arial" w:hAnsi="arial" w:cs="arial"/>
          <w:b/>
          <w:color w:val="000000"/>
          <w:sz w:val="20"/>
          <w:lang w:val="en-US" w:eastAsia="en-US" w:bidi="ar-SA"/>
        </w:rPr>
        <w:t xml:space="preserve">Tort — Occupier's liability — Employer — Assault by employee — Bar — Bouncers — Plaintiff suffered facial laceration, abrasions on back, and back pain after being hit with wooden stick by bouncers removing him from defendant bar — Plaintiff brought action for damages — Trial judge found bouncers used excessive force and their actions constituted wrongful assault — Defendant was found to have breached duty of care as occupier under Occupier Liability Act — Plaintiff was found 40 per cent liable for his injuries — Trial judge awarded $4,800 in non-pecuniary damages and did not award punitive damages — Plaintiff appealed — While plaintiff believed scar on face remained noticeable at trial, trial judge had not found it noticeable and did not find it interfered with plaintiff's life — Trial judge stated he "took into account the scarring and the pain and suffering" that plaintiff experienced — Court did not find trial judge erred in assessment of damages based on appearance of scar — It was unclear if judge found that defendant's level of fault was insufficient to warrant punitive damages or if circumstances did not warrant them — For employer to be liable in punitive damages, there must direct or indirect action on its part that contributed to employee's bad behaviour — Plaintiff had not submitted evidence concerning any actions or failure to act by defendant that would attract punitive damages — Appeal dismissed — Occupiers Liability Act, </w:t>
      </w:r>
      <w:hyperlink r:id="rId1056" w:history="1">
        <w:r>
          <w:rPr>
            <w:rFonts w:ascii="arial" w:eastAsia="arial" w:hAnsi="arial" w:cs="arial"/>
            <w:b/>
            <w:i/>
            <w:color w:val="0077CC"/>
            <w:sz w:val="20"/>
            <w:u w:val="single"/>
            <w:shd w:val="clear" w:color="auto" w:fill="FFFFFF"/>
            <w:lang w:val="en-US" w:eastAsia="en-US" w:bidi="ar-SA"/>
          </w:rPr>
          <w:t>RSBC 1996, c. 337, s. 3</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7" w:name="Case Summary_30"/>
            <w:bookmarkEnd w:id="257"/>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suffered a facial laceration, abrasions on his back, and back pain after being hit with a wooden stick by bouncers as he was being removed from the defendant sports bar in 2010. The plaintiff brought an action for damages, including damages for pain and suffering, loss of future earnings, and damages of property. The plaintiff claimed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failure to supervise employees resulting in premises being operated in an unsafe manner under the O</w:t>
            </w:r>
            <w:r>
              <w:rPr>
                <w:rFonts w:ascii="arial" w:eastAsia="arial" w:hAnsi="arial" w:cs="arial"/>
                <w:i/>
                <w:color w:val="000000"/>
                <w:sz w:val="20"/>
                <w:lang w:val="en-US" w:eastAsia="en-US" w:bidi="ar-SA"/>
              </w:rPr>
              <w:t>ccupier Liability Act</w:t>
            </w:r>
            <w:r>
              <w:rPr>
                <w:rFonts w:ascii="arial" w:eastAsia="arial" w:hAnsi="arial" w:cs="arial"/>
                <w:color w:val="000000"/>
                <w:sz w:val="20"/>
                <w:lang w:val="en-US" w:eastAsia="en-US" w:bidi="ar-SA"/>
              </w:rPr>
              <w:t xml:space="preserve"> (the "Act"). At trial, the Provincial Court judge found that the bouncers used excessive force in dealing with the plaintiff. The bouncers' actions constituted a wrongful assault of the plaintiff. The defendant was found to have breached its duty of care as an occupier under the Act. The plaintiff was found 40 per cent liable for his injuries. The plaintiff required corrective surgery to deal with the scar on his right cheek. The plaintiff was awarded $4,800 in non-pecuniary damages. He was denied punitive damages or special damages.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appealed. He took the position that the award did not reflect that the incident left him with a scar on his cheek. He also argued that punitive damages were warranted in order to punish the tortfeasor and operate as a strong deterrent against the type of battery he suffered.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8" w:name="Holdings of Court_25"/>
            <w:bookmarkEnd w:id="258"/>
            <w:r>
              <w:rPr>
                <w:rFonts w:ascii="arial" w:eastAsia="arial" w:hAnsi="arial" w:cs="arial"/>
                <w:color w:val="000000"/>
                <w:sz w:val="20"/>
                <w:lang w:val="en-US" w:eastAsia="en-US" w:bidi="ar-SA"/>
              </w:rPr>
              <w:t>HELD: The appeal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plaintiff believed the scar on his cheek remained noticeable at the time of trial, the trial judge had not considered it noticeable and did not find that it interfered with the plaintiff's life. The trial judge stated that he could see no scar, as it appeared to have healed, yet in his conclusions he stated that he "took into account the scarring and the pain and suffering" that the plaintiff experienced. The Court was unable to conclude that the trial judge made an error in his assessment of damages based on the appearance of the scar.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the trial judge's reasons, it was unclear whether he found that the defendant's level of fault was insufficient to warrant an award of punitive damages or if the circumstances did not warrant them. Pursuant to case law, for an employer to be liable in punitive damages, there must a direct or indirect action on the part of the employer that contributed to the employee's bad behaviour. The bouncers had not been named as defendants. The plaintiff had not submitted evidence concerning any actions or failure to act by the defendant that would attract punitive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9" w:name="Counsel_44"/>
      <w:bookmarkEnd w:id="2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8"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on his own behalf; R. Doran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0" w:name="Judgment_44"/>
      <w:bookmarkEnd w:id="260"/>
      <w:r>
        <w:pict>
          <v:line id="_x0000_s1219" style="position:absolute;z-index:2518067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1" w:name="T.C. ARMSTRONG J."/>
            <w:bookmarkEnd w:id="261"/>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early morning hours of January 3, 2010 Mr. Charles was at All Star Sports Bar and Grill in Surrey, B.C. when he was injured in an encounter with bouncers working in the establishment. After a trial, reasons for judgment were issued February 14, 2018. Mr. Charles was awarded non-pecuniary damages of $4,800 together with costs. He has appealed this decision and these reasons address the issues he argued.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outset of his argument, Mr. Charles set out a list of issues on which he contends the learned Provincial Court Judge was in error. These include:</w:t>
      </w:r>
      <w:r>
        <w:rPr>
          <w:rFonts w:ascii="arial" w:eastAsia="arial" w:hAnsi="arial" w:cs="arial"/>
          <w:sz w:val="20"/>
          <w:lang w:val="en-US" w:eastAsia="en-US" w:bidi="ar-SA"/>
        </w:rPr>
        <w:cr/>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non-pecuniary damage assessment was too low in part because the judge failed to take into account a facial scar from the incident which continues to affect his appearance;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denied punitive damages;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denied special damages for his medical and special expenses;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took into account authorities of comparable cases that unfairly influenced his decision concerning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Provincial Court findings on the question of liability included the following:</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Charles and his friends were at All Star Sports Bar and Grill on January 3, 2010.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bouncers hired as security by the defendants, ejected Mr. Charles and his friends. Mr. Charles' friend was intoxicated.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they were leaving the establishment, Mr. Charles got into an argument with a female patron entering the bar.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Charles decided to continue the argument with the female patron and followed her back into the bar.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Charles was grabbed by one of the bouncers and fell to the ground. He was hit on the head and across the back with a wooden stick wielded by one of the bouncers.</w:t>
      </w:r>
    </w:p>
    <w:p>
      <w:pPr>
        <w:numPr>
          <w:numId w:val="1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Charles then punched one of the bouncers in his facial area, found his friend and left the establishment.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Charles claimed damages including claims for pain and suffering, loss of future earnings potential, damages/loss of property and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causes of action he pled included battery,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failure to supervise staff and employees at its premises resulting in the threat premises being operated in an unsafe manner invoking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and vicarious liability of the corporate defendant of the actions of the bouncers.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bouncers who caused his injuries were never identified or named as defendants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Court made several findings including:</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bouncers hired by the defendant were required to use only reasonable force to eject intoxicated and/or unruly patrons.</w:t>
      </w:r>
    </w:p>
    <w:p>
      <w:pPr>
        <w:numPr>
          <w:numId w:val="1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bouncers struck Mr. Charles with a stick and used excessive force in dealing with him.</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bouncers' actions constituted a wrongful assault of Mr. Charles.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corporate defendant was liable to Mr. Charles, not directly for the excessive force used by the bouncers, but for breach of its duty of care under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by using excessive force in ejecting him from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Charles was found to be 40% responsible for the injuries that 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Charles' injuries included a facial laceration, corrective surgery to deal with the scar on his right check, abrasions on his back and back pain. At the date of trial, all of his injuries had resolved and the court did not observe any scar on his cheek although Mr. Charles continues to complain of a scar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are a number of principles engaged in an appeal of small claims court decision. These include:</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is some evidence to support an inference drawn by a trial judge, this Court will be reluctant to find palpable and overriding error necessary to interfere with that decision: see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at para. 22.</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authority of this Court was carefully summarized by Madam Justice MacKenzie in </w:t>
      </w:r>
      <w:r>
        <w:rPr>
          <w:rFonts w:ascii="arial" w:eastAsia="arial" w:hAnsi="arial" w:cs="arial"/>
          <w:i/>
          <w:color w:val="000000"/>
          <w:sz w:val="20"/>
          <w:lang w:val="en-US" w:eastAsia="en-US" w:bidi="ar-SA"/>
        </w:rPr>
        <w:t>Smithers Parts Ltd. v. Hudson</w:t>
      </w:r>
      <w:r>
        <w:rPr>
          <w:rFonts w:ascii="arial" w:eastAsia="arial" w:hAnsi="arial" w:cs="arial"/>
          <w:color w:val="000000"/>
          <w:sz w:val="20"/>
          <w:lang w:val="en-US" w:eastAsia="en-US" w:bidi="ar-SA"/>
        </w:rPr>
        <w:t xml:space="preserve">, </w:t>
      </w:r>
      <w:hyperlink r:id="rId1058" w:history="1">
        <w:r>
          <w:rPr>
            <w:rFonts w:ascii="arial" w:eastAsia="arial" w:hAnsi="arial" w:cs="arial"/>
            <w:i/>
            <w:color w:val="0077CC"/>
            <w:sz w:val="20"/>
            <w:u w:val="single"/>
            <w:shd w:val="clear" w:color="auto" w:fill="FFFFFF"/>
            <w:lang w:val="en-US" w:eastAsia="en-US" w:bidi="ar-SA"/>
          </w:rPr>
          <w:t>2009 BCSC 1645</w:t>
        </w:r>
      </w:hyperlink>
      <w:r>
        <w:rPr>
          <w:rFonts w:ascii="arial" w:eastAsia="arial" w:hAnsi="arial" w:cs="arial"/>
          <w:color w:val="000000"/>
          <w:sz w:val="20"/>
          <w:lang w:val="en-US" w:eastAsia="en-US" w:bidi="ar-SA"/>
        </w:rPr>
        <w:t xml:space="preserve"> at paras. 26-27: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review on pure questions of law is one of correctness, but the standard of review for findings of fact is they cannot be reversed unless the trial judge has made a palpable and overriding error. A palpable error is one that is plainly seen: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(CanLII). An appeal court should only intervene when there is a material error, a serious misapprehension of the evidence, or an error in law: </w:t>
      </w:r>
      <w:r>
        <w:rPr>
          <w:rFonts w:ascii="arial" w:eastAsia="arial" w:hAnsi="arial" w:cs="arial"/>
          <w:i/>
          <w:color w:val="000000"/>
          <w:sz w:val="20"/>
          <w:lang w:val="en-US" w:eastAsia="en-US" w:bidi="ar-SA"/>
        </w:rPr>
        <w:t>Hickey v. Hickey</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1999 CanLII 691</w:t>
        </w:r>
      </w:hyperlink>
      <w:r>
        <w:rPr>
          <w:rFonts w:ascii="arial" w:eastAsia="arial" w:hAnsi="arial" w:cs="arial"/>
          <w:color w:val="000000"/>
          <w:sz w:val="20"/>
          <w:lang w:val="en-US" w:eastAsia="en-US" w:bidi="ar-SA"/>
        </w:rPr>
        <w:t xml:space="preserve"> (SCC), </w:t>
      </w:r>
      <w:hyperlink r:id="rId1059" w:history="1">
        <w:r>
          <w:rPr>
            <w:rFonts w:ascii="arial" w:eastAsia="arial" w:hAnsi="arial" w:cs="arial"/>
            <w:i/>
            <w:color w:val="0077CC"/>
            <w:sz w:val="20"/>
            <w:u w:val="single"/>
            <w:shd w:val="clear" w:color="auto" w:fill="FFFFFF"/>
            <w:lang w:val="en-US" w:eastAsia="en-US" w:bidi="ar-SA"/>
          </w:rPr>
          <w:t>[1999] 2 S.C.R. 518</w:t>
        </w:r>
      </w:hyperlink>
      <w:r>
        <w:rPr>
          <w:rFonts w:ascii="arial" w:eastAsia="arial" w:hAnsi="arial" w:cs="arial"/>
          <w:color w:val="000000"/>
          <w:sz w:val="20"/>
          <w:lang w:val="en-US" w:eastAsia="en-US" w:bidi="ar-SA"/>
        </w:rPr>
        <w:t xml:space="preserve"> at paras. 11-12; </w:t>
      </w:r>
      <w:r>
        <w:rPr>
          <w:rFonts w:ascii="arial" w:eastAsia="arial" w:hAnsi="arial" w:cs="arial"/>
          <w:i/>
          <w:color w:val="000000"/>
          <w:sz w:val="20"/>
          <w:lang w:val="en-US" w:eastAsia="en-US" w:bidi="ar-SA"/>
        </w:rPr>
        <w:t>R. v. Clark</w:t>
      </w:r>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2005 SCC 2</w:t>
        </w:r>
      </w:hyperlink>
      <w:r>
        <w:rPr>
          <w:rFonts w:ascii="arial" w:eastAsia="arial" w:hAnsi="arial" w:cs="arial"/>
          <w:color w:val="000000"/>
          <w:sz w:val="20"/>
          <w:lang w:val="en-US" w:eastAsia="en-US" w:bidi="ar-SA"/>
        </w:rPr>
        <w:t xml:space="preserve"> (CanLII). This court will only intervene in an appeal from Small Claims Court where the trial judge was clearly wrong in his apprehension of the law or the facts: </w:t>
      </w:r>
      <w:r>
        <w:rPr>
          <w:rFonts w:ascii="arial" w:eastAsia="arial" w:hAnsi="arial" w:cs="arial"/>
          <w:i/>
          <w:color w:val="000000"/>
          <w:sz w:val="20"/>
          <w:lang w:val="en-US" w:eastAsia="en-US" w:bidi="ar-SA"/>
        </w:rPr>
        <w:t>Priority Buildings Services Ltd. v. Ali</w:t>
      </w:r>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[1999] B.C.J. No. 2820</w:t>
        </w:r>
      </w:hyperlink>
      <w:r>
        <w:rPr>
          <w:rFonts w:ascii="arial" w:eastAsia="arial" w:hAnsi="arial" w:cs="arial"/>
          <w:color w:val="000000"/>
          <w:sz w:val="20"/>
          <w:lang w:val="en-US" w:eastAsia="en-US" w:bidi="ar-SA"/>
        </w:rPr>
        <w:t xml:space="preserve"> at para. 10, and </w:t>
      </w:r>
      <w:r>
        <w:rPr>
          <w:rFonts w:ascii="arial" w:eastAsia="arial" w:hAnsi="arial" w:cs="arial"/>
          <w:i/>
          <w:color w:val="000000"/>
          <w:sz w:val="20"/>
          <w:lang w:val="en-US" w:eastAsia="en-US" w:bidi="ar-SA"/>
        </w:rPr>
        <w:t>Stewart v. Strutt</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[1998] B.C.J. No. 636</w:t>
        </w:r>
      </w:hyperlink>
      <w:r>
        <w:rPr>
          <w:rFonts w:ascii="arial" w:eastAsia="arial" w:hAnsi="arial" w:cs="arial"/>
          <w:color w:val="000000"/>
          <w:sz w:val="20"/>
          <w:lang w:val="en-US" w:eastAsia="en-US" w:bidi="ar-SA"/>
        </w:rPr>
        <w:t xml:space="preserve"> at para. 10, both being Provincial Court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Apart from the ground that the judge based his error on an issue not before the court, I must find palpable and overriding error in order to reverse findings of fact or that the trial judge was clearly wrong in his apprehension of the facts; thus, the rules are the same as in the British Columbia Court of Appeal on a review from a judgment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 the court discussed the expertise of trial judges: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trial judge is better situated to make factual findings owing to his or her extensive exposure to the evidence, the advantage of hearing testimony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and the judge's familiarity with the case as a whole. Because the primary role of the trial judge is to weigh and assess voluminous quantities of evidence, the expertise and insight of the trial judge in this area should be respected.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important to recognize that trial judges have had the advantage of observing the parties testify and make submissions. In this case, credibility was not in issue and the outcomes appealed from have been summarized above. I will deal with the appellant's grounds of appeal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 did not reflect the plaintiff's facial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referred the Court to various places in the evidence where he testified about a scar on his right cheek that occurred when he was assaulted. Although Judge Doherty said "I could see no scar on his cheek during the court proceedings. It appears to me to have healed." In his conclusions, the court said: "I have taken into account the scarring and the pain and suffering Mr. Charles experience as a result of the assault by the bouncers."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Charles referred to several photographs in the material none of which disclosed any clear likeness of a scar on his cheek. He referred to the clinical records and hospital records that were admitted into evidence and demonstrated that he had an injury to his cheek that was glued when he attended hospital. The records also reflect that he saw a family doctor who observed an infection in the scar and prescribed a cream to treat to the infection. Lastly, he noted the records of Dr. Guichon a surgeon who performed a scar reduction procedure. After that Mr. Charles said he used some abrasive material on his cheek to further loosen or eliminate the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Apparently in his mind the scar remained noticeable at the trial; the trial judge did not consider it noticeable or in any way interfering with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Charles drew the court's attention to the reasons for judgment at para. 30 where the court commented that the facial laceration did not require stitches but did require some surgical repair. It appears the trial judge may not have construed the "gluing" of the cheek as a treatment similar to but not actually stitching.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Overall, I am unable to conclude that the trial judge made any palpable or overriding error in his assessment of the appellant's damages based on the appearance or impact of a scar on his cheek. The judge commented on the scar to his cheek that appeared to have healed and took into account scaring when forming his opinion as to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cannot conclude that there was any material error or serious misapprehension of the evidence. I accept the plaintiff's view that he believes that the trial judge may not have given sufficient weight to his description of a scar on his cheek which was not observable by the trial judge. However, I am obliged to defer to the trial judge regarding the findings of fact on this point; there is not a palpable or overriding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 was refused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plaintiff's notice of claim did not include a specific reference to punitive damages. Notwithstanding, he made argument before the trial judge seeking an award for punitive damages based in part on a decision of this Court in </w:t>
      </w:r>
      <w:r>
        <w:rPr>
          <w:rFonts w:ascii="arial" w:eastAsia="arial" w:hAnsi="arial" w:cs="arial"/>
          <w:i/>
          <w:color w:val="000000"/>
          <w:sz w:val="20"/>
          <w:lang w:val="en-US" w:eastAsia="en-US" w:bidi="ar-SA"/>
        </w:rPr>
        <w:t>Culver v. 624671 B.C. Ltd.</w:t>
      </w:r>
      <w:r>
        <w:rPr>
          <w:rFonts w:ascii="arial" w:eastAsia="arial" w:hAnsi="arial" w:cs="arial"/>
          <w:color w:val="000000"/>
          <w:sz w:val="20"/>
          <w:lang w:val="en-US" w:eastAsia="en-US" w:bidi="ar-SA"/>
        </w:rPr>
        <w:t xml:space="preserve">, </w:t>
      </w:r>
      <w:hyperlink r:id="rId1063" w:history="1">
        <w:r>
          <w:rPr>
            <w:rFonts w:ascii="arial" w:eastAsia="arial" w:hAnsi="arial" w:cs="arial"/>
            <w:i/>
            <w:color w:val="0077CC"/>
            <w:sz w:val="20"/>
            <w:u w:val="single"/>
            <w:shd w:val="clear" w:color="auto" w:fill="FFFFFF"/>
            <w:lang w:val="en-US" w:eastAsia="en-US" w:bidi="ar-SA"/>
          </w:rPr>
          <w:t>2006 BCSC 1241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Culver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this appeal he argued that, having been struck three times by a pool cue and suffering injury to his back in addition to the facial scar that the defendant should held responsible for punitive damages. He said punitive damages were intended to punish a tortfeasor and operate as a strong deterrence against the type of battery 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is important to note that his claim was not advanced in battery; the judgment was based on the defendant's breach of its duty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company was not guilty of battery and the bouncers were not sued. As a result of the assault, the plaintiff suffered back spasm, cheek injury, infection and contends these were not transient or trifling injuries. There was no criminal repercussions from this assault and, in the plaintiff's submission, the decision in </w:t>
      </w:r>
      <w:r>
        <w:rPr>
          <w:rFonts w:ascii="arial" w:eastAsia="arial" w:hAnsi="arial" w:cs="arial"/>
          <w:i/>
          <w:color w:val="000000"/>
          <w:sz w:val="20"/>
          <w:lang w:val="en-US" w:eastAsia="en-US" w:bidi="ar-SA"/>
        </w:rPr>
        <w:t>Culver</w:t>
      </w:r>
      <w:r>
        <w:rPr>
          <w:rFonts w:ascii="arial" w:eastAsia="arial" w:hAnsi="arial" w:cs="arial"/>
          <w:color w:val="000000"/>
          <w:sz w:val="20"/>
          <w:lang w:val="en-US" w:eastAsia="en-US" w:bidi="ar-SA"/>
        </w:rPr>
        <w:t xml:space="preserve"> warranted punitive damages of between $3,000 and $9,000.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appellant argued that </w:t>
      </w:r>
      <w:r>
        <w:rPr>
          <w:rFonts w:ascii="arial" w:eastAsia="arial" w:hAnsi="arial" w:cs="arial"/>
          <w:i/>
          <w:color w:val="000000"/>
          <w:sz w:val="20"/>
          <w:lang w:val="en-US" w:eastAsia="en-US" w:bidi="ar-SA"/>
        </w:rPr>
        <w:t>Culver</w:t>
      </w:r>
      <w:r>
        <w:rPr>
          <w:rFonts w:ascii="arial" w:eastAsia="arial" w:hAnsi="arial" w:cs="arial"/>
          <w:color w:val="000000"/>
          <w:sz w:val="20"/>
          <w:lang w:val="en-US" w:eastAsia="en-US" w:bidi="ar-SA"/>
        </w:rPr>
        <w:t xml:space="preserve"> endorsed the proposition that punitive damages caused by security personnel in a drinking establishment should be vicariously visited on the bar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During argument, there was considerable discussion about the differences between the plaintiff's successful claim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other causes of action which were not successful. In any event, the overall question is whether the Provincial Court Judge:</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Dealt with his punitive damage claim;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he correct in his treatment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trial judge awarded non-pecuniary damages to the plaintiff but said "Mr. Charles had put forward, in my view, no meaningful case on any other head of damage, than under the heading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judge did not address any of Mr. Charles' other claims in greater detail including punitive damages and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unfortunate the judge did not directly address the question of punitive damages separately and clearly.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Charles received significant physical injuries at the hands of the defendant's security staff and it is unclear if the trial judge concluded the defendant's level of fault was insufficient to warrant an award of punitive damages or if the circumstances alone did not warrant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do not take the decision in </w:t>
      </w:r>
      <w:r>
        <w:rPr>
          <w:rFonts w:ascii="arial" w:eastAsia="arial" w:hAnsi="arial" w:cs="arial"/>
          <w:i/>
          <w:color w:val="000000"/>
          <w:sz w:val="20"/>
          <w:lang w:val="en-US" w:eastAsia="en-US" w:bidi="ar-SA"/>
        </w:rPr>
        <w:t>Culver</w:t>
      </w:r>
      <w:r>
        <w:rPr>
          <w:rFonts w:ascii="arial" w:eastAsia="arial" w:hAnsi="arial" w:cs="arial"/>
          <w:color w:val="000000"/>
          <w:sz w:val="20"/>
          <w:lang w:val="en-US" w:eastAsia="en-US" w:bidi="ar-SA"/>
        </w:rPr>
        <w:t xml:space="preserve"> as authoritative on the question of awarding punitive damages against the employer of a bouncer for damages caused. In that case, the court did not address the question of liability in published reasons; the defendant did not appear at the trial. It may be the plaintiff had taken default judgment against the defendant and the reasons were dealing only with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this case, the defendant raised the question as to whether a breach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brought about by the misconduct of security staff (who were not proved to be employees of the defendant) could result in an award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Punitive damages have a definite purpose and should be awarded in respect of conduct "which is of such a nature as to be deserving of punishment because of its harsh, vindictive, reprehensible and malicious nature": See </w:t>
      </w:r>
      <w:r>
        <w:rPr>
          <w:rFonts w:ascii="arial" w:eastAsia="arial" w:hAnsi="arial" w:cs="arial"/>
          <w:i/>
          <w:color w:val="000000"/>
          <w:sz w:val="20"/>
          <w:lang w:val="en-US" w:eastAsia="en-US" w:bidi="ar-SA"/>
        </w:rPr>
        <w:t>Vorvis v. Insurance Corp. of British Columbia</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(S.C.C.) at 1105 and 1107.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There are cases in which employers have been held vicariously liable and forced to pay punitive damages for actions of staff: see </w:t>
      </w:r>
      <w:r>
        <w:rPr>
          <w:rFonts w:ascii="arial" w:eastAsia="arial" w:hAnsi="arial" w:cs="arial"/>
          <w:i/>
          <w:color w:val="000000"/>
          <w:sz w:val="20"/>
          <w:lang w:val="en-US" w:eastAsia="en-US" w:bidi="ar-SA"/>
        </w:rPr>
        <w:t>T.W.N.A. v. Clarke</w:t>
      </w:r>
      <w:r>
        <w:rPr>
          <w:rFonts w:ascii="arial" w:eastAsia="arial" w:hAnsi="arial" w:cs="arial"/>
          <w:color w:val="000000"/>
          <w:sz w:val="20"/>
          <w:lang w:val="en-US" w:eastAsia="en-US" w:bidi="ar-SA"/>
        </w:rPr>
        <w:t xml:space="preserve">, </w:t>
      </w:r>
      <w:hyperlink r:id="rId1064"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relevant principles were discussed in </w:t>
      </w:r>
      <w:r>
        <w:rPr>
          <w:rFonts w:ascii="arial" w:eastAsia="arial" w:hAnsi="arial" w:cs="arial"/>
          <w:i/>
          <w:color w:val="000000"/>
          <w:sz w:val="20"/>
          <w:lang w:val="en-US" w:eastAsia="en-US" w:bidi="ar-SA"/>
        </w:rPr>
        <w:t>Chudy v. Merchant Law Group</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2008 BCCA 484</w:t>
        </w:r>
      </w:hyperlink>
      <w:r>
        <w:rPr>
          <w:rFonts w:ascii="arial" w:eastAsia="arial" w:hAnsi="arial" w:cs="arial"/>
          <w:color w:val="000000"/>
          <w:sz w:val="20"/>
          <w:lang w:val="en-US" w:eastAsia="en-US" w:bidi="ar-SA"/>
        </w:rPr>
        <w:t xml:space="preserve"> where the court dealt with a punitive damages claim in a breach of fiduciary duty action against a law firm for errors of an independent joint venture or contractor.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[116] Finally, the appellant argues that the trial judge erred in awarding punitive damages against it in large part because he found the appellant to be vicariously liable for Mr. Shaw's conduct. It says that this is an improper basis for an award of punitive damages. The appellant cites the dissenting judgment of Lowry J.A. in </w:t>
      </w:r>
      <w:r>
        <w:rPr>
          <w:rFonts w:ascii="arial" w:eastAsia="arial" w:hAnsi="arial" w:cs="arial"/>
          <w:b/>
          <w:i/>
          <w:color w:val="000000"/>
          <w:sz w:val="20"/>
          <w:lang w:val="en-US" w:eastAsia="en-US" w:bidi="ar-SA"/>
        </w:rPr>
        <w:t>Asselstine v. Manufacturers Life Insurance Co.</w:t>
      </w:r>
      <w:r>
        <w:rPr>
          <w:rFonts w:ascii="arial" w:eastAsia="arial" w:hAnsi="arial" w:cs="arial"/>
          <w:color w:val="000000"/>
          <w:sz w:val="20"/>
          <w:lang w:val="en-US" w:eastAsia="en-US" w:bidi="ar-SA"/>
        </w:rPr>
        <w:t xml:space="preserve">, </w:t>
      </w:r>
      <w:hyperlink r:id="rId1065" w:history="1">
        <w:r>
          <w:rPr>
            <w:rFonts w:ascii="arial" w:eastAsia="arial" w:hAnsi="arial" w:cs="arial"/>
            <w:i/>
            <w:color w:val="0077CC"/>
            <w:sz w:val="20"/>
            <w:u w:val="single"/>
            <w:shd w:val="clear" w:color="auto" w:fill="FFFFFF"/>
            <w:lang w:val="en-US" w:eastAsia="en-US" w:bidi="ar-SA"/>
          </w:rPr>
          <w:t>2005 BCCA 292</w:t>
        </w:r>
      </w:hyperlink>
      <w:r>
        <w:rPr>
          <w:rFonts w:ascii="arial" w:eastAsia="arial" w:hAnsi="arial" w:cs="arial"/>
          <w:color w:val="000000"/>
          <w:sz w:val="20"/>
          <w:lang w:val="en-US" w:eastAsia="en-US" w:bidi="ar-SA"/>
        </w:rPr>
        <w:t xml:space="preserve"> (CanLII), which included a canvassing of the authorities as to whether there is a legal basis for awarding punitive damages against a principal for the conduct of its agent. Lowry J.A. concluded at para. 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 As the goal of punitive damages is to punish a defendant for malicious conduct and to deter such conduct generally, it would seem unjust and ineffective to hold an innocent principal liable for punitive damages solely on the basis of the conduct of its agent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[117] However, Lowry J.A.'s conclusion applies only to an employer who is "entirely blameless" (para. 38). That is not the present case. The appellant put Mr. Shaw in a position in which he could misconduct himself as he did, provided inadequate supervision of him, and never resiled from the position that it was entitled to benefit from that misconduct. The appellant's conduct is as reprehensible as that of Mr. Shaw.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[118] An award of punitive damages is properly made against an employer who has been complicit in the actions of the agent. In fact, the majority in </w:t>
      </w:r>
      <w:r>
        <w:rPr>
          <w:rFonts w:ascii="arial" w:eastAsia="arial" w:hAnsi="arial" w:cs="arial"/>
          <w:b/>
          <w:i/>
          <w:color w:val="000000"/>
          <w:sz w:val="20"/>
          <w:lang w:val="en-US" w:eastAsia="en-US" w:bidi="ar-SA"/>
        </w:rPr>
        <w:t>Asselstine</w:t>
      </w:r>
      <w:r>
        <w:rPr>
          <w:rFonts w:ascii="arial" w:eastAsia="arial" w:hAnsi="arial" w:cs="arial"/>
          <w:color w:val="000000"/>
          <w:sz w:val="20"/>
          <w:lang w:val="en-US" w:eastAsia="en-US" w:bidi="ar-SA"/>
        </w:rPr>
        <w:t xml:space="preserve"> found "no meaningful separation dividing the conduct of principal and agent" (para. 53) and upheld the punitive damages award against the principal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can be seen in </w:t>
      </w:r>
      <w:r>
        <w:rPr>
          <w:rFonts w:ascii="arial" w:eastAsia="arial" w:hAnsi="arial" w:cs="arial"/>
          <w:i/>
          <w:color w:val="000000"/>
          <w:sz w:val="20"/>
          <w:lang w:val="en-US" w:eastAsia="en-US" w:bidi="ar-SA"/>
        </w:rPr>
        <w:t>Chudy</w:t>
      </w:r>
      <w:r>
        <w:rPr>
          <w:rFonts w:ascii="arial" w:eastAsia="arial" w:hAnsi="arial" w:cs="arial"/>
          <w:color w:val="000000"/>
          <w:sz w:val="20"/>
          <w:lang w:val="en-US" w:eastAsia="en-US" w:bidi="ar-SA"/>
        </w:rPr>
        <w:t>, there were many aspects of the employer's role in the loss to the client that demonstrate it was not blameless in the mistreatment by the lawyer. In my view, the punishment rationale for punitive damages does not operate fairly to make employers similar to the defendant liable for punitive damages where an employee or contractors have acted egregiously. In order for an employer to be liable in punitive damages, there must be some direct or indirect action on the part of an employer contributing in the bad behaviour of the employee apart from the misconduct forming the basis of the claim. Poor training, poor vetting of employees' with previous histories of violence, and poor monitoring of employees are the types of facts that make the nexus between the misconduct and the purposes of punitive damages. In this case there was no evidence concerning any actions or failure to act alleged by the plaintiff on the part of the defendant that would attract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Overall, I am not satisfied the trial judge made any error in dismissing the appellant's claim for punitive damages. Although he did not articulate his reasons for dismissing that specific claim, I am satisfied there were no grounds to award punitive damages against the occupier/defendant; the trial judge did not commit any error in law or in fact in refusing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Impaired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 also argued that he was entitled to additional compensation on the basis that his ability to earn income in the future had been impacted by the injuries suffered in the accident. He pointed to the decision in </w:t>
      </w:r>
      <w:r>
        <w:rPr>
          <w:rFonts w:ascii="arial" w:eastAsia="arial" w:hAnsi="arial" w:cs="arial"/>
          <w:i/>
          <w:color w:val="000000"/>
          <w:sz w:val="20"/>
          <w:lang w:val="en-US" w:eastAsia="en-US" w:bidi="ar-SA"/>
        </w:rPr>
        <w:t>Culver</w:t>
      </w:r>
      <w:r>
        <w:rPr>
          <w:rFonts w:ascii="arial" w:eastAsia="arial" w:hAnsi="arial" w:cs="arial"/>
          <w:color w:val="000000"/>
          <w:sz w:val="20"/>
          <w:lang w:val="en-US" w:eastAsia="en-US" w:bidi="ar-SA"/>
        </w:rPr>
        <w:t xml:space="preserve"> in which the court awarded $25,000 in damages for the impairment of the plaintiff's future earning capacity. Mr. Charles referred to court's reliance on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where Madam Justice Southin said at para.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Charles did not give any evidence at the hearing concerning his past or present employment opportunities other than mentioning to the trial judge he was a stock trader and felt he was less capable at that work after the incident; he gave no additional evidence concerning his career, past or future or how his injuries might have affected his current or future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Even on this appeal the plaintiff did not describe in any detail how or why he believes his capacity to earn income was affected by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this regard, the Court of Appeal has said that future income or impaired earning capacity claims must be supported by evidence of a real and substantial possibility of a future loss of income. The most often cited quotation on this question is as follows: See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Furthermore, I conclude that there is no conflict between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and the earlier judgment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As mentioned earlier,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is not authority for the proposition that mere speculation of future loss of earning capacity is sufficient to justify an award for damages for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this point, there was little if any evidence rising to the level of proof of "a real and substantial possibility of a future event leading to an income loss" from which the trial judge could have reached a conclusion that Mr. Charles had suffered any impairment to his future income earning capacity. Mr. Charles made a comment on his suspicion that the scar on his face may have impacted his social life but he did not talk about any impact his injuries may have had on his ability to earn income after the accident or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Absent proof on this point, the trial judge was correct that Mr. Charles did not advance a meaningful case for damages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Charles claimed $270.17 as compensation for damage to his clothing, loss of a gold ring, damage to a shirt, damage to shoes, and the cost of cream to treat his facial injury. The Provincial Court Judge did not address the discrete claim for special damages and reimbursement of expenses. It is safe to say that there was no "meaningful case on any other head of damage" put forward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this appeal, Mr. Charles said that his clothing was damaged but not destroyed. He was only seeking $5 compensation for damage to his shirt, $121 for the loss of his ring and $30 for the damage to his shoes. He provided no evidence regarding the cost of any of these items or the current value. He simply did not adduce sufficient evidence on which the trial judge could have awarded him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Charles sought recovery of $19 for the cream he purchased to treat his injured face. I am unable to discern why the judge did not consider that claim. Considering his reasons, I can only assume that the trial judge overlooked this specific item. I direct the defendants to pay 60% of that amount in addition to the judgment of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Taking into account inappropriate authorities as comparisons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Mr. Charles argued that the trial judge relied on a decision: </w:t>
      </w:r>
      <w:r>
        <w:rPr>
          <w:rFonts w:ascii="arial" w:eastAsia="arial" w:hAnsi="arial" w:cs="arial"/>
          <w:i/>
          <w:color w:val="000000"/>
          <w:sz w:val="20"/>
          <w:lang w:val="en-US" w:eastAsia="en-US" w:bidi="ar-SA"/>
        </w:rPr>
        <w:t>Duchane</w:t>
      </w:r>
      <w:r>
        <w:rPr>
          <w:rFonts w:ascii="arial" w:eastAsia="arial" w:hAnsi="arial" w:cs="arial"/>
          <w:color w:val="000000"/>
          <w:sz w:val="20"/>
          <w:lang w:val="en-US" w:eastAsia="en-US" w:bidi="ar-SA"/>
        </w:rPr>
        <w:t xml:space="preserve"> [phonetic] 2014 involving an assault in a bar. In that case, the defendant struck the plaintiff's arms, kicked her legs causing multiple injuries as well as shame and humiliation. The award was $1,000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contends that in referring to that case, the trial judge failed to properly and fairly consider the circumstances of his case on a more appropriate comparable set of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However, the trial judge's reasons included reference to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Forest v. Moore</w:t>
      </w:r>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1997 CarswellBC 2252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Forest</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Ruscinski v. Ruscinski</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2006 CarswellOnt 1957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Steward v. Martay</w:t>
      </w:r>
      <w:r>
        <w:rPr>
          <w:rFonts w:ascii="arial" w:eastAsia="arial" w:hAnsi="arial" w:cs="arial"/>
          <w:color w:val="000000"/>
          <w:sz w:val="20"/>
          <w:lang w:val="en-US" w:eastAsia="en-US" w:bidi="ar-SA"/>
        </w:rPr>
        <w:t xml:space="preserve">, </w:t>
      </w:r>
      <w:hyperlink r:id="rId1068" w:history="1">
        <w:r>
          <w:rPr>
            <w:rFonts w:ascii="arial" w:eastAsia="arial" w:hAnsi="arial" w:cs="arial"/>
            <w:i/>
            <w:color w:val="0077CC"/>
            <w:sz w:val="20"/>
            <w:u w:val="single"/>
            <w:shd w:val="clear" w:color="auto" w:fill="FFFFFF"/>
            <w:lang w:val="en-US" w:eastAsia="en-US" w:bidi="ar-SA"/>
          </w:rPr>
          <w:t>1993 CarswellBC 2244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non-pecuniary damages for an assault by a doorman were $1,500. In </w:t>
      </w:r>
      <w:r>
        <w:rPr>
          <w:rFonts w:ascii="arial" w:eastAsia="arial" w:hAnsi="arial" w:cs="arial"/>
          <w:i/>
          <w:color w:val="000000"/>
          <w:sz w:val="20"/>
          <w:lang w:val="en-US" w:eastAsia="en-US" w:bidi="ar-SA"/>
        </w:rPr>
        <w:t>Ruscinski</w:t>
      </w:r>
      <w:r>
        <w:rPr>
          <w:rFonts w:ascii="arial" w:eastAsia="arial" w:hAnsi="arial" w:cs="arial"/>
          <w:color w:val="000000"/>
          <w:sz w:val="20"/>
          <w:lang w:val="en-US" w:eastAsia="en-US" w:bidi="ar-SA"/>
        </w:rPr>
        <w:t xml:space="preserve">, damages including a laceration to the plaintiff's gums, bruises, arms and legs, a painful jaw and neck pain resulted in a general damage award of $5,000. In </w:t>
      </w:r>
      <w:r>
        <w:rPr>
          <w:rFonts w:ascii="arial" w:eastAsia="arial" w:hAnsi="arial" w:cs="arial"/>
          <w:i/>
          <w:color w:val="000000"/>
          <w:sz w:val="20"/>
          <w:lang w:val="en-US" w:eastAsia="en-US" w:bidi="ar-SA"/>
        </w:rPr>
        <w:t>Forest</w:t>
      </w:r>
      <w:r>
        <w:rPr>
          <w:rFonts w:ascii="arial" w:eastAsia="arial" w:hAnsi="arial" w:cs="arial"/>
          <w:color w:val="000000"/>
          <w:sz w:val="20"/>
          <w:lang w:val="en-US" w:eastAsia="en-US" w:bidi="ar-SA"/>
        </w:rPr>
        <w:t>, where an assault with a wooden club resulted in headaches, neck, back and shoulder pain. In this case, the plaintiff was headache free after four months and had a full range of cervical motion shortly after that. The injury to his face was acknowledged but the trial judge did not accept the plaintiff's assertion concerning this laceration. The trial award was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Overall, I am not able to conclude that the learned Provincial Court Judge committed any palpable or overriding error in reaching his conclusions respecting any of the issues raised at the trial. I accept that the plaintiff was disappointed with the result in the Provincial Court. Unfortunately, Mr. Charles did not marshal sufficient evidence to inform the Provincial Court Judge's decision on any of his claims for damages other than non-pecuniary losses. Unfortunately, those shortcomings cannot be corrected on an appeal. With the exception of the cost of medicinal cream this appeal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 will have its costs of this appeal unless the plaintiff makes written submissions on the costs question within 30 days after which the defendant will have 14 days to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0"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69"/>
          <w:headerReference w:type="default" r:id="rId1070"/>
          <w:footerReference w:type="even" r:id="rId1071"/>
          <w:footerReference w:type="default" r:id="rId1072"/>
          <w:headerReference w:type="first" r:id="rId1073"/>
          <w:footerReference w:type="first" r:id="rId10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75" w:history="1">
        <w:r>
          <w:rPr>
            <w:rFonts w:ascii="arial" w:eastAsia="arial" w:hAnsi="arial" w:cs="arial"/>
            <w:b/>
            <w:bCs/>
            <w:i/>
            <w:color w:val="0077CC"/>
            <w:kern w:val="32"/>
            <w:sz w:val="28"/>
            <w:szCs w:val="32"/>
            <w:u w:val="single"/>
            <w:shd w:val="clear" w:color="auto" w:fill="FFFFFF"/>
            <w:lang w:val="en-US" w:eastAsia="en-US" w:bidi="ar-SA"/>
          </w:rPr>
          <w:t>Currie v. Foster, [2017] B.C.J. No. 2337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30, 2016; October 17,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51067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2337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2115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3222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286 A.C.W.S. (3d) 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75 C.C.L.I. (5th) 122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Dale Malcolm Currie, Plaintiff, and Rayjonathan Wendal Adrian Foster and Shawna Jolene Foster, Defendants, and Randy Dillman, dba Randy Dillman Contracting, a Sole Proprietorship,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1"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2" w:name="Keywords_33"/>
      <w:bookmarkEnd w:id="262"/>
      <w:r>
        <w:rPr>
          <w:rFonts w:ascii="arial" w:eastAsia="arial" w:hAnsi="arial" w:cs="arial"/>
          <w:b/>
          <w:color w:val="000000"/>
          <w:sz w:val="20"/>
          <w:lang w:val="en-US" w:eastAsia="en-US" w:bidi="ar-SA"/>
        </w:rPr>
        <w:t>Civil litigation — Limitation of actions — Time — When time begins to run — Application by Fosters, vendors, for summary dismissal of Currie's claim for damages for costs to remedy problems caused by leaky water pipes and irrigation system allowed in part — Currie knew by November 1, 2012 that water leak was cause of erosion in front yard — Curries learned in January 2013, after excavating property, that irrigation system was cause of cracks to garage — Claim filed in January 2015 was statute-barred in relating to water pipes, but claim relating to irrigation system would proceed — Limitations Act, s. 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Sale of land — Quality defects — Remedies — Damages — Application by Fosters, vendors, for summary dismissal of Currie's claim for damages for costs to remedy problems caused by leaky water pipes and irrigation system allowed in part — Currie knew by November 1, 2012 that water leak was cause of erosion in front yard — Curries learned in January 2013, after excavating property, that irrigation system was cause of cracks to garage — Claim filed in January 2015 was statute-barred in relating to water pipes, but claim relating to irrigation system would proceed — Limitations Act, s. 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3" w:name="Case Summary_31"/>
            <w:bookmarkEnd w:id="2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Fosters for the summary dismissal of Currie's action as statute-barred. Currie purchased a home from the Fosters in January 2012. By the spring, Currie claimed that soil in the front door area was eroding, causing damage to the home and driveway. Workmen hired to repair the problem discovered it was caused by underground pipes which were not properly installed, resulting in a constant leak. The Fosters had signed a Property Disclosure Statement, on which Currie relied in deciding to purchase the home, in which they stated they were not aware of any problems with the home's water system. They had communicated to Currie, through their real estate agent, that stained tiles in the basement were caused by an old water leak that had been fixed. Currie was unable to recover the cost of the repairs from his insurer. In his claim, filed on January 27, 2015, Currie took the position that the Fosters knew that water system was not properly installed. The Fosters took the position that this claim was statute-barred by the operation of a two-year limitation period that commenced on November 1, 2012, when Currie received a consultant's report about the problems with the irrigation system and their impacts on the structure. Currie claimed that it was not until the property was excavated further in January 2013 that he learned that the irrigation system was the cause of cracks in the garage and settlement of the front yard.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4" w:name="Holdings of Court_26"/>
            <w:bookmarkEnd w:id="264"/>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accepted that Currie was not aware of the cause of the problems with the irrigation system for the property until the excavation that took place in January 2013. The Fosters were entitled to raise an argument about whether the two-year limitation period had expired for this portion of Currie's claim after all the evidence was heard. As for the claim stemming from the leaking water pipes, Currie knew of the problem and its cause by November 1, 2012, so this portion of his claim was dismissed as statute-barred.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5" w:name="Legislation Cited_19"/>
      <w:bookmarkEnd w:id="2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2"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Supreme Court Civil Rules, </w:t>
      </w:r>
      <w:r>
        <w:rPr>
          <w:rFonts w:ascii="arial" w:eastAsia="arial" w:hAnsi="arial" w:cs="arial"/>
          <w:i/>
          <w:color w:val="000000"/>
          <w:sz w:val="20"/>
          <w:lang w:val="en-US" w:eastAsia="en-US" w:bidi="ar-SA"/>
        </w:rPr>
        <w:t>B.C. Reg. 168/2009, Rule 9-7</w:t>
      </w:r>
      <w:r>
        <w:rPr>
          <w:rFonts w:ascii="arial" w:eastAsia="arial" w:hAnsi="arial" w:cs="arial"/>
          <w:color w:val="000000"/>
          <w:sz w:val="20"/>
          <w:lang w:val="en-US" w:eastAsia="en-US" w:bidi="ar-SA"/>
        </w:rPr>
        <w:t>, Rule 9-7(2), Rule 9-7(15)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2012, c. 13, s.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6, s. 6(2)(a), s. 6(3)(b), s. 6(4), s. 6(4)(b), s. 6(5)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6" w:name="Counsel_45"/>
      <w:bookmarkEnd w:id="2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3"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Schymon.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 Manning.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appeared on behalf of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7" w:name="Judgment_45"/>
      <w:bookmarkEnd w:id="267"/>
      <w:r>
        <w:pict>
          <v:line id="_x0000_s1224"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8" w:name="H. HYSLOP J."/>
            <w:bookmarkEnd w:id="268"/>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Rayjonathan Wendal Adrian Foster and Shawna Jolene Foster, seek the dismissal of the plaintiff's claim against them, as statute barred. The defendants argue that this discrete issue is suitable for a summary trial. The plaintiff, Dale Malcolm Currie, opposes the disposition of his claim by summary trial. The plaintiff states that an unidentified neighbour can provide evidence that the defendants "were aware of a situation with the irrigation system and the water problem." Further, the plaintiff submits that the people who provided estimates and made repairs to the house would give evidence at trial as to the cause of the sinking, as well as cracking of the front area of the house. Moreover, they would provide evidence regarding the cracking of the garage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heard this application on September 30, 2016. During the hearing, plaintiff's counsel stated that the Notice of Civil Claim would be amended and argued as if it was amended. No draft of the Amended Notice of Civil Claim ("Amended Notice") was presented to the Court. After the application was heard, I realized it was necessary for the plaintiff to amend their Notice of Civil Claim. I directed that the plaintiff amend its Notice of Civil Claim. The plaintiff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 request for summary trial is made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Rules 9-7(2) and (15) must be considered when determining whether an action can be heard by summary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w:t>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apply to the court for judgment under this rule, either on an issue or generally, in any of the following: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in which a response to civil claim has been filed;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proceeding that has been transferred to the trial list under Rule 22-1 (7) (d);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third party proceeding in which a response to third party notice has been filed;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by way of counterclaim in which a response to counterclaim has been filed.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Judgment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10"/>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and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test is laid out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[1989] B.C.J. No. 1003</w:t>
        </w:r>
      </w:hyperlink>
      <w:r>
        <w:rPr>
          <w:rFonts w:ascii="arial" w:eastAsia="arial" w:hAnsi="arial" w:cs="arial"/>
          <w:color w:val="000000"/>
          <w:sz w:val="20"/>
          <w:lang w:val="en-US" w:eastAsia="en-US" w:bidi="ar-SA"/>
        </w:rPr>
        <w:t>. At that time, the Rule was Rule 18A. Chief Justice McEachern, as he then was,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The test for Rule 18A [now Rule 9-7], in my view, is the same as on a trial. Upon the facts being found the chamber judge must apply the law and all appropriate legal principles. If then satisfied that the claim or defence has been established according to the appropriate onus of proof he must give judgment according to law unless he has the opinion that it will be unjust to give such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In deciding whether the case is an appropriate one for judgment under Rule 18A the chambers judge will always give full consideration to all of the evidence which counsel place before him but he will also consider whether the evidence is sufficient for adjudication. For example, the absence of an affidavit from a principal player in the piece, unless its absence is adequately explained, may cause the judge to conclude either that he cannot find the facts necessary to decide the issues, or that it would be unjust to do, so. But even then, as the process is adversarial, the judge may be able fairly and justly to find the facts necessary to decide the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Lastly, I do not agree, as suggested in Royal Bank v. Stonehocker,supra, </w:t>
      </w:r>
      <w:hyperlink r:id="rId1076" w:history="1">
        <w:r>
          <w:rPr>
            <w:rFonts w:ascii="arial" w:eastAsia="arial" w:hAnsi="arial" w:cs="arial"/>
            <w:i/>
            <w:color w:val="0077CC"/>
            <w:sz w:val="20"/>
            <w:u w:val="single"/>
            <w:shd w:val="clear" w:color="auto" w:fill="FFFFFF"/>
            <w:lang w:val="en-US" w:eastAsia="en-US" w:bidi="ar-SA"/>
          </w:rPr>
          <w:t>[1985] B.C.J. No. 2340</w:t>
        </w:r>
      </w:hyperlink>
      <w:r>
        <w:rPr>
          <w:rFonts w:ascii="arial" w:eastAsia="arial" w:hAnsi="arial" w:cs="arial"/>
          <w:color w:val="000000"/>
          <w:sz w:val="20"/>
          <w:lang w:val="en-US" w:eastAsia="en-US" w:bidi="ar-SA"/>
        </w:rPr>
        <w:t>, that a chambers judge is obliged to remit a case to the trial list just because there are conflicting affidavits. In this connection I prefer the view expressed by Taggart J.A. in Placer, quoted supra, at p. 15 of these Reasons. Subject to what I am about to say, a judge should not decide an issue of fact or law solely on the basis of conflicting affidavits even if he prefers one version to the other. It may be however, notwithstanding sworn affidavit evidence to the contrary, that other admissible evidence will make it possible to find the facts necessary for judgment to be given. For example in an action on a cheque, the alleged maker might by affidavit deny his signature while other believable evidence may satisfy the court that he did indeed sign it. Again, the variety of different kinds of cases which will arise is unlimited. In such cases, absent other circumstances or defences, judgment should be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evidence of the unidentified neighbour, as well as the workmen who provided a quote and repaired the front of the house is admissible, but for a limited purpose: </w:t>
      </w:r>
      <w:r>
        <w:rPr>
          <w:rFonts w:ascii="arial" w:eastAsia="arial" w:hAnsi="arial" w:cs="arial"/>
          <w:i/>
          <w:color w:val="000000"/>
          <w:sz w:val="20"/>
          <w:lang w:val="en-US" w:eastAsia="en-US" w:bidi="ar-SA"/>
        </w:rPr>
        <w:t>Calder v. King</w:t>
      </w:r>
      <w:r>
        <w:rPr>
          <w:rFonts w:ascii="arial" w:eastAsia="arial" w:hAnsi="arial" w:cs="arial"/>
          <w:color w:val="000000"/>
          <w:sz w:val="20"/>
          <w:lang w:val="en-US" w:eastAsia="en-US" w:bidi="ar-SA"/>
        </w:rPr>
        <w:t xml:space="preserve"> </w:t>
      </w:r>
      <w:hyperlink r:id="rId1077" w:history="1">
        <w:r>
          <w:rPr>
            <w:rFonts w:ascii="arial" w:eastAsia="arial" w:hAnsi="arial" w:cs="arial"/>
            <w:i/>
            <w:color w:val="0077CC"/>
            <w:sz w:val="20"/>
            <w:u w:val="single"/>
            <w:shd w:val="clear" w:color="auto" w:fill="FFFFFF"/>
            <w:lang w:val="en-US" w:eastAsia="en-US" w:bidi="ar-SA"/>
          </w:rPr>
          <w:t>(1994), 91 B.C.L.R. (2d) 336</w:t>
        </w:r>
      </w:hyperlink>
      <w:r>
        <w:rPr>
          <w:rFonts w:ascii="arial" w:eastAsia="arial" w:hAnsi="arial" w:cs="arial"/>
          <w:color w:val="000000"/>
          <w:sz w:val="20"/>
          <w:lang w:val="en-US" w:eastAsia="en-US" w:bidi="ar-SA"/>
        </w:rPr>
        <w:t xml:space="preserve">. The plaintiff states this demonstrates that this action should be transferred to the trial list and heard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summary trial is not to adjudicate upon the merits of this action. Rather, it is brought to determine whether the plaintiff's action is statute barred. None of the evidence referred to in para. 5 of these reasons goes to whether this action is statute barred, but rather the merits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determining whether a case is suitable for summary trial, the court must be able, on all of the evidence, to find facts necessary to decide the issues of facts and law. The court must be of the opinion that it would be just to decide the issue, or issues, on the application: </w:t>
      </w:r>
      <w:r>
        <w:rPr>
          <w:rFonts w:ascii="arial" w:eastAsia="arial" w:hAnsi="arial" w:cs="arial"/>
          <w:i/>
          <w:color w:val="000000"/>
          <w:sz w:val="20"/>
          <w:lang w:val="en-US" w:eastAsia="en-US" w:bidi="ar-SA"/>
        </w:rPr>
        <w:t>Dahl v. Royal Bank of Canada</w:t>
      </w:r>
      <w:r>
        <w:rPr>
          <w:rFonts w:ascii="arial" w:eastAsia="arial" w:hAnsi="arial" w:cs="arial"/>
          <w:color w:val="000000"/>
          <w:sz w:val="20"/>
          <w:lang w:val="en-US" w:eastAsia="en-US" w:bidi="ar-SA"/>
        </w:rPr>
        <w:t xml:space="preserve">, </w:t>
      </w:r>
      <w:hyperlink r:id="rId1078"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evidence proffered by both the plaintiff and the defendants is not controversial. Most of the dates when certain events happened are not in dispute. It is the application of the law to these events which determines the outcome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find that this proceeding is suitable to be heard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Notice of Civil Claim ("Notice") was issued on January 27, 2015. The Amended Notice of Civil Claim ("Amended Notice") is reproduced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 1: STATEMENT OF FACTS</w:t>
      </w:r>
    </w:p>
    <w:p>
      <w:pPr>
        <w:numPr>
          <w:numId w:val="1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Dale Malcolm Currie is a businessman and resides at 3023 Birkenhead Drive, in the City of Kamloops, Province of British Columbia.</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Rayjonathan Wendell Adrian Foster whose occupation is unknown, has a known work address at 11802-- 97 Avenue, in the City of Grande Prairie, in the Province of Alberta.</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Shawna Jolene Foster whose occupation is unknown, believed to be the spouse of the Defendant Rayjonathan Wendell Adrian Foster and resides in the City of Grande Prairie, in the Province of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Plaintiff purchased a home located at 3023 Birkenhead Drive, Kamloops (hereinafter the "Home") in or about January 2012.]  </w:t>
            </w:r>
            <w:r>
              <w:rPr>
                <w:rFonts w:ascii="arial" w:eastAsia="arial" w:hAnsi="arial" w:cs="arial"/>
                <w:color w:val="000000"/>
                <w:sz w:val="18"/>
                <w:u w:val="single"/>
                <w:lang w:val="en-US" w:eastAsia="en-US" w:bidi="ar-SA"/>
              </w:rPr>
              <w:t>On or about November 24, 2011 the Plaintiff entered into a contract with the Defendants for the purchase of the property located at 3023 Birkenhead Drive, Kamloops BC (hereinafter the "Home")</w:t>
            </w:r>
            <w:r>
              <w:rPr>
                <w:rFonts w:ascii="arial" w:eastAsia="arial" w:hAnsi="arial" w:cs="arial"/>
                <w:color w:val="000000"/>
                <w:sz w:val="18"/>
                <w:lang w:val="en-US" w:eastAsia="en-US" w:bidi="ar-SA"/>
              </w:rPr>
              <w:t>.</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On or about the fall of 2012 the Plaintiff discovered that the soil in front of the front door and under the driveway was eroding. This erosion was causing damage to the driveway as well as to the walkway leading to the entrance of the Home. This damage was further causing entering the Home and driveway to be dangerous.]  </w:t>
            </w:r>
            <w:r>
              <w:rPr>
                <w:rFonts w:ascii="arial" w:eastAsia="arial" w:hAnsi="arial" w:cs="arial"/>
                <w:color w:val="000000"/>
                <w:sz w:val="18"/>
                <w:u w:val="single"/>
                <w:lang w:val="en-US" w:eastAsia="en-US" w:bidi="ar-SA"/>
              </w:rPr>
              <w:t>Part of the Contract for Purchase and Sale included and incorporated a Property Disclosure Statement (hereinafter the "statement") completed by the Defendants and dated April 24, 2011. This Statement was seen by the Plaintiff prior to entering into the contract and the Plaintiff relied upon the information in the Statement when deciding to enter into a contract to purchase the Home</w:t>
            </w:r>
            <w:r>
              <w:rPr>
                <w:rFonts w:ascii="arial" w:eastAsia="arial" w:hAnsi="arial" w:cs="arial"/>
                <w:color w:val="000000"/>
                <w:sz w:val="18"/>
                <w:lang w:val="en-US" w:eastAsia="en-US" w:bidi="ar-SA"/>
              </w:rPr>
              <w:t>.</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Plaintiff subsequently hired workmen to repair the problem. While the repairs were being conducted, the workmen discovered the cause of the problem was the underground pipes for the water system were not properly installed which resulted in a constant leak which lead to the soil erosion.]  </w:t>
            </w:r>
            <w:r>
              <w:rPr>
                <w:rFonts w:ascii="arial" w:eastAsia="arial" w:hAnsi="arial" w:cs="arial"/>
                <w:color w:val="000000"/>
                <w:sz w:val="18"/>
                <w:u w:val="single"/>
                <w:lang w:val="en-US" w:eastAsia="en-US" w:bidi="ar-SA"/>
              </w:rPr>
              <w:t>Included in that Statement was a question concerning whether or not the Defendants were aware of any problems with the water system to which they indicated "No"</w:t>
            </w:r>
            <w:r>
              <w:rPr>
                <w:rFonts w:ascii="arial" w:eastAsia="arial" w:hAnsi="arial" w:cs="arial"/>
                <w:color w:val="000000"/>
                <w:sz w:val="18"/>
                <w:lang w:val="en-US" w:eastAsia="en-US" w:bidi="ar-SA"/>
              </w:rPr>
              <w:t>.</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Plaintiff was advised and verily believes that the Defendant knew or ought to have known that the water system was not properly installed.]  </w:t>
            </w:r>
            <w:r>
              <w:rPr>
                <w:rFonts w:ascii="arial" w:eastAsia="arial" w:hAnsi="arial" w:cs="arial"/>
                <w:color w:val="000000"/>
                <w:sz w:val="18"/>
                <w:u w:val="single"/>
                <w:lang w:val="en-US" w:eastAsia="en-US" w:bidi="ar-SA"/>
              </w:rPr>
              <w:t>The Plaintiff inquired with the Defendants via his realtor prior to entering into the contract regarding stained tile in the media room and was informed by the Defendants that this was from an old water leak that had been fixed</w:t>
            </w:r>
            <w:r>
              <w:rPr>
                <w:rFonts w:ascii="arial" w:eastAsia="arial" w:hAnsi="arial" w:cs="arial"/>
                <w:color w:val="000000"/>
                <w:sz w:val="18"/>
                <w:lang w:val="en-US" w:eastAsia="en-US" w:bidi="ar-SA"/>
              </w:rPr>
              <w:t>.</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Plaintiff contacted his insurer who informed him that the repairs were not covered under his Insurance Policy.]  </w:t>
            </w:r>
            <w:r>
              <w:rPr>
                <w:rFonts w:ascii="arial" w:eastAsia="arial" w:hAnsi="arial" w:cs="arial"/>
                <w:color w:val="000000"/>
                <w:sz w:val="18"/>
                <w:u w:val="single"/>
                <w:lang w:val="en-US" w:eastAsia="en-US" w:bidi="ar-SA"/>
              </w:rPr>
              <w:t>The Plaintiff also inquired, prior to purchasing the Home, about cracks in the walkway and was informed that this was due to settling</w:t>
            </w:r>
            <w:r>
              <w:rPr>
                <w:rFonts w:ascii="arial" w:eastAsia="arial" w:hAnsi="arial" w:cs="arial"/>
                <w:color w:val="000000"/>
                <w:sz w:val="18"/>
                <w:lang w:val="en-US" w:eastAsia="en-US" w:bidi="ar-SA"/>
              </w:rPr>
              <w:t>.</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Plaintiff obtained a house inspection prior to purchasing the Home which did not disclose any issue with water leakage.]  </w:t>
            </w:r>
            <w:r>
              <w:rPr>
                <w:rFonts w:ascii="arial" w:eastAsia="arial" w:hAnsi="arial" w:cs="arial"/>
                <w:color w:val="000000"/>
                <w:sz w:val="18"/>
                <w:u w:val="single"/>
                <w:lang w:val="en-US" w:eastAsia="en-US" w:bidi="ar-SA"/>
              </w:rPr>
              <w:t>However this inspection was performed in the winter when the ground was frozen</w:t>
            </w:r>
            <w:r>
              <w:rPr>
                <w:rFonts w:ascii="arial" w:eastAsia="arial" w:hAnsi="arial" w:cs="arial"/>
                <w:color w:val="000000"/>
                <w:sz w:val="18"/>
                <w:lang w:val="en-US" w:eastAsia="en-US" w:bidi="ar-SA"/>
              </w:rPr>
              <w:t>.</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10. The Plaintiff purchased the Home on or about January 2012</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11. The Plaintiff moved into the Home on or about the spring of 2012</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12. On or about the spring of 2012 the Plaintiff noticed that the Allan Block Wall was sagging further and proceeded to retain workmen to correct the problem. At that time, the Plaintiff was led to believe that the problem may have been caused by an issue with the irrigation system</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13. On or about the fall of 2012 the Plaintiff discovered that the soil in front of the front door and under the driveway was eroding. This erosion was causing damage to the driveway as well as to the walkway leading to the entrance of the Home and was the cause of the crack in the walkway of which the Defendants were aware. This damage was further causing entering the Home and driveway to be dangerous</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14. The area that was eroded had to be excavated and once the excavation was completed in or around the beginning of January, the true cause of the erosion was ascertained. This cause was that the water system which removed water from the gutters via a drainage pipe underground was not connected which resulted in a constant or near constant leak which led to the soil erosion</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15. The Plaintiff was advised and verily believes that the Defendants knew or ought to have know that the water system was not properly installed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 2: RELIEF SOUGHT</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Reimbursement for the cost of repairs to the home;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 and Post-Judgment interest;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may seem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Response to Civil Claim ("Response") was filed on May 21, 2015. It has not been amended. It admits the facts in paragraphs 2, 3 and 4; denies paragraphs 6 and 7, and states the defendants have no knowledge of paragraphs 1, 5 and 8 of Part 1 of the Notice. In the Response, the defendants set out their version of the facts and deny causes of action not pled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joined the third party, Randy Dillman, pleading he is responsible for the problems encountered by the plaintiff, not them. Randy Dillman built the house. Randy Dillman did not appear at this application, though he is represented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acknowledged that, if I accept all of the arguments made on behalf of the defendants and the claim is statute barred, then an amendment cannot revive a statute barred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were the owners of a residence located at 3023 Birkenhead Drive in Kamloops, British Columbia ("Birkenhead"). The plaintiff and the defendants entered into a Contract of Purchase and Sale of Birkenhead on November 28, 2011, subject to certain conditions. The conditions were removed on December 6, 2011. The transfer of Birkenhead to the plaintiff was completed in January 2012. On January 16, 2012, the defendants moved from Birkenhead to Grand Prairie, Alberta. The plaintiff took possession of Birkenhead on January 23,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in its Amended Notice pleads he entered into a contract with the defendants dated November 24, 2011. He alleges part of the contract included a property disclosure statement completed by the defendants and dated April 24, 2011. The plaintiff alleged that it relied on the disclosure statement, in particular: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problems with the water system?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Though not pled in the plaintiff's Amended Notice, the plaintiff, in his submissions relies on another clause in the property disclosure statement which states:</w:t>
      </w:r>
      <w:r>
        <w:rPr>
          <w:rFonts w:ascii="arial" w:eastAsia="arial" w:hAnsi="arial" w:cs="arial"/>
          <w:sz w:val="20"/>
          <w:lang w:val="en-US" w:eastAsia="en-US" w:bidi="ar-SA"/>
        </w:rPr>
        <w:cr/>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damage due to wind, fire or water?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pleadings, the plaintiff alleges he inquired through the defendants' realtor prior to entering the contract regarding a stained tile in the media room and was told that it was from an old leak that was fixed. The plaintiff alleges further he also inquired, prior to purchasing the home, as to the cracks in the walkway and was told that it was due to settling.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Foster swore in her Affidavit:</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Dale Currie then obtained a home inspection, the conditions on the sale were removed, and the sold sign went up on or around December 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no evidence before me that suggests there was any evidence of soil erosion prior to the time Birkenhead was inspected by the home inspector or observed by the plaintiff prior to entering into the Contract of Purchase of Sale, or shortly thereafter. Soil erosion was first observed by the plaintiff in the fall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Affidavit sworn on September 21, 2016 is a little confusing. On close reading of it, together with the Amended Notice, it appears the plaintiff complains of two areas of Birkenhead that were damaged by water. The plaintiff states he initially found that erosion was causing damage to Birkenhead's driveway. This is found in his Affidavit, where he swears:</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fall of 2012, I discovered that the soil in front of my front door under the driveway was eroding.</w:t>
      </w:r>
    </w:p>
    <w:p>
      <w:pPr>
        <w:numPr>
          <w:numId w:val="2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at first thought it was as a result of issues of the retaining wall and investigated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hired workman to repair the problem in May 2012.</w:t>
      </w:r>
    </w:p>
    <w:p>
      <w:pPr>
        <w:numPr>
          <w:numId w:val="2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a workman was excavating to conduct the repairs he discovered that the cause of the problem was that the underground pipes for the water system was not properly installed which resulted in a constant leak after the irrigation was turned on which then lead to the soil erosion.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in the plaintiff's amended Application Response he describes the chronology of events as to the discovery of the damages to Birkenhead in paragraphs 4 through 11:</w:t>
      </w:r>
      <w:r>
        <w:rPr>
          <w:rFonts w:ascii="arial" w:eastAsia="arial" w:hAnsi="arial" w:cs="arial"/>
          <w:sz w:val="20"/>
          <w:lang w:val="en-US" w:eastAsia="en-US" w:bidi="ar-SA"/>
        </w:rPr>
        <w:cr/>
      </w:r>
    </w:p>
    <w:p>
      <w:pPr>
        <w:numPr>
          <w:numId w:val="2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approximately April of 2012 the Plaintiff first noticed some sinking and cracking around the ground level of the property.</w:t>
      </w:r>
    </w:p>
    <w:p>
      <w:pPr>
        <w:numPr>
          <w:numId w:val="2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purchased the property, the irrigation system was turned off given that the property was purchased in winter.</w:t>
      </w:r>
    </w:p>
    <w:p>
      <w:pPr>
        <w:numPr>
          <w:numId w:val="2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spring and summer of 2012, the Plaintiff turned on the irrigation system that to the Plaintiff's knowledge, was properly working as warranted by the Defendants.</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spring of 2012, the Plaintiff discovered that the soil in front of the front door and under the driveway was eroding.</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April of 2012, the Plaintiff hired EHD Consulting Ltd. to ascertain the cause of the damage and how to correct the damage.</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workmen were hired to correct the damage, it was discovered that the irrigation system was not properly connected which caused continual leaking which thereby caused the erosion.</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way for the Plaintiff to ascertain the cause of the damage prior to excavating the area.</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actual discovery of the cause of the soil erosion did not occur until the area was thoroughly excavated in the fall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These two areas of damage to Birkenhead and their alleged causes are described in paragraphs 12, 13 and 14 of the Amended Notice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12. On or about the spring of 2012 the Plaintiff noticed that the Allan Block Wall was sagging further and proceeded to retain workmen to correct the problem. At that time, the Plaintiff was led to believe that the problem may have been caused by an issue with the irrigation system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13. On or about the fall of 2012 the Plaintiff discovered that the soil in front of the front door and under the driveway was eroding. This erosion was causing damage to the driveway as well as to the walkway leading to the entrance of the Home and was the cause of the crack in the walkway of which the Defendants were aware. This damage was further causing entering the Home and driveway to be dangerous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14. The area that was eroded had to be excavated and once the excavation was completed in or around the beginning of January, the true cause of the erosion was ascertained. This cause was that the water system which removed water from the gutters via a drainage pipe underground was not connected which resulted in a constant or near constant leak which led to the soil erosion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made a claim for the repair of the damages to Birkenhead to the National Home Warranty plan. This claim was received by it on June 12, 2012. The claim was denied. In doing so, the National Home Warranty stated in a letter dated June 25,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National Home Warranty's assessment of your claim has resulted in the following determinations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per the terms and conditions of the Warranty Policy, the items listed below do not represent warrantable defects. These items have been reported after the applicable One Year Warranty Coverage expiry date of </w:t>
      </w:r>
      <w:r>
        <w:rPr>
          <w:rFonts w:ascii="arial" w:eastAsia="arial" w:hAnsi="arial" w:cs="arial"/>
          <w:b/>
          <w:color w:val="000000"/>
          <w:sz w:val="20"/>
          <w:u w:val="single"/>
          <w:lang w:val="en-US" w:eastAsia="en-US" w:bidi="ar-SA"/>
        </w:rPr>
        <w:t>January 1, 2009</w:t>
      </w:r>
      <w:r>
        <w:rPr>
          <w:rFonts w:ascii="arial" w:eastAsia="arial" w:hAnsi="arial" w:cs="arial"/>
          <w:color w:val="000000"/>
          <w:sz w:val="20"/>
          <w:lang w:val="en-US" w:eastAsia="en-US" w:bidi="ar-SA"/>
        </w:rPr>
        <w:t>. National Home Warranty is required to be notified in writing of issues prior to the applicable warranty expiry date(s) for coverage to be in effect. Therefore, these items do not qualify for repairs and no further actions are required.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Item 1: Front walkway sinking and cracking, front area of house by front door down 2"</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Item 2: Major crack in garage floor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Item 3: Soffit is cracked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These items may have been covered under One Year Warranty. As noted above, this coverage has expired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June 15, 2012, the plaintiff hired the Fireplace Gallery to determine whether the source of the water leak related to the municipal main waterline at the curb serving Birkenhead. No leak was detected. In the description of the work performed, these words appear: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...Source of settling of concrete at front of house unknown at this time. May require more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made a claim to Intact Insurance with whom he has a homeowner insurance policy. The claim was reported on August 30, 2012. A representative of Intact Insurance confirmed in its letter of September 10, 2012 previous conversations and the attendance at Birkenhead on September 5, 2012. Intact Insurance wrote to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unable to pay any claim related to your settlement based on the following exclusions: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do not insure loss or damage;</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caused by settling, expansion, contraction, moving buckling, bulging, or cracking...</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making good faulty material or workmanship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states that in or about April 2012, he hired EHD Consulting Ltd. ("EHD") to determine the cause of damage to Birkenhead and how to correct the damage. The plaintiff received an engineer's report dated November 1, 2012 from EHD Consulting Ltd. ("EHD report"). The engineer who authored the EHD report, Ian Chadwick, inspected Birkenhead on October 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an email dated April 30, 2013 from plaintiff's counsel, directed to the defendant, Shawna Foster, it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Good morning Shawna,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Mr. Currie's solicitor. Shortly after Mr. Currie purchased the residence, he discovered significant problems with the foundation. Apparently the ground under the foundation is unstable. This has caused the foundation to sink and crack, requiring extensive repair work. Mr. Currie's home insurer is Intact. Intact has taken the position that your home insurer ought to be involved in compensating the claim. I understand Intact has taken this position because the sinking of the foundation was noticeable before Mr. Currie purchased the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Mr. Currie simply wants your home insurer to speak with Intact. As a courtesy to Intact, we have agreed to contact you and try to get contact information for your insurer. We believe that at this time it is best to wait while the home insurers argue about which of them is liable. Would you please provide the name and contact information of your insurance broker in Kamloops, through whom you would have purchased your home insurance? We believe it is in the best interest of all involved for the insurers to make contact.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Alternatively, please contact [your] insurance broker, let him know the situation, and ask him to have the home insurer respond directly to Mr. Currie's home insurer, Bruce Devente, Western Division Claims Representative, at 250-579-5014.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Upon receiving this email and on April 30, 2013, Ms. Foster contacted legal counsel, who is not the same counsel who has brought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EHD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EHD report opens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reported to EHD that you had engaged a contractor to rebuild the Allen block wall in front of the house, having yourself noticed settlement to the front concrete slabs on grade, including the concrete access footpath, stairs and porch slabs. During the contractor's excavation behind the wall, it was reported that the compacted subsoil was wet and that the irrigation system had been leaking. The contractor advised that the wet subsoil would cause settlement of the slabs on grade. The leaking irrigation system components have subsequently been removed and a trench has been excavated to enable repair of the system and installation of an Allan block wall (Photo 2). In addition to the settlement to the front of the property, two other longitudinal cracks in the driveway and garage slabs on grade were also observed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Chadwick describes the terms of EHD's engagement as: "EHD Consulting Ltd. was subsequently engaged to inspect and report on the settlement and slab cracking."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his report, Mr. Chadwick describes his observations as to the damage to Birkenhead as settlement to the porch slab-on-grade, the garage slab-on-grade and the driveway slab. He identifies cracks on the exterior of the slab-on-grade. He describes the cracks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direction and location of Crack 1 indicates that it is settlement-induced, with a hinge forming around the settled fill area. Cracks 2 and 3 in and adjacent to the garage will not only have been caused by settlement, but will also have a component of expansion-related tension cracking, due to mid-slab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does not consider crack 4 as related to settlement in the front of the house porch. In his report, Mr. Chadwick sets out the various measurements of settlement and describes the areas of settlement he encountered.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only mention of the gutter system by Mr. Chadwick is at Photo 4 "Porch roof has settled to the front, guttering will not function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EHD report came to the following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conclude the following:</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cracked slabs-on-grade illustrate components both of settlement and expansion-related cracks. Crack 1 can, however, be attributed fully to settlement from the previously leaking irrigation system and the associated fill settlement.</w:t>
      </w:r>
    </w:p>
    <w:p>
      <w:pPr>
        <w:numPr>
          <w:numId w:val="3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slab-on-grade pathway and porch concrete have settled due to wetting of the compacted material to the front of the property.</w:t>
      </w:r>
    </w:p>
    <w:p>
      <w:pPr>
        <w:numPr>
          <w:numId w:val="3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structural support Posts 2 and 3 for the porch area require remediation to restore the porch roof tolerances to within Code limits.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of main house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issue is whether the limitation period is two years or six years within which the plaintiff has to bring his claim. It then must be determined the day in which the plaintiff discovered the damages to Birkenhead.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LIMITATION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plaintiff's claim was discovered prior to the effective date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R.S.B.C. 2012, c. 13 [</w:t>
      </w:r>
      <w:r>
        <w:rPr>
          <w:rFonts w:ascii="arial" w:eastAsia="arial" w:hAnsi="arial" w:cs="arial"/>
          <w:i/>
          <w:color w:val="000000"/>
          <w:sz w:val="20"/>
          <w:lang w:val="en-US" w:eastAsia="en-US" w:bidi="ar-SA"/>
        </w:rPr>
        <w:t>2012 LA</w:t>
      </w:r>
      <w:r>
        <w:rPr>
          <w:rFonts w:ascii="arial" w:eastAsia="arial" w:hAnsi="arial" w:cs="arial"/>
          <w:color w:val="000000"/>
          <w:sz w:val="20"/>
          <w:lang w:val="en-US" w:eastAsia="en-US" w:bidi="ar-SA"/>
        </w:rPr>
        <w:t xml:space="preserve">]. Pursuant to s. 30 of the </w:t>
      </w:r>
      <w:r>
        <w:rPr>
          <w:rFonts w:ascii="arial" w:eastAsia="arial" w:hAnsi="arial" w:cs="arial"/>
          <w:i/>
          <w:color w:val="000000"/>
          <w:sz w:val="20"/>
          <w:lang w:val="en-US" w:eastAsia="en-US" w:bidi="ar-SA"/>
        </w:rPr>
        <w:t>2012 LA</w:t>
      </w:r>
      <w:r>
        <w:rPr>
          <w:rFonts w:ascii="arial" w:eastAsia="arial" w:hAnsi="arial" w:cs="arial"/>
          <w:color w:val="000000"/>
          <w:sz w:val="20"/>
          <w:lang w:val="en-US" w:eastAsia="en-US" w:bidi="ar-SA"/>
        </w:rPr>
        <w:t xml:space="preserve">, the plaintiff's claim is a pre-existing claim. Therefore,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1996 LA</w:t>
      </w:r>
      <w:r>
        <w:rPr>
          <w:rFonts w:ascii="arial" w:eastAsia="arial" w:hAnsi="arial" w:cs="arial"/>
          <w:color w:val="000000"/>
          <w:sz w:val="20"/>
          <w:lang w:val="en-US" w:eastAsia="en-US" w:bidi="ar-SA"/>
        </w:rPr>
        <w:t xml:space="preserve">] applies to the plaintiff's action. Both the plaintiff and the defendants agree that the </w:t>
      </w:r>
      <w:r>
        <w:rPr>
          <w:rFonts w:ascii="arial" w:eastAsia="arial" w:hAnsi="arial" w:cs="arial"/>
          <w:i/>
          <w:color w:val="000000"/>
          <w:sz w:val="20"/>
          <w:lang w:val="en-US" w:eastAsia="en-US" w:bidi="ar-SA"/>
        </w:rPr>
        <w:t>1996 LA</w:t>
      </w:r>
      <w:r>
        <w:rPr>
          <w:rFonts w:ascii="arial" w:eastAsia="arial" w:hAnsi="arial" w:cs="arial"/>
          <w:color w:val="000000"/>
          <w:sz w:val="20"/>
          <w:lang w:val="en-US" w:eastAsia="en-US" w:bidi="ar-SA"/>
        </w:rPr>
        <w:t xml:space="preserve"> applies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STATUTORY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defendants argue that the relevant limitation period is two years. The plaintiff argues the relevant limitation period relating to his action is six years. The </w:t>
      </w:r>
      <w:r>
        <w:rPr>
          <w:rFonts w:ascii="arial" w:eastAsia="arial" w:hAnsi="arial" w:cs="arial"/>
          <w:i/>
          <w:color w:val="000000"/>
          <w:sz w:val="20"/>
          <w:lang w:val="en-US" w:eastAsia="en-US" w:bidi="ar-SA"/>
        </w:rPr>
        <w:t>1996 LA</w:t>
      </w:r>
      <w:r>
        <w:rPr>
          <w:rFonts w:ascii="arial" w:eastAsia="arial" w:hAnsi="arial" w:cs="arial"/>
          <w:color w:val="000000"/>
          <w:sz w:val="20"/>
          <w:lang w:val="en-US" w:eastAsia="en-US" w:bidi="ar-SA"/>
        </w:rPr>
        <w:t xml:space="preserve"> is:</w:t>
      </w:r>
      <w:r>
        <w:rPr>
          <w:rFonts w:ascii="arial" w:eastAsia="arial" w:hAnsi="arial" w:cs="arial"/>
          <w:sz w:val="20"/>
          <w:lang w:val="en-US" w:eastAsia="en-US" w:bidi="ar-SA"/>
        </w:rPr>
        <w:cr/>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2 years after the date on which the right to do so arose a person may not bring any of the following actions: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 (k), for damages in respect of injury to person or property, including economic loss arising from the injury, whether based on contract, tort or statutory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 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argues that if the limitation period is two years, it has been postponed pursuant to ss. 6(3)(b), (4) and (5) of the </w:t>
      </w:r>
      <w:r>
        <w:rPr>
          <w:rFonts w:ascii="arial" w:eastAsia="arial" w:hAnsi="arial" w:cs="arial"/>
          <w:i/>
          <w:color w:val="000000"/>
          <w:sz w:val="20"/>
          <w:lang w:val="en-US" w:eastAsia="en-US" w:bidi="ar-SA"/>
        </w:rPr>
        <w:t>1996 LA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4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5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5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"appropriate advice"</w:t>
      </w:r>
      <w:r>
        <w:rPr>
          <w:rFonts w:ascii="arial" w:eastAsia="arial" w:hAnsi="arial" w:cs="arial"/>
          <w:color w:val="000000"/>
          <w:sz w:val="20"/>
          <w:lang w:val="en-US" w:eastAsia="en-US" w:bidi="ar-SA"/>
        </w:rPr>
        <w:t>, in relation to facts, means the advice of competent persons, qualified in their respective fields, to advise on the medical, legal and other aspects of the facts, as the case may require,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included</w:t>
      </w:r>
    </w:p>
    <w:p>
      <w:pPr>
        <w:numPr>
          <w:numId w:val="5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or claimant by the defendant or respondent, and</w:t>
      </w:r>
    </w:p>
    <w:p>
      <w:pPr>
        <w:numPr>
          <w:numId w:val="5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duty caused injury, damage or loss to the plaintiff or claimant,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does not plead postponement in his pleadings. However, the plaintiff, in his Amended Response application and paragraphs 11, 14 and 16 of his Affidavit relies on postponement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argue that the limitation period is two years. Whether the claim is founded in tort or contract, they argue that the limitation period started on November 1, 2012 and expired on November 1, 2014. The Notice issued January 27, 2015, is too late and the plaintiff's claim is statute barred. Further, the defendants argue that the facts and applicable law does not permit the limitation period to be postponed.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claims that the limitation period is six years and that the limitation period has not expired. However, the plaintiff argues, in the alternative, if the limitation period is two years, then the limitation period has been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CASE LAW CITED BY PLAINTIFF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 in support of his claim that the limitation period is six years, or in the alternative position, the limitation period is two years, which has been postponed, relies on the following case law: </w:t>
      </w:r>
      <w:r>
        <w:rPr>
          <w:rFonts w:ascii="arial" w:eastAsia="arial" w:hAnsi="arial" w:cs="arial"/>
          <w:i/>
          <w:color w:val="000000"/>
          <w:sz w:val="20"/>
          <w:lang w:val="en-US" w:eastAsia="en-US" w:bidi="ar-SA"/>
        </w:rPr>
        <w:t>Moses v. Lower Nicola Indian Band</w:t>
      </w:r>
      <w:r>
        <w:rPr>
          <w:rFonts w:ascii="arial" w:eastAsia="arial" w:hAnsi="arial" w:cs="arial"/>
          <w:color w:val="000000"/>
          <w:sz w:val="20"/>
          <w:lang w:val="en-US" w:eastAsia="en-US" w:bidi="ar-SA"/>
        </w:rPr>
        <w:t xml:space="preserve">, </w:t>
      </w:r>
      <w:hyperlink r:id="rId1079" w:history="1">
        <w:r>
          <w:rPr>
            <w:rFonts w:ascii="arial" w:eastAsia="arial" w:hAnsi="arial" w:cs="arial"/>
            <w:i/>
            <w:color w:val="0077CC"/>
            <w:sz w:val="20"/>
            <w:u w:val="single"/>
            <w:shd w:val="clear" w:color="auto" w:fill="FFFFFF"/>
            <w:lang w:val="en-US" w:eastAsia="en-US" w:bidi="ar-SA"/>
          </w:rPr>
          <w:t>2015 BCCA 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355022 B.C. Ltd. v. CCS Properties Inc</w:t>
      </w:r>
      <w:r>
        <w:rPr>
          <w:rFonts w:ascii="arial" w:eastAsia="arial" w:hAnsi="arial" w:cs="arial"/>
          <w:color w:val="000000"/>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(1995), 14 B.C.L.R. (3d) 107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J.I. Properties v. PPG Architectural Coatings Canada Inc.</w:t>
      </w:r>
      <w:r>
        <w:rPr>
          <w:rFonts w:ascii="arial" w:eastAsia="arial" w:hAnsi="arial" w:cs="arial"/>
          <w:color w:val="000000"/>
          <w:sz w:val="20"/>
          <w:lang w:val="en-US" w:eastAsia="en-US" w:bidi="ar-SA"/>
        </w:rPr>
        <w:t xml:space="preserve">, </w:t>
      </w:r>
      <w:hyperlink r:id="rId1081" w:history="1">
        <w:r>
          <w:rPr>
            <w:rFonts w:ascii="arial" w:eastAsia="arial" w:hAnsi="arial" w:cs="arial"/>
            <w:i/>
            <w:color w:val="0077CC"/>
            <w:sz w:val="20"/>
            <w:u w:val="single"/>
            <w:shd w:val="clear" w:color="auto" w:fill="FFFFFF"/>
            <w:lang w:val="en-US" w:eastAsia="en-US" w:bidi="ar-SA"/>
          </w:rPr>
          <w:t>2014 BCSC 1619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Strata Plan No. VR 1720 v. Bart Developments Ltd.</w:t>
      </w:r>
      <w:r>
        <w:rPr>
          <w:rFonts w:ascii="arial" w:eastAsia="arial" w:hAnsi="arial" w:cs="arial"/>
          <w:color w:val="000000"/>
          <w:sz w:val="20"/>
          <w:lang w:val="en-US" w:eastAsia="en-US" w:bidi="ar-SA"/>
        </w:rPr>
        <w:t xml:space="preserve">, </w:t>
      </w:r>
      <w:hyperlink r:id="rId1082" w:history="1">
        <w:r>
          <w:rPr>
            <w:rFonts w:ascii="arial" w:eastAsia="arial" w:hAnsi="arial" w:cs="arial"/>
            <w:i/>
            <w:color w:val="0077CC"/>
            <w:sz w:val="20"/>
            <w:u w:val="single"/>
            <w:shd w:val="clear" w:color="auto" w:fill="FFFFFF"/>
            <w:lang w:val="en-US" w:eastAsia="en-US" w:bidi="ar-SA"/>
          </w:rPr>
          <w:t>[1998] B.C.J. No. 224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defendants, to support their argument that the limitation period is two years, and that the two-year limitation period was not postponed, relies on </w:t>
      </w:r>
      <w:r>
        <w:rPr>
          <w:rFonts w:ascii="arial" w:eastAsia="arial" w:hAnsi="arial" w:cs="arial"/>
          <w:i/>
          <w:color w:val="000000"/>
          <w:sz w:val="20"/>
          <w:lang w:val="en-US" w:eastAsia="en-US" w:bidi="ar-SA"/>
        </w:rPr>
        <w:t>Snowfield Development Corp. v Dyno Nobel Canada Inc.</w:t>
      </w:r>
      <w:r>
        <w:rPr>
          <w:rFonts w:ascii="arial" w:eastAsia="arial" w:hAnsi="arial" w:cs="arial"/>
          <w:color w:val="000000"/>
          <w:sz w:val="20"/>
          <w:lang w:val="en-US" w:eastAsia="en-US" w:bidi="ar-SA"/>
        </w:rPr>
        <w:t xml:space="preserve">, </w:t>
      </w:r>
      <w:hyperlink r:id="rId1083" w:history="1">
        <w:r>
          <w:rPr>
            <w:rFonts w:ascii="arial" w:eastAsia="arial" w:hAnsi="arial" w:cs="arial"/>
            <w:i/>
            <w:color w:val="0077CC"/>
            <w:sz w:val="20"/>
            <w:u w:val="single"/>
            <w:shd w:val="clear" w:color="auto" w:fill="FFFFFF"/>
            <w:lang w:val="en-US" w:eastAsia="en-US" w:bidi="ar-SA"/>
          </w:rPr>
          <w:t>2011 BCSC 1296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British Columbia Workers' Compensation Board of British Columbia v. Genstar</w:t>
      </w:r>
      <w:r>
        <w:rPr>
          <w:rFonts w:ascii="arial" w:eastAsia="arial" w:hAnsi="arial" w:cs="arial"/>
          <w:color w:val="000000"/>
          <w:sz w:val="20"/>
          <w:lang w:val="en-US" w:eastAsia="en-US" w:bidi="ar-SA"/>
        </w:rPr>
        <w:t xml:space="preserve">, </w:t>
      </w:r>
      <w:hyperlink r:id="rId1084" w:history="1">
        <w:r>
          <w:rPr>
            <w:rFonts w:ascii="arial" w:eastAsia="arial" w:hAnsi="arial" w:cs="arial"/>
            <w:i/>
            <w:color w:val="0077CC"/>
            <w:sz w:val="20"/>
            <w:u w:val="single"/>
            <w:shd w:val="clear" w:color="auto" w:fill="FFFFFF"/>
            <w:lang w:val="en-US" w:eastAsia="en-US" w:bidi="ar-SA"/>
          </w:rPr>
          <w:t>[1986] B.C.J. No 443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355022 B.C. Ltd., Letroy v. Armenian Apostolic Church of British Columbia</w:t>
      </w:r>
      <w:r>
        <w:rPr>
          <w:rFonts w:ascii="arial" w:eastAsia="arial" w:hAnsi="arial" w:cs="arial"/>
          <w:color w:val="000000"/>
          <w:sz w:val="20"/>
          <w:lang w:val="en-US" w:eastAsia="en-US" w:bidi="ar-SA"/>
        </w:rPr>
        <w:t xml:space="preserve">, </w:t>
      </w:r>
      <w:hyperlink r:id="rId1085" w:history="1">
        <w:r>
          <w:rPr>
            <w:rFonts w:ascii="arial" w:eastAsia="arial" w:hAnsi="arial" w:cs="arial"/>
            <w:i/>
            <w:color w:val="0077CC"/>
            <w:sz w:val="20"/>
            <w:u w:val="single"/>
            <w:shd w:val="clear" w:color="auto" w:fill="FFFFFF"/>
            <w:lang w:val="en-US" w:eastAsia="en-US" w:bidi="ar-SA"/>
          </w:rPr>
          <w:t>[1989] B.C.J. No. 1151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Tobacca v. Island Ready Mix Ltd.</w:t>
      </w:r>
      <w:r>
        <w:rPr>
          <w:rFonts w:ascii="arial" w:eastAsia="arial" w:hAnsi="arial" w:cs="arial"/>
          <w:color w:val="000000"/>
          <w:sz w:val="20"/>
          <w:lang w:val="en-US" w:eastAsia="en-US" w:bidi="ar-SA"/>
        </w:rPr>
        <w:t xml:space="preserve">, </w:t>
      </w:r>
      <w:hyperlink r:id="rId1086" w:history="1">
        <w:r>
          <w:rPr>
            <w:rFonts w:ascii="arial" w:eastAsia="arial" w:hAnsi="arial" w:cs="arial"/>
            <w:i/>
            <w:color w:val="0077CC"/>
            <w:sz w:val="20"/>
            <w:u w:val="single"/>
            <w:shd w:val="clear" w:color="auto" w:fill="FFFFFF"/>
            <w:lang w:val="en-US" w:eastAsia="en-US" w:bidi="ar-SA"/>
          </w:rPr>
          <w:t>[1978] B.C.J. No. 1013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Shah v. Governor and Co. of Adventurers of England Trading into Hudson's Bay Co. (c.o.b. Hudson's Bay Co.)</w:t>
      </w:r>
      <w:r>
        <w:rPr>
          <w:rFonts w:ascii="arial" w:eastAsia="arial" w:hAnsi="arial" w:cs="arial"/>
          <w:color w:val="000000"/>
          <w:sz w:val="20"/>
          <w:lang w:val="en-US" w:eastAsia="en-US" w:bidi="ar-SA"/>
        </w:rPr>
        <w:t xml:space="preserve">, </w:t>
      </w:r>
      <w:hyperlink r:id="rId1087" w:history="1">
        <w:r>
          <w:rPr>
            <w:rFonts w:ascii="arial" w:eastAsia="arial" w:hAnsi="arial" w:cs="arial"/>
            <w:i/>
            <w:color w:val="0077CC"/>
            <w:sz w:val="20"/>
            <w:u w:val="single"/>
            <w:shd w:val="clear" w:color="auto" w:fill="FFFFFF"/>
            <w:lang w:val="en-US" w:eastAsia="en-US" w:bidi="ar-SA"/>
          </w:rPr>
          <w:t>2008 BCCA 114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Ounjian v. St. Paul's Hospital</w:t>
      </w:r>
      <w:r>
        <w:rPr>
          <w:rFonts w:ascii="arial" w:eastAsia="arial" w:hAnsi="arial" w:cs="arial"/>
          <w:color w:val="000000"/>
          <w:sz w:val="20"/>
          <w:lang w:val="en-US" w:eastAsia="en-US" w:bidi="ar-SA"/>
        </w:rPr>
        <w:t xml:space="preserve">, </w:t>
      </w:r>
      <w:hyperlink r:id="rId1088" w:history="1">
        <w:r>
          <w:rPr>
            <w:rFonts w:ascii="arial" w:eastAsia="arial" w:hAnsi="arial" w:cs="arial"/>
            <w:i/>
            <w:color w:val="0077CC"/>
            <w:sz w:val="20"/>
            <w:u w:val="single"/>
            <w:shd w:val="clear" w:color="auto" w:fill="FFFFFF"/>
            <w:lang w:val="en-US" w:eastAsia="en-US" w:bidi="ar-SA"/>
          </w:rPr>
          <w:t>2002 BCSC 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Levitt v. Carr</w:t>
      </w:r>
      <w:r>
        <w:rPr>
          <w:rFonts w:ascii="arial" w:eastAsia="arial" w:hAnsi="arial" w:cs="arial"/>
          <w:color w:val="000000"/>
          <w:sz w:val="20"/>
          <w:lang w:val="en-US" w:eastAsia="en-US" w:bidi="ar-SA"/>
        </w:rPr>
        <w:t xml:space="preserve">, </w:t>
      </w:r>
      <w:hyperlink r:id="rId1089" w:history="1">
        <w:r>
          <w:rPr>
            <w:rFonts w:ascii="arial" w:eastAsia="arial" w:hAnsi="arial" w:cs="arial"/>
            <w:i/>
            <w:color w:val="0077CC"/>
            <w:sz w:val="20"/>
            <w:u w:val="single"/>
            <w:shd w:val="clear" w:color="auto" w:fill="FFFFFF"/>
            <w:lang w:val="en-US" w:eastAsia="en-US" w:bidi="ar-SA"/>
          </w:rPr>
          <w:t>12 B.C.A.C.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Day v. Central Okanagan (Regional District)</w:t>
      </w:r>
      <w:r>
        <w:rPr>
          <w:rFonts w:ascii="arial" w:eastAsia="arial" w:hAnsi="arial" w:cs="arial"/>
          <w:color w:val="000000"/>
          <w:sz w:val="20"/>
          <w:lang w:val="en-US" w:eastAsia="en-US" w:bidi="ar-SA"/>
        </w:rPr>
        <w:t xml:space="preserve">, </w:t>
      </w:r>
      <w:hyperlink r:id="rId1090" w:history="1">
        <w:r>
          <w:rPr>
            <w:rFonts w:ascii="arial" w:eastAsia="arial" w:hAnsi="arial" w:cs="arial"/>
            <w:i/>
            <w:color w:val="0077CC"/>
            <w:sz w:val="20"/>
            <w:u w:val="single"/>
            <w:shd w:val="clear" w:color="auto" w:fill="FFFFFF"/>
            <w:lang w:val="en-US" w:eastAsia="en-US" w:bidi="ar-SA"/>
          </w:rPr>
          <w:t>2000 BCSC 1134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Strata Plan VR 1720, Hughes v. Proline Management Ltd</w:t>
      </w:r>
      <w:r>
        <w:rPr>
          <w:rFonts w:ascii="arial" w:eastAsia="arial" w:hAnsi="arial" w:cs="arial"/>
          <w:color w:val="000000"/>
          <w:sz w:val="20"/>
          <w:lang w:val="en-US" w:eastAsia="en-US" w:bidi="ar-SA"/>
        </w:rPr>
        <w:t xml:space="preserve">., </w:t>
      </w:r>
      <w:hyperlink r:id="rId1091" w:history="1">
        <w:r>
          <w:rPr>
            <w:rFonts w:ascii="arial" w:eastAsia="arial" w:hAnsi="arial" w:cs="arial"/>
            <w:i/>
            <w:color w:val="0077CC"/>
            <w:sz w:val="20"/>
            <w:u w:val="single"/>
            <w:shd w:val="clear" w:color="auto" w:fill="FFFFFF"/>
            <w:lang w:val="en-US" w:eastAsia="en-US" w:bidi="ar-SA"/>
          </w:rPr>
          <w:t>[1996] B.C.J. 1669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Shiner v. Port Alberni (City)</w:t>
      </w:r>
      <w:r>
        <w:rPr>
          <w:rFonts w:ascii="arial" w:eastAsia="arial" w:hAnsi="arial" w:cs="arial"/>
          <w:color w:val="000000"/>
          <w:sz w:val="20"/>
          <w:lang w:val="en-US" w:eastAsia="en-US" w:bidi="ar-SA"/>
        </w:rPr>
        <w:t xml:space="preserve">, </w:t>
      </w:r>
      <w:hyperlink r:id="rId1092" w:history="1">
        <w:r>
          <w:rPr>
            <w:rFonts w:ascii="arial" w:eastAsia="arial" w:hAnsi="arial" w:cs="arial"/>
            <w:i/>
            <w:color w:val="0077CC"/>
            <w:sz w:val="20"/>
            <w:u w:val="single"/>
            <w:shd w:val="clear" w:color="auto" w:fill="FFFFFF"/>
            <w:lang w:val="en-US" w:eastAsia="en-US" w:bidi="ar-SA"/>
          </w:rPr>
          <w:t>2004 BCSC 1076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determination of a limitation period depends on how the claim is characterized in the pleadings. In the plaintiff's pleadings, he claims injury to the property and, in particular, Birkenhead, and seeks "Reimbursement for the cost of repairs to the home". The plaintiff claims this injury occurred because the defendants breached their contract with him when they stated that there was no problem with the water system when they knew there was a problem with the water system. Although the words "breach of contract" are not specifically used in the Amended Notice, counsel for the plaintiff stated in submissions, the plaintiff's claim arises in the breach of the contract by the defendants of the property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Both </w:t>
      </w:r>
      <w:r>
        <w:rPr>
          <w:rFonts w:ascii="arial" w:eastAsia="arial" w:hAnsi="arial" w:cs="arial"/>
          <w:i/>
          <w:color w:val="000000"/>
          <w:sz w:val="20"/>
          <w:lang w:val="en-US" w:eastAsia="en-US" w:bidi="ar-SA"/>
        </w:rPr>
        <w:t>Snowfield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Workers' Compensation Board</w:t>
      </w:r>
      <w:r>
        <w:rPr>
          <w:rFonts w:ascii="arial" w:eastAsia="arial" w:hAnsi="arial" w:cs="arial"/>
          <w:color w:val="000000"/>
          <w:sz w:val="20"/>
          <w:lang w:val="en-US" w:eastAsia="en-US" w:bidi="ar-SA"/>
        </w:rPr>
        <w:t xml:space="preserve"> demonstrate the difference between a two-year limitation period and six-year limitation period involving "injury to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words "injury to property" is considered in </w:t>
      </w:r>
      <w:r>
        <w:rPr>
          <w:rFonts w:ascii="arial" w:eastAsia="arial" w:hAnsi="arial" w:cs="arial"/>
          <w:i/>
          <w:color w:val="000000"/>
          <w:sz w:val="20"/>
          <w:lang w:val="en-US" w:eastAsia="en-US" w:bidi="ar-SA"/>
        </w:rPr>
        <w:t>Snowfield</w:t>
      </w:r>
      <w:r>
        <w:rPr>
          <w:rFonts w:ascii="arial" w:eastAsia="arial" w:hAnsi="arial" w:cs="arial"/>
          <w:color w:val="000000"/>
          <w:sz w:val="20"/>
          <w:lang w:val="en-US" w:eastAsia="en-US" w:bidi="ar-SA"/>
        </w:rPr>
        <w:t xml:space="preserve"> when Madam Justice Gropper stated at paras. 12-13: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w:t>
      </w:r>
      <w:r>
        <w:rPr>
          <w:rFonts w:ascii="arial" w:eastAsia="arial" w:hAnsi="arial" w:cs="arial"/>
          <w:i/>
          <w:color w:val="000000"/>
          <w:sz w:val="20"/>
          <w:lang w:val="en-US" w:eastAsia="en-US" w:bidi="ar-SA"/>
        </w:rPr>
        <w:t>W.C.B. (B.C.) v. Genstar Corp</w:t>
      </w:r>
      <w:r>
        <w:rPr>
          <w:rFonts w:ascii="arial" w:eastAsia="arial" w:hAnsi="arial" w:cs="arial"/>
          <w:color w:val="000000"/>
          <w:sz w:val="20"/>
          <w:lang w:val="en-US" w:eastAsia="en-US" w:bidi="ar-SA"/>
        </w:rPr>
        <w:t xml:space="preserve">. </w:t>
      </w:r>
      <w:hyperlink r:id="rId1084" w:history="1">
        <w:r>
          <w:rPr>
            <w:rFonts w:ascii="arial" w:eastAsia="arial" w:hAnsi="arial" w:cs="arial"/>
            <w:i/>
            <w:color w:val="0077CC"/>
            <w:sz w:val="20"/>
            <w:u w:val="single"/>
            <w:shd w:val="clear" w:color="auto" w:fill="FFFFFF"/>
            <w:lang w:val="en-US" w:eastAsia="en-US" w:bidi="ar-SA"/>
          </w:rPr>
          <w:t>(1986), 24 B.C.L.R. (2d) 157</w:t>
        </w:r>
      </w:hyperlink>
      <w:r>
        <w:rPr>
          <w:rFonts w:ascii="arial" w:eastAsia="arial" w:hAnsi="arial" w:cs="arial"/>
          <w:color w:val="000000"/>
          <w:sz w:val="20"/>
          <w:lang w:val="en-US" w:eastAsia="en-US" w:bidi="ar-SA"/>
        </w:rPr>
        <w:t xml:space="preserve"> (C.A.), the court considered the meaning of the clause "injury to property". The litigation involved a claim by the W.C.B. against the defendants relating to the building of a parkade. The parkade had structural problems which were repaired by some of the defendants in November 1979, and September 1981. W.C.B. brought its actions against the defendants in February 1984. The court addressed which limitation period is applicable.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At pp. 161-162, the court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evident that s. 3(1)(</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applies only if the action is for damages in respect of "injury to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persuaded by the authorities that "injury to property" refers to the situation where property is damaged by an extrinsic act, and not to the situation where a claim is made for damage occasioned by defects in the property itself. ... Whether the action is brought in contract or tort, damage is an essential element of it. The question in each case is whether that damage comes within the phrase "injury to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Policy considerations support the conclusion that "injury to property" refers to damage caused by an identifiable external event. A short limitation period of two years is appropriate where the claim is based on an event which causes direct injury to property. Such a short limitation period may not be appropriate for a claim based on defects in the property which may not manifest themselves clearly for some time, even though with the benefit of hindsight one may be able to say that their onset was revealed at an earlier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Workers' Compensation Board</w:t>
      </w:r>
      <w:r>
        <w:rPr>
          <w:rFonts w:ascii="arial" w:eastAsia="arial" w:hAnsi="arial" w:cs="arial"/>
          <w:color w:val="000000"/>
          <w:sz w:val="20"/>
          <w:lang w:val="en-US" w:eastAsia="en-US" w:bidi="ar-SA"/>
        </w:rPr>
        <w:t>, the Court concluded that the beams used to construct the parkade were defective and that these defects did not fall within "injury to property". The result was the limitation period was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Snowfield</w:t>
      </w:r>
      <w:r>
        <w:rPr>
          <w:rFonts w:ascii="arial" w:eastAsia="arial" w:hAnsi="arial" w:cs="arial"/>
          <w:color w:val="000000"/>
          <w:sz w:val="20"/>
          <w:lang w:val="en-US" w:eastAsia="en-US" w:bidi="ar-SA"/>
        </w:rPr>
        <w:t xml:space="preserve">, Gropper J. cited examples where the two-year limitation period was determined as appropriate in </w:t>
      </w:r>
      <w:r>
        <w:rPr>
          <w:rFonts w:ascii="arial" w:eastAsia="arial" w:hAnsi="arial" w:cs="arial"/>
          <w:i/>
          <w:color w:val="000000"/>
          <w:sz w:val="20"/>
          <w:lang w:val="en-US" w:eastAsia="en-US" w:bidi="ar-SA"/>
        </w:rPr>
        <w:t>A.G. (Ont.) v. Fatehi</w:t>
      </w:r>
      <w:r>
        <w:rPr>
          <w:rFonts w:ascii="arial" w:eastAsia="arial" w:hAnsi="arial" w:cs="arial"/>
          <w:color w:val="000000"/>
          <w:sz w:val="20"/>
          <w:lang w:val="en-US" w:eastAsia="en-US" w:bidi="ar-SA"/>
        </w:rPr>
        <w:t xml:space="preserve">, </w:t>
      </w:r>
      <w:hyperlink r:id="rId1093" w:history="1">
        <w:r>
          <w:rPr>
            <w:rFonts w:ascii="arial" w:eastAsia="arial" w:hAnsi="arial" w:cs="arial"/>
            <w:i/>
            <w:color w:val="0077CC"/>
            <w:sz w:val="20"/>
            <w:u w:val="single"/>
            <w:shd w:val="clear" w:color="auto" w:fill="FFFFFF"/>
            <w:lang w:val="en-US" w:eastAsia="en-US" w:bidi="ar-SA"/>
          </w:rPr>
          <w:t>[1984] 2 S.C.R. 536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Lau Bat Logging Co. Ltd. v. B.C</w:t>
      </w:r>
      <w:r>
        <w:rPr>
          <w:rFonts w:ascii="arial" w:eastAsia="arial" w:hAnsi="arial" w:cs="arial"/>
          <w:color w:val="000000"/>
          <w:sz w:val="20"/>
          <w:lang w:val="en-US" w:eastAsia="en-US" w:bidi="ar-SA"/>
        </w:rPr>
        <w:t xml:space="preserve">. </w:t>
      </w:r>
      <w:hyperlink r:id="rId1094" w:history="1">
        <w:r>
          <w:rPr>
            <w:rFonts w:ascii="arial" w:eastAsia="arial" w:hAnsi="arial" w:cs="arial"/>
            <w:i/>
            <w:color w:val="0077CC"/>
            <w:sz w:val="20"/>
            <w:u w:val="single"/>
            <w:shd w:val="clear" w:color="auto" w:fill="FFFFFF"/>
            <w:lang w:val="en-US" w:eastAsia="en-US" w:bidi="ar-SA"/>
          </w:rPr>
          <w:t>(1986), 1 B.C.L.R. (2d) 390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Low v. Petro-Canada Inc.</w:t>
      </w:r>
      <w:r>
        <w:rPr>
          <w:rFonts w:ascii="arial" w:eastAsia="arial" w:hAnsi="arial" w:cs="arial"/>
          <w:color w:val="000000"/>
          <w:sz w:val="20"/>
          <w:lang w:val="en-US" w:eastAsia="en-US" w:bidi="ar-SA"/>
        </w:rPr>
        <w:t xml:space="preserve">, </w:t>
      </w:r>
      <w:hyperlink r:id="rId1095" w:history="1">
        <w:r>
          <w:rPr>
            <w:rFonts w:ascii="arial" w:eastAsia="arial" w:hAnsi="arial" w:cs="arial"/>
            <w:i/>
            <w:color w:val="0077CC"/>
            <w:sz w:val="20"/>
            <w:u w:val="single"/>
            <w:shd w:val="clear" w:color="auto" w:fill="FFFFFF"/>
            <w:lang w:val="en-US" w:eastAsia="en-US" w:bidi="ar-SA"/>
          </w:rPr>
          <w:t>2001 BCSC 251</w:t>
        </w:r>
      </w:hyperlink>
      <w:r>
        <w:rPr>
          <w:rFonts w:ascii="arial" w:eastAsia="arial" w:hAnsi="arial" w:cs="arial"/>
          <w:color w:val="000000"/>
          <w:sz w:val="20"/>
          <w:lang w:val="en-US" w:eastAsia="en-US" w:bidi="ar-SA"/>
        </w:rPr>
        <w:t>. Gropper J. said this in regard to these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With respect, the defendant's position is too narrow. It ignores the contract that it was hired to perform. In </w:t>
      </w:r>
      <w:r>
        <w:rPr>
          <w:rFonts w:ascii="arial" w:eastAsia="arial" w:hAnsi="arial" w:cs="arial"/>
          <w:i/>
          <w:color w:val="000000"/>
          <w:sz w:val="20"/>
          <w:lang w:val="en-US" w:eastAsia="en-US" w:bidi="ar-SA"/>
        </w:rPr>
        <w:t>Fatehi, Lau Bat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Low</w:t>
      </w:r>
      <w:r>
        <w:rPr>
          <w:rFonts w:ascii="arial" w:eastAsia="arial" w:hAnsi="arial" w:cs="arial"/>
          <w:color w:val="000000"/>
          <w:sz w:val="20"/>
          <w:lang w:val="en-US" w:eastAsia="en-US" w:bidi="ar-SA"/>
        </w:rPr>
        <w:t xml:space="preserve">, a third party injured the property and the claim was for loss related to that property. In </w:t>
      </w:r>
      <w:r>
        <w:rPr>
          <w:rFonts w:ascii="arial" w:eastAsia="arial" w:hAnsi="arial" w:cs="arial"/>
          <w:i/>
          <w:color w:val="000000"/>
          <w:sz w:val="20"/>
          <w:lang w:val="en-US" w:eastAsia="en-US" w:bidi="ar-SA"/>
        </w:rPr>
        <w:t>Fatehi</w:t>
      </w:r>
      <w:r>
        <w:rPr>
          <w:rFonts w:ascii="arial" w:eastAsia="arial" w:hAnsi="arial" w:cs="arial"/>
          <w:color w:val="000000"/>
          <w:sz w:val="20"/>
          <w:lang w:val="en-US" w:eastAsia="en-US" w:bidi="ar-SA"/>
        </w:rPr>
        <w:t xml:space="preserve">, the defendant caused an accident which left debris on the highway and caused it to be closed; in </w:t>
      </w:r>
      <w:r>
        <w:rPr>
          <w:rFonts w:ascii="arial" w:eastAsia="arial" w:hAnsi="arial" w:cs="arial"/>
          <w:i/>
          <w:color w:val="000000"/>
          <w:sz w:val="20"/>
          <w:lang w:val="en-US" w:eastAsia="en-US" w:bidi="ar-SA"/>
        </w:rPr>
        <w:t>Low</w:t>
      </w:r>
      <w:r>
        <w:rPr>
          <w:rFonts w:ascii="arial" w:eastAsia="arial" w:hAnsi="arial" w:cs="arial"/>
          <w:color w:val="000000"/>
          <w:sz w:val="20"/>
          <w:lang w:val="en-US" w:eastAsia="en-US" w:bidi="ar-SA"/>
        </w:rPr>
        <w:t xml:space="preserve">, the loss was merchantable timber. In </w:t>
      </w:r>
      <w:r>
        <w:rPr>
          <w:rFonts w:ascii="arial" w:eastAsia="arial" w:hAnsi="arial" w:cs="arial"/>
          <w:i/>
          <w:color w:val="000000"/>
          <w:sz w:val="20"/>
          <w:lang w:val="en-US" w:eastAsia="en-US" w:bidi="ar-SA"/>
        </w:rPr>
        <w:t>Lau Bat</w:t>
      </w:r>
      <w:r>
        <w:rPr>
          <w:rFonts w:ascii="arial" w:eastAsia="arial" w:hAnsi="arial" w:cs="arial"/>
          <w:color w:val="000000"/>
          <w:sz w:val="20"/>
          <w:lang w:val="en-US" w:eastAsia="en-US" w:bidi="ar-SA"/>
        </w:rPr>
        <w:t>, the claim was in respect of environmental damage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Madam Justice Gropper concluded that the six-year limitation applied. In doing so, she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plaintiff's claim for damages is not in respect of the injury to land, but rather breach of contract or negligent performance of a contract. As that is the case, the 6 year limitation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Here, the plaintiff does not allege that he entered a contract with the defendants to install irrigation and gutter systems, which was breached due to their improper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Both </w:t>
      </w:r>
      <w:r>
        <w:rPr>
          <w:rFonts w:ascii="arial" w:eastAsia="arial" w:hAnsi="arial" w:cs="arial"/>
          <w:i/>
          <w:color w:val="000000"/>
          <w:sz w:val="20"/>
          <w:lang w:val="en-US" w:eastAsia="en-US" w:bidi="ar-SA"/>
        </w:rPr>
        <w:t>Letroy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Tobacca</w:t>
      </w:r>
      <w:r>
        <w:rPr>
          <w:rFonts w:ascii="arial" w:eastAsia="arial" w:hAnsi="arial" w:cs="arial"/>
          <w:color w:val="000000"/>
          <w:sz w:val="20"/>
          <w:lang w:val="en-US" w:eastAsia="en-US" w:bidi="ar-SA"/>
        </w:rPr>
        <w:t xml:space="preserve"> are illustrative of a two-year limitation period. In </w:t>
      </w:r>
      <w:r>
        <w:rPr>
          <w:rFonts w:ascii="arial" w:eastAsia="arial" w:hAnsi="arial" w:cs="arial"/>
          <w:i/>
          <w:color w:val="000000"/>
          <w:sz w:val="20"/>
          <w:lang w:val="en-US" w:eastAsia="en-US" w:bidi="ar-SA"/>
        </w:rPr>
        <w:t>Letroy</w:t>
      </w:r>
      <w:r>
        <w:rPr>
          <w:rFonts w:ascii="arial" w:eastAsia="arial" w:hAnsi="arial" w:cs="arial"/>
          <w:color w:val="000000"/>
          <w:sz w:val="20"/>
          <w:lang w:val="en-US" w:eastAsia="en-US" w:bidi="ar-SA"/>
        </w:rPr>
        <w:t>, the Court found that the limitation period was two years. The defendant started to build on their property which was next door to the plaintiff's property. The plaintiff discovered water coming into their property after a certain excavation had taken place on the defendant's property. The chimney came away from the home located on the plaintiff's property and, later on, the plaintiff discovered cracks in the home's foundation as well as a room in the house started to slope. It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probable cause of the settlement of the plaintiffs' house was the weight of the pre-load on the Church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found that the plaintiff's claim was founded upon nuisance. The Court found that the appropriate limitation period was two years. The Court concluded that the damage to the chimney was statute barred, but the damage to the foundation slab was not. The difference was when the discrete damages were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Tobacca</w:t>
      </w:r>
      <w:r>
        <w:rPr>
          <w:rFonts w:ascii="arial" w:eastAsia="arial" w:hAnsi="arial" w:cs="arial"/>
          <w:color w:val="000000"/>
          <w:sz w:val="20"/>
          <w:lang w:val="en-US" w:eastAsia="en-US" w:bidi="ar-SA"/>
        </w:rPr>
        <w:t>, the plaintiff's farm property was damaged by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discharging turbid water into the Piercy Creek watershed caused significant quantities of particulate matter from its gravel-washing operation to be deposited in the channels of Piercy and Happy Creeks, lying within the boundaries of what are now the plaintiff's lands, during the years from around 1960 through 1977. I find as a fact that the deposits originating from the defendant's operations contributed materially to the clogging of the stream beds and the consequent flooding.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Court found that the plaintiff's claim was subject to a limitation period of two years after the cause of action arose. In both </w:t>
      </w:r>
      <w:r>
        <w:rPr>
          <w:rFonts w:ascii="arial" w:eastAsia="arial" w:hAnsi="arial" w:cs="arial"/>
          <w:i/>
          <w:color w:val="000000"/>
          <w:sz w:val="20"/>
          <w:lang w:val="en-US" w:eastAsia="en-US" w:bidi="ar-SA"/>
        </w:rPr>
        <w:t>Letroy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Tobacca</w:t>
      </w:r>
      <w:r>
        <w:rPr>
          <w:rFonts w:ascii="arial" w:eastAsia="arial" w:hAnsi="arial" w:cs="arial"/>
          <w:color w:val="000000"/>
          <w:sz w:val="20"/>
          <w:lang w:val="en-US" w:eastAsia="en-US" w:bidi="ar-SA"/>
        </w:rPr>
        <w:t>, there was direct and external damage to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Mr. Moses' claim was for legal fees he incurred on behalf and in the best interests of the Band. The Band refused to pay him and the limitation period was raised. The trial court concluded that it was an injury to a person or injury to property and found Mr. Moses' claim was statute barred. The Appeal Court, quoting Chief Justice Nemetz in </w:t>
      </w:r>
      <w:r>
        <w:rPr>
          <w:rFonts w:ascii="arial" w:eastAsia="arial" w:hAnsi="arial" w:cs="arial"/>
          <w:i/>
          <w:color w:val="000000"/>
          <w:sz w:val="20"/>
          <w:lang w:val="en-US" w:eastAsia="en-US" w:bidi="ar-SA"/>
        </w:rPr>
        <w:t>British Columbia Hydro &amp; Power Authority v. Homco International Ltd</w:t>
      </w:r>
      <w:r>
        <w:rPr>
          <w:rFonts w:ascii="arial" w:eastAsia="arial" w:hAnsi="arial" w:cs="arial"/>
          <w:color w:val="000000"/>
          <w:sz w:val="20"/>
          <w:lang w:val="en-US" w:eastAsia="en-US" w:bidi="ar-SA"/>
        </w:rPr>
        <w:t xml:space="preserve">. </w:t>
      </w:r>
      <w:hyperlink r:id="rId1096" w:history="1">
        <w:r>
          <w:rPr>
            <w:rFonts w:ascii="arial" w:eastAsia="arial" w:hAnsi="arial" w:cs="arial"/>
            <w:i/>
            <w:color w:val="0077CC"/>
            <w:sz w:val="20"/>
            <w:u w:val="single"/>
            <w:shd w:val="clear" w:color="auto" w:fill="FFFFFF"/>
            <w:lang w:val="en-US" w:eastAsia="en-US" w:bidi="ar-SA"/>
          </w:rPr>
          <w:t>(1980), 25 B.C.L.R. 181</w:t>
        </w:r>
      </w:hyperlink>
      <w:r>
        <w:rPr>
          <w:rFonts w:ascii="arial" w:eastAsia="arial" w:hAnsi="arial" w:cs="arial"/>
          <w:color w:val="000000"/>
          <w:sz w:val="20"/>
          <w:lang w:val="en-US" w:eastAsia="en-US" w:bidi="ar-SA"/>
        </w:rPr>
        <w:t>, stated the following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para. 3, the Chief Justice adopted the reasoning in </w:t>
      </w:r>
      <w:r>
        <w:rPr>
          <w:rFonts w:ascii="arial" w:eastAsia="arial" w:hAnsi="arial" w:cs="arial"/>
          <w:i/>
          <w:color w:val="000000"/>
          <w:sz w:val="20"/>
          <w:lang w:val="en-US" w:eastAsia="en-US" w:bidi="ar-SA"/>
        </w:rPr>
        <w:t>Chang v. Price Properties Ltd</w:t>
      </w:r>
      <w:r>
        <w:rPr>
          <w:rFonts w:ascii="arial" w:eastAsia="arial" w:hAnsi="arial" w:cs="arial"/>
          <w:color w:val="000000"/>
          <w:sz w:val="20"/>
          <w:lang w:val="en-US" w:eastAsia="en-US" w:bidi="ar-SA"/>
        </w:rPr>
        <w:t xml:space="preserve">. </w:t>
      </w:r>
      <w:hyperlink r:id="rId1097" w:history="1">
        <w:r>
          <w:rPr>
            <w:rFonts w:ascii="arial" w:eastAsia="arial" w:hAnsi="arial" w:cs="arial"/>
            <w:i/>
            <w:color w:val="0077CC"/>
            <w:sz w:val="20"/>
            <w:u w:val="single"/>
            <w:shd w:val="clear" w:color="auto" w:fill="FFFFFF"/>
            <w:lang w:val="en-US" w:eastAsia="en-US" w:bidi="ar-SA"/>
          </w:rPr>
          <w:t>(1978) 8 B.C.L.R. 16</w:t>
        </w:r>
      </w:hyperlink>
      <w:r>
        <w:rPr>
          <w:rFonts w:ascii="arial" w:eastAsia="arial" w:hAnsi="arial" w:cs="arial"/>
          <w:color w:val="000000"/>
          <w:sz w:val="20"/>
          <w:lang w:val="en-US" w:eastAsia="en-US" w:bidi="ar-SA"/>
        </w:rPr>
        <w:t xml:space="preserve"> (S.C.)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 3(1)(a) is meant to cover personal injury claims and damage to property arising primarily in tort but also, in some circumstances, from breach of contract and breach of statutory duty. </w:t>
      </w:r>
      <w:r>
        <w:rPr>
          <w:rFonts w:ascii="arial" w:eastAsia="arial" w:hAnsi="arial" w:cs="arial"/>
          <w:color w:val="000000"/>
          <w:sz w:val="20"/>
          <w:u w:val="single"/>
          <w:lang w:val="en-US" w:eastAsia="en-US" w:bidi="ar-SA"/>
        </w:rPr>
        <w:t>Actions arising from breach of contract not involving physical injury or direct damage, in my view, do not fit within this section</w:t>
      </w:r>
      <w:r>
        <w:rPr>
          <w:rFonts w:ascii="arial" w:eastAsia="arial" w:hAnsi="arial" w:cs="arial"/>
          <w:color w:val="000000"/>
          <w:sz w:val="20"/>
          <w:lang w:val="en-US" w:eastAsia="en-US" w:bidi="ar-SA"/>
        </w:rPr>
        <w:t>. [At 182;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also quoted Hinkson J.A. who said this in connection with a claim for defective construction of a building in </w:t>
      </w:r>
      <w:r>
        <w:rPr>
          <w:rFonts w:ascii="arial" w:eastAsia="arial" w:hAnsi="arial" w:cs="arial"/>
          <w:i/>
          <w:color w:val="000000"/>
          <w:sz w:val="20"/>
          <w:lang w:val="en-US" w:eastAsia="en-US" w:bidi="ar-SA"/>
        </w:rPr>
        <w:t>Alberni District Credit Union v. Cambridge Properties Ltd</w:t>
      </w:r>
      <w:r>
        <w:rPr>
          <w:rFonts w:ascii="arial" w:eastAsia="arial" w:hAnsi="arial" w:cs="arial"/>
          <w:color w:val="000000"/>
          <w:sz w:val="20"/>
          <w:lang w:val="en-US" w:eastAsia="en-US" w:bidi="ar-SA"/>
        </w:rPr>
        <w:t xml:space="preserve">. </w:t>
      </w:r>
      <w:hyperlink r:id="rId1098" w:history="1">
        <w:r>
          <w:rPr>
            <w:rFonts w:ascii="arial" w:eastAsia="arial" w:hAnsi="arial" w:cs="arial"/>
            <w:i/>
            <w:color w:val="0077CC"/>
            <w:sz w:val="20"/>
            <w:u w:val="single"/>
            <w:shd w:val="clear" w:color="auto" w:fill="FFFFFF"/>
            <w:lang w:val="en-US" w:eastAsia="en-US" w:bidi="ar-SA"/>
          </w:rPr>
          <w:t>(1985), 65 B.C.L.R. 297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that </w:t>
      </w:r>
      <w:r>
        <w:rPr>
          <w:rFonts w:ascii="arial" w:eastAsia="arial" w:hAnsi="arial" w:cs="arial"/>
          <w:color w:val="000000"/>
          <w:sz w:val="20"/>
          <w:u w:val="single"/>
          <w:lang w:val="en-US" w:eastAsia="en-US" w:bidi="ar-SA"/>
        </w:rPr>
        <w:t>injury imports something in the nature of physical injury or damage. This building simply has not, in plain language, been injured. So the action is not one in respect of injury to property</w:t>
      </w:r>
      <w:r>
        <w:rPr>
          <w:rFonts w:ascii="arial" w:eastAsia="arial" w:hAnsi="arial" w:cs="arial"/>
          <w:color w:val="000000"/>
          <w:sz w:val="20"/>
          <w:lang w:val="en-US" w:eastAsia="en-US" w:bidi="ar-SA"/>
        </w:rPr>
        <w:t>. It may be, as the defendants assert, that the defect has resulted in some physical damage or injury. But, in the old language, that is not something which is of the gist of the cause of action. [para. 15;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Appeal Court found Mr. Moses' claim was misfeasance in office and it was not caught by s. 3(2) of the </w:t>
      </w:r>
      <w:r>
        <w:rPr>
          <w:rFonts w:ascii="arial" w:eastAsia="arial" w:hAnsi="arial" w:cs="arial"/>
          <w:i/>
          <w:color w:val="000000"/>
          <w:sz w:val="20"/>
          <w:lang w:val="en-US" w:eastAsia="en-US" w:bidi="ar-SA"/>
        </w:rPr>
        <w:t>1996 LA</w:t>
      </w:r>
      <w:r>
        <w:rPr>
          <w:rFonts w:ascii="arial" w:eastAsia="arial" w:hAnsi="arial" w:cs="arial"/>
          <w:color w:val="000000"/>
          <w:sz w:val="20"/>
          <w:lang w:val="en-US" w:eastAsia="en-US" w:bidi="ar-SA"/>
        </w:rPr>
        <w:t xml:space="preserve"> and it was subject to a six-year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two-year limitation period applies to the plaintiff's claims against the defendants as the claim is for breach of contract and damages to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DATE OF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no dispute as to the discovery and identity of the defendants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plaintiff's lawyer's email to the female defendant, it states that the plaintiff shortly after he purchased Birkenhead "discovered significant problems with the foundation". The plaintiff noticed sinking and cracking around the ground level of Birkenhead and a sagging Allan Block wall in April 2012. He hired workmen to repair the problem in May 2012. Those workmen discovered the cause, which was the improper installation of water pipes which caused the irrigation system to leak resulting in soil erosion. The irrigation system was fixed. The plaintiff claims that he did not know the cause of this damage until he received the EHD report on November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is clear from the first paragraph of the EHD report and the terms of their engagement, that EHD was not engaged to give an opinion about the sagging Allan Block wall as related to the irrigation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Chadwick, based on information he received from the plaintiff, learned that the plaintiff hired a contractor to rebuild the Allan Block wall. The plaintiff told Mr. Chadwick during the excavation the contractor found wet, compacted sub-soil and a leaking irrigation system. From the plaintiff, Mr. Chadwick learned that the contractor's advice was that the wet sub-soil was the cause of the settlement on the slabs-on-grade. He also accepted as a fact that the irrigation system was repaired and the Allan Block wall was rebuilt.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the time of hiring EHD, the plaintiff knew the cause of the problems with the sagging Allan Block wall. The plaintiff engaged EHD to inspect and report on the settlement and slab cracking observed by the plaintiff in the fall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conclude that the plaintiff knew by the end of May 2012 that one of the causes of the damages to Birkenhead was the leaking irrigation system. I find the plaintiff knew at the end of May the facts that could form the basis of a cause of action against the defendants. The defendants concede that the latest date that the plaintiff knew of the damage to Birkenhead, as a result of the irrigation system, was November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Upon receiving the EHD report, the plaintiff knew that Crack 1 was a result of settlement and was caused by the leaking irrigation system. On November 1, 2012, the plaintiff knew the facts that could form the basis of a cause of action relating to the settlement from Crack 1 at Birkenhead.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EHD report found that the slabs for the pathway and porch concrete had settled "due to wetting of the compacted soil to the front of the property." Mr. Chadwick did not find a cause for this wetting. Implicit in his report, Mr. Chadwick states that further excavation is required to determine other information required by him. This is referred to in the last three bullet points on page 2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proceeded to excavate Birkenhead further in early January 2013. The plaintiff states that the cause of the sagging Allan Block wall was due to the gutter system. However, the plaintiff's pleadings allege that in January, as a result of constant and near constant leaking of the gutter system at Birkenhead, was causing soil erosion.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conclude that it was not until January 2013 that the plaintiff was aware of the cause of the cracks in the garage and adjacent area and the settlement and front of Birkenhead.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POSTPONEMENT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two-year limitation period for actions concerning damages to property as a result of contract, tort or statutory duty, may be postponed pursuant to s. 6 of the </w:t>
      </w:r>
      <w:r>
        <w:rPr>
          <w:rFonts w:ascii="arial" w:eastAsia="arial" w:hAnsi="arial" w:cs="arial"/>
          <w:i/>
          <w:color w:val="000000"/>
          <w:sz w:val="20"/>
          <w:lang w:val="en-US" w:eastAsia="en-US" w:bidi="ar-SA"/>
        </w:rPr>
        <w:t>1996 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onus is on the plaintiff to prove the postponement should be on a day other than the day when the damage was discovered: </w:t>
      </w:r>
      <w:r>
        <w:rPr>
          <w:rFonts w:ascii="arial" w:eastAsia="arial" w:hAnsi="arial" w:cs="arial"/>
          <w:i/>
          <w:color w:val="000000"/>
          <w:sz w:val="20"/>
          <w:lang w:val="en-US" w:eastAsia="en-US" w:bidi="ar-SA"/>
        </w:rPr>
        <w:t>Shah v. Governor and Co. of Adventurers of England Trading into Hudson's Bay Co.</w:t>
      </w:r>
      <w:r>
        <w:rPr>
          <w:rFonts w:ascii="arial" w:eastAsia="arial" w:hAnsi="arial" w:cs="arial"/>
          <w:color w:val="000000"/>
          <w:sz w:val="20"/>
          <w:lang w:val="en-US" w:eastAsia="en-US" w:bidi="ar-SA"/>
        </w:rPr>
        <w:t xml:space="preserve">, </w:t>
      </w:r>
      <w:hyperlink r:id="rId1087" w:history="1">
        <w:r>
          <w:rPr>
            <w:rFonts w:ascii="arial" w:eastAsia="arial" w:hAnsi="arial" w:cs="arial"/>
            <w:i/>
            <w:color w:val="0077CC"/>
            <w:sz w:val="20"/>
            <w:u w:val="single"/>
            <w:shd w:val="clear" w:color="auto" w:fill="FFFFFF"/>
            <w:lang w:val="en-US" w:eastAsia="en-US" w:bidi="ar-SA"/>
          </w:rPr>
          <w:t>[2008] B.C.J. No. 479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following case law provides meaning to s. 6(4) and (5) of the </w:t>
      </w:r>
      <w:r>
        <w:rPr>
          <w:rFonts w:ascii="arial" w:eastAsia="arial" w:hAnsi="arial" w:cs="arial"/>
          <w:i/>
          <w:color w:val="000000"/>
          <w:sz w:val="20"/>
          <w:lang w:val="en-US" w:eastAsia="en-US" w:bidi="ar-SA"/>
        </w:rPr>
        <w:t>1996 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Levitt</w:t>
      </w:r>
      <w:r>
        <w:rPr>
          <w:rFonts w:ascii="arial" w:eastAsia="arial" w:hAnsi="arial" w:cs="arial"/>
          <w:color w:val="000000"/>
          <w:sz w:val="20"/>
          <w:lang w:val="en-US" w:eastAsia="en-US" w:bidi="ar-SA"/>
        </w:rPr>
        <w:t>, the Court adopted a subjective/objective test in that the information must be available to the plaintiff, it must be information which a reasonable person in the position of the plaintiff had reason to seek, and that the plaintiff would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35022 B.C. Ltd. v. CCS Properties Ltd.</w:t>
      </w:r>
      <w:r>
        <w:rPr>
          <w:rFonts w:ascii="arial" w:eastAsia="arial" w:hAnsi="arial" w:cs="arial"/>
          <w:color w:val="000000"/>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[1995] B.C.J. No. 2217</w:t>
        </w:r>
      </w:hyperlink>
      <w:r>
        <w:rPr>
          <w:rFonts w:ascii="arial" w:eastAsia="arial" w:hAnsi="arial" w:cs="arial"/>
          <w:color w:val="000000"/>
          <w:sz w:val="20"/>
          <w:lang w:val="en-US" w:eastAsia="en-US" w:bidi="ar-SA"/>
        </w:rPr>
        <w:t>. Cracks appeared in the plaintiff's commercial building, blasting had occurred during excavation on the property across the street. The Court found that the first time the plaintiff learned that there was a cause connected to the defendant's excavation of the property across the street as a result of blasting, was when the plaintiff received an engineering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 which, for the first time to the plaintiff's knowledge, found a causal connection between the blasting on the defendant's premises and the cracks in the plaintiff's building. Only when that opinion was received did the plaintiff have advice that an action based on the known facts would have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found that the limitation period did not start to run until the date of that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When is it that a reasonable person receives appropriate advice to decide whether legal action has a prospect of success? This is described in </w:t>
      </w:r>
      <w:r>
        <w:rPr>
          <w:rFonts w:ascii="arial" w:eastAsia="arial" w:hAnsi="arial" w:cs="arial"/>
          <w:i/>
          <w:color w:val="000000"/>
          <w:sz w:val="20"/>
          <w:lang w:val="en-US" w:eastAsia="en-US" w:bidi="ar-SA"/>
        </w:rPr>
        <w:t>Levitt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advice is given the conceptual status of facts and, when added to those within the plaintiff's means of knowledge, forms the body of information upon which the reasonable man decides whether an action on the cause of action would have a reasonable prospect of success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Day</w:t>
      </w:r>
      <w:r>
        <w:rPr>
          <w:rFonts w:ascii="arial" w:eastAsia="arial" w:hAnsi="arial" w:cs="arial"/>
          <w:color w:val="000000"/>
          <w:sz w:val="20"/>
          <w:lang w:val="en-US" w:eastAsia="en-US" w:bidi="ar-SA"/>
        </w:rPr>
        <w:t>, the quality of the knowledge is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 ... perfect knowledge is not what is required. Instead, what is required is knowledge that is sufficient to put a plaintiff on notice that it ought to commence an action against a defendant. The plaintiff can then acquire more evidence pointing to the liability of the defendant during the discovery process in contemplation of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limitation period does not begin to run until certain components are met. In </w:t>
      </w:r>
      <w:r>
        <w:rPr>
          <w:rFonts w:ascii="arial" w:eastAsia="arial" w:hAnsi="arial" w:cs="arial"/>
          <w:i/>
          <w:color w:val="000000"/>
          <w:sz w:val="20"/>
          <w:lang w:val="en-US" w:eastAsia="en-US" w:bidi="ar-SA"/>
        </w:rPr>
        <w:t>Ounjian</w:t>
      </w:r>
      <w:r>
        <w:rPr>
          <w:rFonts w:ascii="arial" w:eastAsia="arial" w:hAnsi="arial" w:cs="arial"/>
          <w:color w:val="000000"/>
          <w:sz w:val="20"/>
          <w:lang w:val="en-US" w:eastAsia="en-US" w:bidi="ar-SA"/>
        </w:rPr>
        <w:t>, Mr. Justice Tysoe summarized them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w:t>
      </w:r>
      <w:r>
        <w:rPr>
          <w:rFonts w:ascii="arial" w:eastAsia="arial" w:hAnsi="arial" w:cs="arial"/>
          <w:i/>
          <w:color w:val="000000"/>
          <w:sz w:val="20"/>
          <w:lang w:val="en-US" w:eastAsia="en-US" w:bidi="ar-SA"/>
        </w:rPr>
        <w:t>Vance v. Peglar</w:t>
      </w:r>
      <w:r>
        <w:rPr>
          <w:rFonts w:ascii="arial" w:eastAsia="arial" w:hAnsi="arial" w:cs="arial"/>
          <w:color w:val="000000"/>
          <w:sz w:val="20"/>
          <w:lang w:val="en-US" w:eastAsia="en-US" w:bidi="ar-SA"/>
        </w:rPr>
        <w:t xml:space="preserve">, </w:t>
      </w:r>
      <w:hyperlink r:id="rId1099" w:history="1">
        <w:r>
          <w:rPr>
            <w:rFonts w:ascii="arial" w:eastAsia="arial" w:hAnsi="arial" w:cs="arial"/>
            <w:i/>
            <w:color w:val="0077CC"/>
            <w:sz w:val="20"/>
            <w:u w:val="single"/>
            <w:shd w:val="clear" w:color="auto" w:fill="FFFFFF"/>
            <w:lang w:val="en-US" w:eastAsia="en-US" w:bidi="ar-SA"/>
          </w:rPr>
          <w:t>[1996] B.C.J. No. 1753</w:t>
        </w:r>
      </w:hyperlink>
      <w:r>
        <w:rPr>
          <w:rFonts w:ascii="arial" w:eastAsia="arial" w:hAnsi="arial" w:cs="arial"/>
          <w:color w:val="000000"/>
          <w:sz w:val="20"/>
          <w:lang w:val="en-US" w:eastAsia="en-US" w:bidi="ar-SA"/>
        </w:rPr>
        <w:t xml:space="preserve">, Lambert J.A. usefully broke the text of s. 6(4) down into three components; there is a fourth component which was not relevant in </w:t>
      </w:r>
      <w:r>
        <w:rPr>
          <w:rFonts w:ascii="arial" w:eastAsia="arial" w:hAnsi="arial" w:cs="arial"/>
          <w:i/>
          <w:color w:val="000000"/>
          <w:sz w:val="20"/>
          <w:lang w:val="en-US" w:eastAsia="en-US" w:bidi="ar-SA"/>
        </w:rPr>
        <w:t>Vance v. Peglar</w:t>
      </w:r>
      <w:r>
        <w:rPr>
          <w:rFonts w:ascii="arial" w:eastAsia="arial" w:hAnsi="arial" w:cs="arial"/>
          <w:color w:val="000000"/>
          <w:sz w:val="20"/>
          <w:lang w:val="en-US" w:eastAsia="en-US" w:bidi="ar-SA"/>
        </w:rPr>
        <w:t>. The four components can be paraphrased within the context of the present circumstances as follows:</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defendant is known to the plaintiff.</w:t>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certain facts (including the facts set out in s. 6(5)(b)) within her means of knowledge.</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an action would have a reasonable prospect of success.</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the plaintiff ought, in her own interests and taking her circumstances into account, to be able to bring an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All four of these components must be satisfied before the running of time with respect to the limitation period begins running. Thus, if a plaintiff is able to demonstrate that any one of the four components had not been satisfied before two years prior to the commencement of the action (in the case of a two year limitation period), the action will not be statute barred</w:t>
      </w:r>
      <w:r>
        <w:rPr>
          <w:rFonts w:ascii="arial" w:eastAsia="arial" w:hAnsi="arial" w:cs="arial"/>
          <w:color w:val="000000"/>
          <w:sz w:val="20"/>
          <w:lang w:val="en-US" w:eastAsia="en-US" w:bidi="ar-SA"/>
        </w:rPr>
        <w:t>. In this case, the action was commenced on May 13, 1998, with the result that May 13, 1996 is the relevant date by which the four components must have been satisfied for the limitation period to have expired prior to the commencement of the action. It is to be noted that once the running of time with respect to a limitation period has commenced running, it cannot be further postponed or suspended under s. 6(4). This is in contrast to s. 7, which provides for a suspension of the running of time when a person comes under a disability prior to the expiry of the applicable limitation period.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plaintiff had all the facts by November 1, 2012 as to the cause of the sagging Allan Block wall, which was the leaking irrigation system. There was no dispute about the identification of the defendants. The plaintiff took action by seeking advice from a workman to investigate the problem, who excavated and determined the cause of and repaired the leaking irrigation system. The plaintiff sought advice from an engineer, Mr. Chadwick, who was aware of the faulty irrigation system and the workman's opinion and the action he took. By November 1, 2012, the plaintiff knew the faulty irrigation system caused the sagging Allan Block wall and also caused Crack 1 and its associated settlement. On November 1, 2012, the plaintiff knew he had evidence of the cause of the damages in the observations and repairs conducted by the workman and the advice of EHD's engineer sufficient to bring an action against the defendants relating to the damage caused by the leaking irrigation system. The plaintiff has not demonstrated that based on any one of the </w:t>
      </w:r>
      <w:r>
        <w:rPr>
          <w:rFonts w:ascii="arial" w:eastAsia="arial" w:hAnsi="arial" w:cs="arial"/>
          <w:i/>
          <w:color w:val="000000"/>
          <w:sz w:val="20"/>
          <w:lang w:val="en-US" w:eastAsia="en-US" w:bidi="ar-SA"/>
        </w:rPr>
        <w:t>Ounjian</w:t>
      </w:r>
      <w:r>
        <w:rPr>
          <w:rFonts w:ascii="arial" w:eastAsia="arial" w:hAnsi="arial" w:cs="arial"/>
          <w:color w:val="000000"/>
          <w:sz w:val="20"/>
          <w:lang w:val="en-US" w:eastAsia="en-US" w:bidi="ar-SA"/>
        </w:rPr>
        <w:t xml:space="preserve"> components that the plaintiff's claims relating to the irrigation pipe should be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claim relating to the damages caused by the irrigation system is statute barred. The claim for damages to Birkenhead became statute barred on November 1, 2014. However, this does not include those damages to Birkenhead described as settlement and slab cracking.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Strata Plan No. VR 1720</w:t>
      </w:r>
      <w:r>
        <w:rPr>
          <w:rFonts w:ascii="arial" w:eastAsia="arial" w:hAnsi="arial" w:cs="arial"/>
          <w:color w:val="000000"/>
          <w:sz w:val="20"/>
          <w:lang w:val="en-US" w:eastAsia="en-US" w:bidi="ar-SA"/>
        </w:rPr>
        <w:t xml:space="preserv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warranty were alleged against all defendants. It was not disputed that the six-year limitation period applied. The Court found, upon the receipt of an independent report, and the plaintiff's own observations, that the type of roof that was called for in the plans had not been installed, and there were deficiencies in the stucco. The plaintiff pursued practical solutions to their problems. Madam Justice Humphries stated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their pursuit of a practical solution does not relieve them of their obligation to obtain advice, either actual or notional, respecting a legal action if they seek to rely on the postponement of a limitation period. In any event, once the CSA report was received, a reasonable person would have concluded a good cause of action lay against the developers, the engineering consultants and the architects in respect of the replacement/repairs to the roof and the stucco.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 similar situation arose in </w:t>
      </w:r>
      <w:r>
        <w:rPr>
          <w:rFonts w:ascii="arial" w:eastAsia="arial" w:hAnsi="arial" w:cs="arial"/>
          <w:i/>
          <w:color w:val="000000"/>
          <w:sz w:val="20"/>
          <w:lang w:val="en-US" w:eastAsia="en-US" w:bidi="ar-SA"/>
        </w:rPr>
        <w:t>Strata Plan No. VR 1720</w:t>
      </w:r>
      <w:r>
        <w:rPr>
          <w:rFonts w:ascii="arial" w:eastAsia="arial" w:hAnsi="arial" w:cs="arial"/>
          <w:color w:val="000000"/>
          <w:sz w:val="20"/>
          <w:lang w:val="en-US" w:eastAsia="en-US" w:bidi="ar-SA"/>
        </w:rPr>
        <w:t xml:space="preserve"> as in this matter. The Court found that the plaintiff's claim for the roof and stucco was statute barred, though other deficiencies in the building were not as the Court found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say that the rest of the deficiencies were within their means of knowledge at the relevant time and claims for them are not barred, with leave to the defendants to raise this argument at the trial after the evidence has been heard.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Interest and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Other considerations are necessary in the interpretation of s. 6(4)(b) of the </w:t>
      </w:r>
      <w:r>
        <w:rPr>
          <w:rFonts w:ascii="arial" w:eastAsia="arial" w:hAnsi="arial" w:cs="arial"/>
          <w:i/>
          <w:color w:val="000000"/>
          <w:sz w:val="20"/>
          <w:lang w:val="en-US" w:eastAsia="en-US" w:bidi="ar-SA"/>
        </w:rPr>
        <w:t>1996 LA</w:t>
      </w:r>
      <w:r>
        <w:rPr>
          <w:rFonts w:ascii="arial" w:eastAsia="arial" w:hAnsi="arial" w:cs="arial"/>
          <w:color w:val="000000"/>
          <w:sz w:val="20"/>
          <w:lang w:val="en-US" w:eastAsia="en-US" w:bidi="ar-SA"/>
        </w:rPr>
        <w:t xml:space="preserve">. This is described in </w:t>
      </w:r>
      <w:r>
        <w:rPr>
          <w:rFonts w:ascii="arial" w:eastAsia="arial" w:hAnsi="arial" w:cs="arial"/>
          <w:i/>
          <w:color w:val="000000"/>
          <w:sz w:val="20"/>
          <w:lang w:val="en-US" w:eastAsia="en-US" w:bidi="ar-SA"/>
        </w:rPr>
        <w:t>Novak v. Bond</w:t>
      </w:r>
      <w:r>
        <w:rPr>
          <w:rFonts w:ascii="arial" w:eastAsia="arial" w:hAnsi="arial" w:cs="arial"/>
          <w:color w:val="000000"/>
          <w:sz w:val="20"/>
          <w:lang w:val="en-US" w:eastAsia="en-US" w:bidi="ar-SA"/>
        </w:rPr>
        <w:t xml:space="preserve">, </w:t>
      </w:r>
      <w:hyperlink r:id="rId1100"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was a medical malpractice claim.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interprets s. 6(4)(b) of the </w:t>
      </w:r>
      <w:r>
        <w:rPr>
          <w:rFonts w:ascii="arial" w:eastAsia="arial" w:hAnsi="arial" w:cs="arial"/>
          <w:i/>
          <w:color w:val="000000"/>
          <w:sz w:val="20"/>
          <w:lang w:val="en-US" w:eastAsia="en-US" w:bidi="ar-SA"/>
        </w:rPr>
        <w:t>1996 LA</w:t>
      </w:r>
      <w:r>
        <w:rPr>
          <w:rFonts w:ascii="arial" w:eastAsia="arial" w:hAnsi="arial" w:cs="arial"/>
          <w:color w:val="000000"/>
          <w:sz w:val="20"/>
          <w:lang w:val="en-US" w:eastAsia="en-US" w:bidi="ar-SA"/>
        </w:rPr>
        <w:t xml:space="preserve"> at para. 73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The interpretation given to s. 6(4)(b) must give proper weight to: (1) the Legislature's inclusion of a subjective/objective standard in s. 6(4)(b); (2) the broad wording it has used in that provision; (3) the contemporary view that when construing a limitations statute the plaintiff's concerns must be considered together with the defendant's need to be protected from stale claims brought by dilatory plaintiffs; and (4) the interpretive presumption that s. 6(4)(b) adds something to s. 6(4)(a) and, to the rest of the Act. Many of the proposed interpretations fail to meet one or more of these requisites.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the limitation period was postponed. Ms. Novak's breast cancer had been misdiagnosed. The Supreme Court of Canada, in this unique situation, concluded at para. 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her interests and circumstances changed dramatically in May 1995. It was then that she learned that her cancer had returned, this time to her spine, liver, and lung. She no doubt understood that she was in great jeopardy and that her previous attempts to regain her health and avoid any harm that may have been caused by Dr. Bond's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been to no avail. The circumstances that precluded a decision to sue earlier - the need to maintain a positive outlook and believe herself cured - were no longer operative. Absent these considerations, her need to redress the serious wrong allegedly done to her and her consequent willingness to undergo the stresses and strains of litigation outweighed her intensely felt desire to concentrate on regaining her health. Litigation became a realistic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Shiner</w:t>
      </w:r>
      <w:r>
        <w:rPr>
          <w:rFonts w:ascii="arial" w:eastAsia="arial" w:hAnsi="arial" w:cs="arial"/>
          <w:color w:val="000000"/>
          <w:sz w:val="20"/>
          <w:lang w:val="en-US" w:eastAsia="en-US" w:bidi="ar-SA"/>
        </w:rPr>
        <w:t>, the plaintiffs purchased a newly constructed home which, after three years, presented signs of soil movement. They consulted a government ministry and the Ombudsman who urged them to take legal action. The plaintiff consulted legal counsel and took no action. They decided to fix the house themselves and the limitation period expired. Justice R.D. Wilson held that the limitation period was not postponed for the following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The interests and circumstances urged in this case, by the plaintiffs, are that they were a young couple faced with a choice between the uncertainties of litigation, with its attendant costs, and the repair of what, to them, presented as minor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 am not persuaded that those are serious, significant, or compelling reasons for the delay in pursuing the remedies available to them in 1980.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In result, I find that the limitation period for the bringing of this action has expired. Accordingly,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only evidence that the plaintiff presents as to why he could not start this action before November 1, 2014 is in his Affidavit at paragraph 14:</w:t>
      </w:r>
      <w:r>
        <w:rPr>
          <w:rFonts w:ascii="arial" w:eastAsia="arial" w:hAnsi="arial" w:cs="arial"/>
          <w:sz w:val="20"/>
          <w:lang w:val="en-US" w:eastAsia="en-US" w:bidi="ar-SA"/>
        </w:rPr>
        <w:cr/>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Until I investigated the matter further, I could not in all good conscience ascertain whether or not the disconnected pipes were done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caused by time and whether or not the previous owner knew or ought to have known that that was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not sufficient. This statement made by the plaintiff does not speak to the leaking irrigation pipes, but it does speak to the leaking water from the gutter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November 1, 2012, the plaintiff knew that the slab-on-grade pathway and porch concrete settled due to the wetting of the compacted material in front of Birkenhead. The cause of the "wetting" was unknown. It was not the irrigation system as Mr. Chadwick would have said so as he found that the leaking irrigation system caused Crack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order to find a cause, further excavation was required. Within two months of November 1, 2012, excavation took place and the cause was found - the gutters which removed water and drained by a pipe underground was not connected which leaked and caused erosion.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Before the excavation in January 2013, and without knowing the cause, the plaintiff would not have all the facts sufficient, along with appropriate advice, to bring an action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 conclude by sometime in January 2013, the plaintiff had all the </w:t>
      </w:r>
      <w:r>
        <w:rPr>
          <w:rFonts w:ascii="arial" w:eastAsia="arial" w:hAnsi="arial" w:cs="arial"/>
          <w:i/>
          <w:color w:val="000000"/>
          <w:sz w:val="20"/>
          <w:lang w:val="en-US" w:eastAsia="en-US" w:bidi="ar-SA"/>
        </w:rPr>
        <w:t>Ounjian</w:t>
      </w:r>
      <w:r>
        <w:rPr>
          <w:rFonts w:ascii="arial" w:eastAsia="arial" w:hAnsi="arial" w:cs="arial"/>
          <w:color w:val="000000"/>
          <w:sz w:val="20"/>
          <w:lang w:val="en-US" w:eastAsia="en-US" w:bidi="ar-SA"/>
        </w:rPr>
        <w:t xml:space="preserve"> components necessary to bring an action against the defendants for damages identified in the EHD report and which were not as a result of the leaking irrigation system. This claim for damages is postponed and is not statute barred until some time in January of 2015. There is no specific date in January of 2013 when the excavation took place and the plaintiff would know the facts, take appropriate advice and based on the facts and advice, know that he had a reasonable prospect of success. Taking all of those matters into consideration, the plaintiff would know in his own interests that he would be able to bring an action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This action was started on January 27, 2015, a little over two years after the January 2013 excavation. As a result, I will grant leave to the defendants to raise the argument as to whether the action relating to the damages, not related to the leaking irrigation system, are statute barred, after all of the evidence has been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have been successful in having a portion of the plaintiff's claim found statute barred. I award the defendants two-thirds of their costs and disbursements at Scale B, which will include both hearing appearances of September 30, 2016 and October 17,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do not award any costs to the plaintiff relating to that portion of his claim not being found statute barred, as the defendants were put to the expense of amending their Notice of Application when, during the first hearing of the application, the defendants learned for the first time that the plaintiff intended on amending their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5"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01"/>
          <w:headerReference w:type="default" r:id="rId1102"/>
          <w:footerReference w:type="even" r:id="rId1103"/>
          <w:footerReference w:type="default" r:id="rId1104"/>
          <w:headerReference w:type="first" r:id="rId1105"/>
          <w:footerReference w:type="first" r:id="rId11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07" w:history="1">
        <w:r>
          <w:rPr>
            <w:rFonts w:ascii="arial" w:eastAsia="arial" w:hAnsi="arial" w:cs="arial"/>
            <w:b/>
            <w:bCs/>
            <w:i/>
            <w:color w:val="0077CC"/>
            <w:kern w:val="32"/>
            <w:sz w:val="28"/>
            <w:szCs w:val="32"/>
            <w:u w:val="single"/>
            <w:shd w:val="clear" w:color="auto" w:fill="FFFFFF"/>
            <w:lang w:val="en-US" w:eastAsia="en-US" w:bidi="ar-SA"/>
          </w:rPr>
          <w:t>Garcha v. Gill, [2008] B.C.J. No. 2498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B.I. 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28-29 and October 27-31,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M070249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2498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1756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Randhir Singh Garcha, Plaintiff, and Mukhtiar Singh Gill,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6"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9" w:name="Keywords_34"/>
      <w:bookmarkEnd w:id="269"/>
      <w:r>
        <w:rPr>
          <w:rFonts w:ascii="arial" w:eastAsia="arial" w:hAnsi="arial" w:cs="arial"/>
          <w:b/>
          <w:color w:val="000000"/>
          <w:sz w:val="20"/>
          <w:lang w:val="en-US" w:eastAsia="en-US" w:bidi="ar-SA"/>
        </w:rPr>
        <w:t>Damages — Physical and psychological injuries — Physical injuries — Body injuries — Back and spine — Arm injuries — Action for damages for personal injuries suffered in a motor vehicle accident allowed — 34-year-old chiropractor sustained mild to moderate soft tissue injuries that restricted his ability to extend his neck and arm — Within two months he returned to his full practice duties — Within two years he had returned to a nearly normal lifestyle except for occasional flare-ups of his symptoms — Plaintiff awarded $25,000 in non-pecuniary damages, $1,712 in special damages and $3,500 for past income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Retroactive loss of income — Special damages — Non-pecuniary loss — Action for damages for personal injuries suffered in a motor vehicle accident allowed — 34-year-old chiropractor sustained mild to moderate soft tissue injuries that restricted his ability to extend his neck and arm — Within two months he returned to his full practice duties — Within two years he had returned to a nearly normal lifestyle except for occasional flare-ups of his symptoms — Plaintiff awarded $25,000 in non-pecuniary damages, $1,712 in special damages and $3,500 for past income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Signals and warnings — Action for damages for personal injuries suffered in a motor vehicle accident allowed — Plaintiff claimed that he was driving a pickup truck in the curb lane when the defendant s flatbed truck made a sudden right turn in front of him from the left lane without signalling, resulting in a collision — Defendant claimed that he was in the curb lane when he slowed for the purpose of making a wide right turn into a parking lot — Plaintiff was more credible and his version was consistent with the damage to the vehicles and corroborated by a witness.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0" w:name="Case Summary_32"/>
            <w:bookmarkEnd w:id="2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Garcha for damages for personal injuries suffered in a motor vehicle accident. Garcha alleged that he was proceeding in his vehicle in a southbound direction when Gill, who was driving a flatbed truck, changed lanes suddenly and without warning, causing the collision with Garcha's vehicle. Garcha claimed that the impact was severe and that, although he had mostly recovered from his soft tissue injuries, he still experienced flare-ups of pain and discomfort associated with those injuries. Garcha took the position that Gill was wholly liable for the accident. Accordingly, Garcha sought non-pecuniary damages in the range of $35,000 to $50,000, $1,712 in special damages and $7,461 for past wage loss. In contrast, Gill took the position that Garcha rear-ended his vehicle while he was in the process of making a wide right turn into a parking lot. Furthermore, Gill submitted that Garcha's injuries resulting from the accident were mild and that his flare-ups of symptoms were caused by the fact that he had disc degeneration and a long-standing history of episodic back pain.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1" w:name="Holdings of Court_27"/>
            <w:bookmarkEnd w:id="27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supported Garcha's version of how the accident happened. Therefore, Gill was 100 per cent liable for Garcha's personal injuries. The Court accepted that Garcha's pre-accident chiropractic treatments were only for ongoing maintenance and were not for the type of symptoms he suffered after the accident. Thus, it was established that Garcha's ongoing symptoms, which continued to have a modest impact on his daily life, were related to the accident. As a result, Garcha was awarded $25,000 in non-pecuniary damages. He was also awarded $1,712 in special damages. However, Garcha's claim for $7,461 for past income loss did not satisfactorily assess the actual or approximate income loss he sustained as a result of the accident. He was awarded $3,500 for past income loss.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2" w:name="Counsel_46"/>
      <w:bookmarkEnd w:id="2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7"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M.S. Randhawa.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 Pettit, D. Marshall.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3" w:name="Judgment_46"/>
      <w:bookmarkEnd w:id="273"/>
      <w:r>
        <w:pict>
          <v:line id="_x0000_s1228" style="position:absolute;z-index:2518087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4" w:name="B.I. COHEN J."/>
            <w:bookmarkEnd w:id="274"/>
            <w:r>
              <w:rPr>
                <w:rFonts w:ascii="arial" w:eastAsia="arial" w:hAnsi="arial" w:cs="arial"/>
                <w:b/>
                <w:color w:val="000000"/>
                <w:sz w:val="30"/>
                <w:lang w:val="en-US" w:eastAsia="en-US" w:bidi="ar-SA"/>
              </w:rPr>
              <w:t>B.I. 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Chiropractor and is 34 years of age. He was involved in a motor vehicle accident at approximately 9:40 a.m. on March 25, 2005 on 128th Street in Surrey, British Columbia, near the intersection of 77th Avenue (the "accident"). He alleges that the defendant was solely responsible for the accident and he is claiming general and special damages for personal injuries and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claims that he was proceeding in a southbound direction on 128th Street driving a rented Ford F150 quad cab pickup truck (the "plaintiff's vehicle") when suddenly, and without warning, the defendant, who was driving a five-ton 1992 International flatbed truck (the "flatbed truck"), changed lanes and caused the collision with the plaintiff's vehicle. He asserts that the impact was severe and that while he has largely recovered from his soft tissue injuries he still suffers flare ups of pain and discomfort associated with the accident 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position is that he was traveling in the right hand or curb lane in a southbound direction on 128th Street and that as he approached the scene of the accident the defendant, who was traveling in a southbound direction in the left hand lane, attempted a sudden right turn into a parking lot with an entrance located near the intersection of 128th Street and 77th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said that his vehicle became embedded underneath the defendant's vehicle and was dragged as a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Defence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insists that he was proceeding southbound on 128th Street and that after he passed by the intersection of 128th Street and 78th Avenue he slowed down in preparation for his right hand turn into the parking lot. He said that before making his turn he checked for any traffic and, as was his common practice, he then turned part of his truck into the left hand lane so as to be able to make his right hand turn into the parking lot. He claims that the first notice he had of the existence of the plaintiff's vehicle was when he heard the sound of the collision as he was making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defence position is that, given the plaintiff's description of the parties' relative road positions, the defendant's more slowly moving vehicle could never have been able to turn in front of the plaintiff so that most of the flatbed deck portion of the defendant's vehicle could have passed in front of the plaintiff before the plaintiff drove his vehicle into the right wheel area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seeks a finding that the plaintiff was well back from the defendant when the defendant began to make his slow turn. Thus, claims the defence, the accident was a rear-end collision: the plaintiff rear-ended the defendant while the defendant was in the course of making a wide right turn into the entrance of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disagree with the defence contention that the plaintiff was the author of his own misfortune in that he was late for an appointment, likely speeding, not paying proper attention, and wrongly assumed that the defendant was changing lanes when in fact he was making a wide right turn. In my opinion, the weight of the evidence supports the plaintiff's version of how the accident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on his way to work at the time of the accident. He was proceeding southbound on 128th Street towards 72nd Avenue where he operates a clinic. He was traveling in the right hand or curb lane and at about 78th Avenue he noticed a flatbed truck traveling in the left hand lane. The flatbed truck was slowing down and the plaintiff was catching up. At about the intersection of 128th Street and 77th Avenue the flatbed truck all of a sudden turned into a driveway. The plaintiff had no time to react. He veered to the right but his vehicle had already collided with and gone underneath the flatbed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traveling at 50 kph. As he veered right the front end driver's side of his vehicle caught under the flatbed truck and his vehicle was dragged. Following the collision the plaintiff's vehicle was pinned underneath the flatbed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had no warning or indication that the flatbed truck was going to make a right hand turn from the left lane into the right hand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cross-examination, the plaintiff denied that he was in a hurry to get to his clinic. Defence counsel pointed out to him that he had a 9:30 a.m. appointment on the morning of the accident. The plaintiff testified that his clinic was about a two minute drive away from the accident scene and that he normally got to work about 15 minutes late so that he would not have to wait for his first patient. He denied that he was late for work and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testified that just before the sudden turn of the defendant's vehicle he was in the right hand lane approximately one car length away from striking that part of the defendant's vehicle with which he was about to collide. He said that when he noticed the defendant's vehicle starting to turn their vehicles were side-by-side, with the defendant's vehicle a little bit ahead, and that when the defendant turned his vehicle into the right hand lane the plaintiff had nowhere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asked by defence counsel what the distance was that he was behind the defendant's vehicle in the right hand lane, the plaintiff replied that there was overlap between their vehicles and that the rear of the defendant's vehicle was somewhat behind the nose of the plaintiff's vehicle when the defendant made his right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said that the hood of his vehicle went underneath the flatbed deck of the defendant's vehicle at some point in front of the right side rear wheel of the defendant's vehicle. The plaintiff could not estimate how fast the defendant was traveling. He agreed that he was driving 50 kph and that the defendant must have been driving at a slower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said that it is etched in his memory that it was a car length between where he collided with the defendant's vehicle and when he first noticed the defendant making a right turn into his lane. He said he was not sure but thought that his vehicle went under the defendant's vehicle at about where a photograph of the defendant's vehicle showed there to be a tool box. He said that the hood of his vehicle embedded itself under the flatbed deck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 to the plaintiff's recollection, at the time of the collision the front wheels of the defendant's vehicle were in the right hand lane and not on the sidewalk. He agreed that he was passing the defendant's vehicle on the right hand side. He said that the defendant was traveling at a slower speed and that he did not collide with the front end of the defendant's vehicle because he swerved to try and avoid the collision. He agreed that the defendant's vehicle was at a right angle. The plaintiff said he could not say how slow or fast the defendant was traveling but when the defendant made his right turn the plaintiff had nowhere else to 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testified that the defence position was completely incorrect. He said that the defendant was not always traveling in the right hand lane; that the defendant did not move his vehicle into the left hand lane shortly before the driveway into the parking lot to negotiate his turn into the parking lot, driving at about 5 to 10 kph; that the front wheels of the defendant's vehicle were not inside the driveway to the parking lot when the plaintiff drove into the side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also disagreed with the defendant's assertion that he was not paying attention to his driving. He insisted that the defendant was traveling in the left hand lane the whole time. He said that the defendant was in his field of view for some time. He said there was no indication that the defendant's vehicle was going to turn. He agreed that he has passed by the location of the parking lot many times, but insisted that he has never seen a truck make a wide turn into the parking lot. He also testified that he has never seen the type of truck being driven by the defendant make a wide turn into the parking lot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testified that of the two southbound lanes on 128th Street he was traveling in the right hand lane. He said that he did not leave the right hand lane. After he crossed through the intersection of 78th Avenue and 128th Street he slowed down. He looked around him. He did not see any vehicles. When he came close to the driveway into the parking lot he moved his truck into the left hand lane. The front portion of his vehicle went inside the driveway a little bit away from the sidewalk and the rear portion of his vehicle was in the right lane. At that time he heard a "bang" sound and he then knew that he had been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said that after he crossed over 78th Avenue he slowed to between 25 and 28 kph. He looked around him but did not see any vehicles. When he made his turn into the parking lot driveway his speed was 8 to 10 kph. He said that he could not make the turn if he was driving in excess of that speed. As he made his turn he moved a little bit into the left hand lane because he cannot make the turn from the right hand lane. He said that he has been parking at the same lot since 2003, and he negotiated the turn on the day of the accident in the same way he had always done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said that he had to move half of his vehicle into the left lane in order to make the right turn into the parking lot. He could not remember if he signalled his right hand turn. He said that at the time of the impact the front wheels of his vehicle had already crossed over the sidewalk. He said the plaintiff's vehicle struck his vehicle in the right rear wheel area. He said that the length of his vehicle, bumper to bumper, is twenty-nine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said that the plaintiff's vehicle struck his vehicle in three places: on the rim of his right rear tire; on a small portion of the tool box on the right hand side of the flatbed deck; and on the right hand flatbed deck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said his description of how he made the right hand turn into the parking lot described his practice. He said if he did not follow this practice he would not be able to make the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cross-examination, the defendant said that his vehicle is double axel with hydraulic brakes. He confirmed that the length of his vehicle, bumper to bumper, is 29 feet, and the width is eight feet three inches. He agreed that the entrance to the lot might be 38 feet, although at the time of the accident he said that there may have been some soil reducing this by five or six feet. Plaintiff's counsel suggested to the defendant that given the length of his vehicle and the dimensions of the entrance to the lot he had more than enough room to turn into the driveway without having to first move his vehicle into the left hand lane. The defendant disagreed.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said he did not know exactly how far he moved into the left hand lane but insisted that he had to move part way into the left hand lane to be able to make his right hand turn into the parking lot. He testified that the nose of his vehicle when he first felt the impact of the collision was across the sidewalk. He made a mark on a photograph exhibit to indicate the location of his vehicle's front wheels when he felt the impact. He disagreed that he had almost completed his right hand turn into the parking lot. He said that at the time of the collision his vehicle was turned at a 40 to 45 degree angle.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Defence Argument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argued that the defendant's failure to see the plaintiff's vehicle may be explained by the fact that during the defendant's manoeuvre into the parking lot his vehicle would have been on an angle and a check in a side mirror would not have revealed any traffic immediately behind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said that the front of the defendant's vehicle had already proceeded into the entrance to the parking lot and that it was at this point that the plaintiff ran his vehicle into the right rear wheel of the defendant's vehicle. The defendant's vehicle was on an angle when struck by the plaintiff's vehicle, with the right rear wheel of the defendant's vehicle in the right southbound curb lane when it was struck by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Counsel submitted that the Court should not accept the plaintiff's version of the collision for a number of reasons. First, his version did not make sense. It defies the law of physics. If the plaintiff was overtaking the defendant's vehicle and traveling faster than the defendant, and if the front of the plaintiff's vehicle was in fact ahead of the rear of the defendant's vehicle, then how could a more slowly moving vehicle negotiate a sharp turn in front of the plaintiff without the plaintiff hitting the front of the defendant's vehicle? But, noted counsel, that is not where the impact occurred. The point of impact was in the vicinity of the rear right wheel, which would mean that the defendant's vehicle had to travel across essentially the entire right lane before the impact happened. Counsel argued that it would be physically impossible for the impact to occur in the manner described by the plaintiff if the front of the plaintiff's vehicle was just past the rear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said that the Court should accept the defendant's evidence that he was slowing down to make his right turn and negotiating his turn at a relatively low speed, which meant that the plaintiff had enough time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Secondly, the evidence is that the front of the defendant's vehicle was well within the entrance to the parking lot and that this evidence was consistent with the defendant's vehicle being on an angle with its right rear wheel being in the left portion of the right hand southbound lane. Defence counsel said that this evidence supports the conclusion that the defendant's vehicle was almost halfway through its turn or more before it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Thirdly, defence counsel noted that the plaintiff was late for his first appointment of the day and therefore he was distracted and traveling at a moderately excessive rate of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summary, the defence contended that the plaintiff was in the right hand southbound lane quite some distance back from the defendant, speeding somewhat, not paying proper attention to the presence of the defendant's vehicle, and likely assumed that when the defendant began to move into the left lane to do a wide turn the defendant was switching lanes when in fact he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respect, I do not accept the defence contention because in my view it does not accord with the weight of the overall evidence surrounding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First, I do not find the defendant's recollection about the details of the collision to be reliable. For example, in chief he testified that when he came close to the parking lot he "took my truck to the other lane" and that the front portion of his truck "went inside", "a little bit away from the sidewalk" with his back portion in the right lane. He said that as he made his turn, "I went a little bit into the other lane" and that "a little bit I have to go in that other lane". He then said "half of the truck you have to take to that side" and that the "whole truck did not go into left lane, one-half went".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cross-examination, when plaintiff's counsel suggested to the defendant that he did not know which lane he was traveling in when the accident happened, he said he was in the right hand lane and that when he turned into the driveway he "went to the other side ... a little bit half ... less than half". He said his vehicle went into the left hand lane about two feet. It was brought to his attention that he told ICBC in his statement that the left side of his vehicle was on the dotted lines and he responded that he did not have a tape to measure. When asked by counsel whether his vehicle traveled two feet into the left lane the defendant replied that he did not know, "maybe it was one or maybe two feet". However, he agreed that part of his vehicle went into the left hand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the other hand, I found the plaintiff to be straight forward and convincing in his recollection of the accident details. I find that the evidence supports his version to the effect that he was traveling in the right hand lane and collided with the defendant's vehicle when it made a sudden right hand turn into the path of the plaintiff's vehicle. I also find that the defendant was traveling southbound on 128th in the left hand lane just before he made his right turn into the path of the plaintiff's vehicle. I turn to the evidence which I think supports these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First, photographs taken after the collision make it plain that all of the damage from the accident was sustained to the driver's side door, the front fender, and the bumper areas of the plaintiff's vehicle. In my view, common sense dictates that if the defendant's vehicle had crossed over the sidewalk and had only its rear wheels in the southbound right hand lane with the vehicle sitting at a 40 to 45 degree angle, then there would have been damage to at least the front area of the plaintiff's vehicle, if not the passenger side of the bumper and hood areas, if this had been a rear-end accident as the defence contends.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Secondly, there is the evidence of Mr. Tejwant Singh Rupal. He owns a company called Able Woodworking Ltd. The accident took place near his business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March 25, 2005, Mr. Rupal testified that he was on his cell phone outside of his business premises, which is located just to the south of the parking lot. Between Mr. Rupal's business premises and the parking lot there is a fence. Mr. Rupal said that as he was talking on his cell phone he walked towards the gate to his premises on the eastern edge of the parking lot, which is situated on 128th Street. He was standing close to the gate. He observed a flatbed truck driving in the left hand southbound lane and another truck traveling in the right hand southbound lane. He observed that the flatbed truck quickly turned right from the left hand lane towards the parking lot. He did not observe the flatbed truck signalling a right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Rupal said that when the flatbed truck turned right he was almost parallel with the truck in the right hand lane with the truck slightly behind the flatbed truck, but not by much. He said that as the flatbed truck turned right there was a collision with the truck in the right hand lane. He heard a loud noise. He said that the flatbed truck pulled his vehicle with it. They came to rest on 128th Street at the entrance to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Rupal said that from the location where he was standing to the area where the collision took place was a very short distance. After the accident Mr. Rupal went over to the truck and opened the door. He recognized the plaintiff. He said that he asked the plaintiff if he was okay to which the plaintiff replied he was fine. He gave the plaintiff his card and returned to his business premises. He did not discuss the details of the accident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repeated in his testimony that the plaintiff's vehicle was in the right hand lane and the defendant's vehicle was in the left hand lane before the collision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cross-examination, Mr. Rupal said that he had been treated by the plaintiff prior to the accident once or twice. Mr. Rupal's father and possibly his mother had been treated by the plaintiff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Rupal made a mark on an overhead photograph of the area of the accident scene to indicate where he was standing when he observed the accident. The mark indicates that he was standing on the parking area to his business premises close to the fence on the south side of the parking lot which separates his business premises from the parking lot. His vantage point was standing outside at the front of his business premises close to 128th Street near the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Rupal testified that at the point of the collision the front tires of the flatbed truck were in the right hand southbound lane close to the curb, meaning close to the sidewalk. When asked whether the bushes growing along the fence line had been chopped down he replied that at the time it was all clear. He said that the objects between him and the collision were the metal chain link fence and the gate. He said that his business premises are elevated from the gate so that he could see over. He said that there was nothing obstructing his view. He was looking at 128th Street in a northbound direction. He said that he could see the plaintiff's and defendant's vehicles traveling southbound on 128th Street. They were traveling at the same speed, approximately 50 or 60 kph, and were parallel to each other. He said that it took a very short time for the flatbed truck to make a right turn - just seconds. He repeated that when he observed the two vehicles before the collision they were traveling at a speed between 50 and 60 kph. He testified, "I don't know ... at what speed [the defendant] was traveling at ... and at what speed [the defendant] made the turn, but right away ... immediately he made the turn." He said the flatbed truck turned and then he heard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When defence counsel suggested to the witness that he could not have seen the collision because the flatbed truck would have blocked his vision he said "No, No, I am standing at the elevated location. I could see when the flatdeck truck made turn, and its box ... the front box ... the front area where driver sits and the back of that was a flatdeck I could see the truck from the top of it, but the portion that had gone underneath the flatdeck, I could not see." He said that he actually saw the collision. He also said that the plaintiff's vehicle did not collide with the rear of the defendant's vehicle but that it went underneath "prior to the rear wheel - it was in between rear tires." He did not see the plaintiff's vehicle collide against the rear wheel. He saw it go under the defendant's vehicle. He said that the plaintiff's vehicle got stuck in there and the defendant's vehicle pulled the plaintiff's vehicle along.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Rupal said that after the accident he gave the plaintiff his card and told him that if the plaintiff needed him he could ask him at any time as to how the accident happened. He disagreed with defence counsel that large trucks need to make a wide turn to get into the parking lot driveway because they can negotiate a turn from the right hand lane. He disagreed as well that since the accident the gate has been widened. When asked if five-ton trucks make a wide turn to get into the parking lot, Mr. Rupal replied that the gate is wide enough for trucks to make a right turn from the right lane. He disagreed that they need to drive partially into the left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Rupal denied that he told the plaintiff anything about the details of the accident when he spoke with him following the collision. He did not explain what he had seen, he just told the plaintiff that if he needed him he should call. He did not say that he felt the defendant was at fault. He said that he did not discuss the accident with the plaintiff after the collision. He did attend at the plaintiff's clinic for treatments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Rupal said that from his observation point he could see as far away as 78th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defence submits that no weight should be given to Mr. Rupal's testimony. Counsel submitted that he may have heard the collision or perhaps observed the very last moment of the collision, but he did not see enough of the accident to be an authoritative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grounds for the defence objection to the acceptance of Mr. Rupal's testimony is many fold: he and his family members have been patients of the plaintiff; there is evidence to challenge Mr. Rupal's testimony about having a clear and long distance view of 128th Street from his point of observation; that the presence of vegetation on the eastern edge of the parking lot reduced Mr. Rupal's site line and that even if he were looking and could see through the vegetation, he would only get a quick glimpse of a southbound vehicle and not any of the lead up to the collision or the accident per se; that given the fact that Mr. Rupal had attended at the plaintiff's clinic before and after the accident it was unbelievable that he would not have talked to the plaintiff about what he knew about the details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Much of the defence criticism of Mr. Rupal's testimony is based on the testimony given by Mr. Karan Singh Gill. Mr. Gill is the owner of the parking lot. The defendant parks in his lot. He explained that there is a chain link fence around the perimeter of the entire lot. He said it is clear in spots and at times it is covered in vegetation.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was asked about trucks proceeding southbound on 128th Street making a right turn into the lot and how they make a turn. He said that "it's an easy turn". He said it is only hard for tractor trailers and some of the conventional trucks 50 feet long. He said that tractor trailers pretty much cover the whole lane when making a turn including the left hand lane but that five ton trucks do not need to go all the way into the left lane, "maybe a couple of inches". He said it was common to pull over by a little bit and that not all but some pull over into the left hand lane a little bit. He said you could say it is common depending on who is driving. He said that trucks negotiating the turn will do so at 15 or 20 kph or less. He said he has never seen a flatbed truck negotiate the turn at 50 or 60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Gill explained that there are cedar hedges planted on the eastern edge of the lot which were planted in 2004. In addition there is some wild growth, raspberry bushes, and tree saplings. In the winter time there is less green growth. The cedar hedge is on his property but planted a couple inches outside of the fence area. His property is about two to three feet lower than the property to the south which houses Mr. Rupal's business premises. He said that in the winter there is dried vegetation on the fence. He said that the cedar hedge is roughly four and one-half to five feet. He said that in March, 2005 it would have been about 14 to 15 feet high. He was asked whether, based on where Mr. Rupal noted his observation point on the overhead photograph, his view in 2005 would have been impaired by vegetation. Mr. Gill said, "it would be slightly." He also said that from the point where Rupal claimed he was standing he would not be able to see as far north as 78th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cross-examination, Mr. Gill agreed that the right hand southbound lane is much wider than the left hand southbound lane. When asked if a five ton truck could turn into the lot from the right hand southbound lane Mr. Gill said that it depended on who was driving. He agreed that the defendant's vehicle could turn right into the parking lot without straddling the left lane, depending on the driving habits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Based on this testimony, defence counsel submitted that there was some level of vegetation that would have impeded Mr. Rupal's view. Further, Mr. Rupal's evidence about the speed at which the defendant was traveling was in conflict with Mr. Gill's testimony that he had not seen a flatbed truck negotiate a turn into the parking lot at a speed of 50 to 60 kph. His estimate was 15 to 20 kph. Finally, contrary to Mr. Rupal's testimony, Mr. Gill mentioned that it is not uncommon for trucks of all sizes to make a wide turn into the lot, some because of their size, and others because of the driver's habit to pull over into the left hand southbound lane while making the right turn into the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I accept and am mindful of some discrepancies between the evidence of Mr. Rupal and Mr. Gill, I am satisfied that Mr. Rupal gave his answers in an honest and forthright manner and that his evidence was unbiased. I find that he was standing in a location where he could quite clearly observe the lead up to and the collision itself. His evidence of what he observed regarding the position of the respective vehicles just prior to the collision and of how the collision happened should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What I take out of the evidence of Mr. Gill is that at the time of the accident there were some possible circumstances that may have limited Mr. Rupal's sightline from where he claims that he was standing while observing the collision, but that his view would have been only "slightly" impeded. There is certainly nothing in Mr. Gill's evidence that would lead me to conclude that Mr. Rupal would not have been able to observe the lead up to the collision or the collision itself. Moreover, Mr. Gill conceded that trucks the size of the defendant's vehicle can easily make the turn from the right hand southbound lane into the parking lot, but that based on driving habits some truck driver's may pull over into the left hand lane by a couple of inches, certainly not by half the width of the truck as the defendant insisted he had to do in order to make the turn into the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When I consider the whole of the evidence before me I am satisfied, and find that:</w:t>
      </w:r>
      <w:r>
        <w:rPr>
          <w:rFonts w:ascii="arial" w:eastAsia="arial" w:hAnsi="arial" w:cs="arial"/>
          <w:sz w:val="20"/>
          <w:lang w:val="en-US" w:eastAsia="en-US" w:bidi="ar-SA"/>
        </w:rPr>
        <w:cr/>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driving at the speed limit in the right hand southbound lane just prior to the collision;</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driving in the left hand southbound lane at a speed lower than the speed limit just prior to the collision;</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prior to the collision the plaintiff's vehicle had caught up to the defendant's vehicle so that the nose of the plaintiff's vehicle was just ahead of the right hand rear wheel of the defendant's vehicle;</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signalling his intention to make a right turn into the parking lot the defendant made a sudden right turn into the path of the plaintiff's vehicle causing the plaintiff's vehicle to collide with the right side flatbed deck portion of the defendant's vehicle;</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collision the plaintiff's vehicle went underneath the right side flatbed deck portion of the defendant's vehicle and the plaintiff's vehicle was dragged by the defendant's vehicle causing significant physical damage to the driver's side door, the fender and the bumper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result, I find that the plaintiff has proven on the balance of probabilities that the defendant was solely responsible for the accident and should be held 100% liable for the plaintiff's personal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testified that on the day following the accident he experienced mid and low back pain, headaches, left shoulder and left arm pain, and sore wrists. He claims that as a result of the accident he suffered headaches; injury to his shoulder; musculo-ligamentous injury to the cervical, thoracic and lumbar regions of his spine; injury to his left arm and wrists; and, numbness and tingling in his left hand. He says that he continues to use medication on an as-needed basis, he exercises, he attends chiropractic treatments on an as-needed basis, and he uses various coping mechanisms to manage his ongoing symptoms of neck, upper and mid-back pain. He also claims that despite extensive efforts of rehabilitation, including chiropractic and massage therapy, he continues to experience persistent ongoing chronic pain in his neck, upper back and mid back. He says that these ongoing symptoms have had and continue to have an impact on his ability to enjoy and perform certain activities of daily living, including recreational pursuits and household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seeks non-pecuniary damages in the range of $35,000 to $50,000, and special damages in the amount of $1,712.98.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Cecil Hershler, a Physical Medicine and Rehabilitation specialist, in his report dated March 20, 2007, under the heading "Prognosis", states that "The prognosis for full recovery with resolution of the soft tissue injury is guarded ... It is over two years since the accident and he still has not had resolution of the injury in spite of the fact that he is very diligent with respect to exercising and has returned to his normal work." Dr. Hershler recommended intensive massage therapy once a week for six months focused on the neck and shoulder muscles. The plaintiff has followed this recommendation. He could not be sure that the plaintiff would reach full recovery, but expected further improvement to occur over the next 12 months. He has not examined the plaintiff since March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J. Sidhu is the plaintiff's family doctor. In his report dated April 23, 2008 he states,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Dr. Randy Garcha was involved in a motor vehicle accident on March 25, 2005. As a direct result of the MVA Dr. Garcha sustained musclo-ligamentous and myofascial injuries to his neck and upper mid-back (cervical and thoracic regions). In addition he sustained myofascial lower back (lumbar) and wrist injuries and muscle contraction headaches. Dr. Garcha works as a Chiropractor and was a very fit and active 31 year old man at the time of the accident. He had no pre-existing medical condition and regularly attended the gym 5 days a week as well as being active in a number of recreational sports. As a result of his injuries Dr. Garcha was totally disabled from work for a period of 2-3 days and subsequently was only able to work part-time for the following 5 weeks. Dr. Garcha's lower back and wrist injuries improved and eventually resolved over a period of 4 months but unfortunately now 3 years post-MVA he continues to experience neck and upper mid-back pain. He attended chiropractor, massage therapy, active program and required anti-inflammatories and muscle relaxants. He experienced frequent reoccurring acute flare-ups of his neck and upper mid-back pain throughout 2005 and 2006 resulting in significant pain and impairment of his sleep and activities of daily living. As of his last visit on April 22, 2008 he reports an ongoing dull lower neck (cervical) and upper mid-back (thoracic) pain that he has "learned to live with". He unfortunately remains restricted in a number of activities of daily living including certain house-hold and yard work as well as certain sports and activities that involve lifting of his arm coupled with neck movement. Working in front of the computer for more than 30 min aggravates his neck pain as does a busy day in the office. Due to his occupation as a Chiropractor, he is often required to be hunched over a patient to perform physical maneuvers and deep tissue treatment and this positioning often aggravates his neck pain. In view of his ongoing injuries now over 3 years post-MVA it is more likely than not that his injuries are chronic in nature and one does not anticipate any foreseeable change in the near future. His long range prognosis remains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Defence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defence accepts that the plaintiff suffered soft tissue issue injuries as a result of the accident. However, the defence contends that the injuries were mild in nature and that to the extent that the plaintiff has suffered flare-ups of his symptoms since the accident or that his symptoms have been ongoing, they are not caused by the accident but rather by the fact that he has disc degeneration.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defence also submits that there is a pre-accident history of relevance to the plaintiff's injuries. Counsel submitted that the plaintiff has a longstanding history of episodic neck and back pain in the years prior to the accident which raises the question of the extent to which, if any, the accident changed the plaintiff's pre-accident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commenced chiropractic care in 2001 with Dr. D. Banwait, with whom he shared a clinical practice. He attended her for treatments pre and post-accident. Because they were colleagues, the treatments pre-accident were not documented and the plaintiff was only billed if the plaintiff had MSP coverage for the treatments. Moreover, Dr. Banwait did not keep clinical records for the pre-accident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Banwait testified for the defence that she started treating the plaintiff in July, 2001. She treated him eight times in 2001. She did not make notes of the symptoms she treated, or the areas she worked on. She recalled that prior to the accident she treated the plaintiff for neck stiffness and back pain, including low back pain, but she could not recall if one area was more problematic than the other. She said that prior to the accident the plaintiff attended her for treatments on an as-needed basis. She also said that in 2008 the plaintiff complained about upper back and neck pain, as well as low back pain. She recalled that she treated the plaintiff about the same number of times after the accident as she had before the accident. She also recalled that she treated the plaintiff prior to the accident for low and mid-back pain, and neck stiffness and pain. She said that prior to the accident she treated him more than once a year, but less than five times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cross-examination, plaintiff's counsel asked Dr. Banwait if some of the pre-accident treatments were for demonstration treatments. She could not confirm this. She said that she would have treated the plaintiff at each of the sessions. She did say that during her treatment of the plaintiff prior to the accident he did not complain of ongoing pain in his neck or back. Nor did he complain of symptoms affecting his activities of daily living or symptoms which prevented him from playing sports or from treating his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addition to the treatments from Dr. Banwait prior to the accident, the plaintiff also received chiropractic treatments from another Chiropractor as well as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defence expert was Dr. J.F. Schweigel. He examined the plaintiff. In his report dated March 27, 2008, he opined that the plaintiff's persisting neck pain is probably due to the fact that the plaintiff may have underlying degenerative disc disease of the cervical spine. He also states that the discomfort the plaintiff is having cannot be explained by any physical abnormality, although he opines that there is a possibility that the plaintiff has underlying degeneration of the cervical spine which accounts for some of his discomfort. This degeneration, he claims, if he does have it, would have been present prior to the accident and was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 on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ability of the Court to assess the plaintiff's non-pecuniary damages is somewhat hampered by the fact that the plaintiff's chiropractic and massage treatments prior to the accident were not considered by his treating doctors in their reports. Dr. Hershler states that prior to the accident the plaintiff was in good health and was not complaining of any neck or back pain and that he had no health or medical issues. Dr. Sidhu states that prior to the accident the plaintiff was healthy and active. In fact, the plaintiff advised Dr. Sidhu in July, 2006 that he had no injuries or symptoms prior to the accident. Most significantly on this point, Dr. Banwait did not keep any clinical records of the plaintiff's pre-accident treatments so it is unclear what she treated the plaintiff for or the extent, scope, or nature of the treatments. However, I think it is at least clear from her evidence and records that the symptoms she treated the plaintiff for pre-accident were not chronic or ongoing but rather episodic and, in any event, they did not have any impact on his activities of daily living or on his ability to perform his practice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According to the plaintiff, prior to the accident he experienced episodes of occasional stiffness or aches after a workout or physical activity, but nothing significant. He insists that the chiropractic and massage treatments he received prior to the accident where for ongoing "maintenance" only and not to treat the kinds of symptoms he experienced post-accident. He did concede in cross-examination that he experienced soreness and stiffness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 the issue of causation, I think it is significant to note that in his physical examination of the plaintiff on March 20, 2007, Dr. Hershler found, "Inspection of the muscles revealed swelling in the left trapezius muscle. This was further confirmed with palpation. Deep palpation of the swollen area caused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his report, Dr. Sidhu sets out,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history of his examinations of the plaintiff following the accident. When the plaintiff was examined on March 28, 2005, he reported ongoing pain and headaches. Examination revealed tenderness over his bilateral neck, shoulder, and left arm. Range of motion ("ROM") was decreased by approximately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When examined on April 1, 2005, there was tenderness over the plaintiff's paracervical muscles and the ROM of his cervical spine on rotation, lateral flexion, and forward flexion were approximately 80% of normal, and extension was painful on full ROM. He had significant periscapular pain as well as tenderness over the posterior capsule of his left shoulder. There was bilateral paralumbar tenderness with full painful ROM on extension and on forward and lateral flexion. He was diagnosed with myofascial, cervical, thoracic, and lumbar injuries as well as shoulder and wrist strain, and ongoing muscle contraction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April 14, 2005, examination revealed significant paracervical tenderness and tenderness over his paracervical muscles with approximately 90% full ROM, as well as posterior shoulder and paralumbar tenderness and pain on full 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May 2, 2005, examination revealed bilateral paracervical tenderness extending to mid-back. He remained tender over his left posterior shoulder, with pain at maximum limits on full abduction. On May 4th and 12th the plaintiff experienced flare-ups of his neck and wrist pain. Examination revealed spasm over his left paracervical muscles with marked pain, limitation of extension, and bilateral rotation of his cervical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was seen by the doctor again on June 6th, July 29th, September 9th, October 14th, and November 13th of 2005. He experienced a number of acute flare-ups of neck pain during this period. He was next seen by the doctor on May 1, 2006. Examination revealed tenderness and spasm over his left paracervical muscles extending to his mid-back. The ROM of his cervical spine was markedly limited on extension, and was limited by approximately 75% on rotation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was seen by the doctor on July 13th, September 9th, 21st, and 27th of 2006. On the latter date the plaintiff's examination revealed pain and trigger points over his trapezius muscles, greater on the left than right, and over his levator scapulae muscles. When examined on November 8th, examination revealed palpable spasm over his left paracervical muscles with pain and limited left rotation to 70% of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was seen by the doctor on November 30, 2006, and again on March 16th and 20th of 2007. When he was examined on January 22, 2008, the plaintiff was still experiencing neck pain on full extension, and the examination revealed tenderness over his bilateral paracervical muscle and pain on full extension. Rotation of his cervical spine to the left was approximately 90% of normal and associated with pain at maximum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chief, the plaintiff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talked about your headaches initially to May of '05 and then subsequently, including the flare-ups, until December of 2006. From January 2007 to the present, how have your headaches been?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January 2007?</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present.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been - I haven't had headaches. I've been back to normal in terms of headaches.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mentioned that initially the pain in your left arm and the numbness and tingling in the left hand was quite frequent. How long was that for? What period of time after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quite 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previous - we're now talking about the time frame of January 2007 to present, the last 17 months or so. How has the pain in the left arm and the numbness and tingling in the left hand been?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last 17 months, I've been fortunate. I haven't had a flare-up, so I haven't had those types of intense symptoms. However, if I do sit for a long period of time, for example, while doing medicolegals or paperwork or at the computer, those symptoms do come after about half an hour, though they're not as severe as the flare-up.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Moving forward then. Let's talk about the year 2006. This is not when you've had the flare-ups, but just otherwise during that year - during the year 2006, what type of pain were you having in your neck?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same dull achy pain in both sides, left side greater than right, extending from the base of the skull down to the upper back and then into the mid back - 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again, how frequent - how frequently did you experience the dull achy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every 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that time frame when you had the flare-ups, what changed, if anything, during the flare-up with respect to the neck pain?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During a flare-up I would have muscle spasm, I would have decreased range of movement, I would have headaches, the arm pain, the burning in the arm, the numbness and tingling down into the fourth and fifth digits and, of course, an increase in pain.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was - describe the increase in pain during the flare-ups.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intense pain. I guess on a scale of 10, I would say maybe an 8 or 9 out of 10.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year 2006 on that same scale, when you had that dull achy pain, what level would that be 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I'd say about a 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Moving into sort of early 2007. How would you describe the nature of the pain in your neck at that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2007 I had the continued dull achy pain both sides of the neck, left side more so, extending from the base of the skull into the upper back and the mid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frequent was the pain in early 2007?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still there every day, but it wasn't as bad as before, so it had decreased in intensity.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the same scale you used earlier, zero to 10 - and maybe just let me define the pain. By "zero" you mean no pain, and "10" you mean maximal pain that you can imagine. Is that sort of the scale you're using when you say "zero to 10"?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was the pain in early 2007 in your neck on that scale?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Maybe a 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indicated Dr. Hershler obtained a history from you and that you provided Dr. Hershler a history about your medical condition and the symptoms you had experienced after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happened after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he did an examination; he checked for where I was sore; he did some medical procedures, and he made recommendations as to what I should do for treatment based on his findings.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get to the treatment recommendations. In terms of the physical examination, do you remember what areas of your body he performed a physical examination of?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remember which areas he did an examination on that produced pain. That area is the area that we're talking about, being the neck, upper back and mid back, primarily on the left side.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following the physical examination, you indicated that he made treatment recommendations. What treatment recommendations did Dr. Hershler advise you to follow - or what treatment recommendations did he make?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Hershler recommended that I receive deep tissue massage treatments once a week for six months - I believe it was once a week for six months.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follow that treatment recommendation?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 receive massage therapy treatments once a week for, I believe it was, three months.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where did you attend for massage therapy treatments after being assessed by Dr. Hershler?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went to Arminder Sidhu, the massage therapist that I had seen previously.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do you know when you started the massage therapy treatments after you were assessed by Dr. Hershler?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it was June 2007.</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how long did you receive those treatments for?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Until August 2007.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August of 2007 to the present, what have you done with respect to treatment for the pain that you experience in your neck?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 my stretching, I exercise, I take medication if needed, and basically I - I'm not going to stop doing the things that I enjoy. I'm going to keep doing the things that I enjoy. I'm not going to let this pain bother me. That's what I tell my patients - and staying active.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exercises have you done? And we're talking about the period August '07 to the present.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scapular retraction exercises, the - stretching a few different muscles in my neck with specific movements, you know, the occasional hot steam or a hot tub or a hot shower to alleviate any stiffness and, if needed, then Robaxacet.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often do you do the stretching exercises - and again we're talking August '07 to the present - in terms of frequency?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have the same three-times-a-day regimen anymore, but I do perform the exercises every day, but not - it's not as regimented. It's whenever you feel the stiffness, you stretch it out 10 times and you keep, you know - you go 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terms of frequency, how often would that be in terms of in a week or in a month in the last - let's say in the last five months?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stretch every day, even up till today.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often since August '07 to present have you had to take medication to manage your - the pain in your neck?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have to say on average probably - maybe once a week.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Other than the stretching exercises and the medication, I believe you mentioned the scapular retraction exercises. How frequently have you done those? Again in the same time frame, August of '07 to present.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 those probably three times a week.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moving into 2006 - or the year 2006. Leaving aside the flare-ups, what was the type of pain that you experienced in your upper back?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the same quality of pain, that being a dull achy pain in the upper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how frequent was the pain?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still there every day. The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 go ahead. Sorry.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intensity again was the same as the neck pain, and I believe that was around a 3 out of 10.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that time frame, late 2005 into 2006, how was the upper back during an episode when you had a flare-up?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again the same intensity as the neck pain. It's - to me they were not two separate entities. It was all one: the neck, the upper back and the mid back. It was all tied in together.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With respect to the upper back, in terms of treatment, was the treatment the same treatment that you received for your neck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has it been the same treatment through 2005, 2006, 2007 to the present?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has.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 specific treatment just for the upper back which would not involve the neck or the mid back?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 upper back, the neck and the mid back - the treatment regime was the same.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massage therapy with Arminder Sidhu, chiropractic treatment with Dr. Banwait, chiropractic treatment with Drs. Wong and Johnson and then massage therapy with Arminder Sidhu?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terms of the upper back - maybe if you can tell us how you presently feel with respect to the pain in the upper back.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now the pain in the upper back is a dull ache. However, similarly as with the neck pain, with prolonged sitting or if I'm on the computer, if my hands are in front of me as if I'm doing a medicolegal, even right now actually, as I'm sitting here, it's on the high level of what my plateau is right 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is that high level?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to 2 out of 10. Right now it feels like more than a 2, but that's - that's my plateau right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terms of intensity, is it - how would you describe the intensity of the pain in your mid back? And this again May of '05 maybe to present. If you can just give us an overview.</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 would say that the mid back intensity is the same as the neck and the upper back. So a 4 up until December 2006, for example, and then maybe a 3 after that. And then after the massage therapy treatments that Dr. Hershler recommended, it's at its current level, which I would say is about a 1 or a 2 out of 10.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terms of the treatment for your mid back - again, if you can provide us with an overview from the date of the accident to the present. What treatment or treatments have you had for your mid back?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Lord, the treatments for the mid back were the same as the neck and the upper back, consisting primarily of chiropractic treatment, massage therapy, medications, stretching and strengthening exercises, icing. That's primarily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 specific treatment for the mid back area that applied only to the mid back and did not deal with the mid back [sic] - did not deal with the neck and upper back [indiscernible]?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They all required the same exercises.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Before the accident of March 25th, 2005, were you experiencing any neck pain?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Before the accident of March 25th of 2005, were you experiencing any pain in your upper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Before the accident of March 25th of 2005, were you experiencing any pain in your mid back?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addition to the treatments you've talked about, the massage therapy with Arminder Sidhu, the chiropractic treatment with the two different chiropractors at different clinics, then you saw Dr. Hershler and massage therapy, you have also seen your family physician, Dr. Sidhu?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often would you see Dr. Sidhu after the subject accident?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the exact frequency. That's information I'm sure you could have through his billings. But I do believe that I saw him quite regularly - at regular intervals.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let's - we'll return to social activities later. Let's talk about the sporting activities. Let's talk about soccer first. In the two years before the accident, so 2003, 2004, how often would you play soccer?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play soccer in the summers once or twice a week for - as part of a - not league play, but just recreational play - sort of a pick-up game.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summer of 2003 - and when you say "summer", what months are we talking about?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weather permitting, June, July, August, maybe September, maybe not, maybe May, maybe not - depending on the weather.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play soccer during the summer of 2003?</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with the same frequency you indicated earlier?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play soccer in the summer of 2004?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play soccer during the summer of 2005?</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why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because of the injuries that I had sustained.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you able to return to soccer after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was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approximately a year after the accident. I just got fed up. I didn't want to sit around anymore, so ... It's something I enjoy, so I wanted to continue doing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summer of 2006 you played soccer?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how often did you play?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same frequency.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have any difficulty playing soccer in the summer of 2006?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not so much. The - in 2006 - you know, when you've been off for a while, you're a little bit - what's the word here? - it takes a little bit of time to get back into the routine, but that's about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play soccer in the summer of 2007? Last year?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how frequently?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Same frequency.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Any difficulty with playing soccer in the summer of 2007?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assessing the plaintiff's damages I accept that the plaintiff's treating doctors did not have an opportunity to assess whether the accident related injuries caused a change in any symptoms that the plaintiff may have experienced prior to the accident relating to his neck and back. However, I found the plaintiff to be forthright and honest in giving his evidence. I do not accept the defence position that the plaintiff has significantly downplayed his pre-accident status, or misled his treating doctors and the defence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With respect to the plaintiff's pre-accident chiropractic treatments, the plaintiff's position is that his treatments were for ongoing maintenance only, and not to treat the kind of symptoms he experienced post-accident. I accept the plaintiff's position and do not think much weight should be placed on Dr. Banwait's evidence given the absence of any pre-accident clinical records to clarify the treatments given by her to the plaintiff, and her inability to recall any of the details of the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circumstances, I prefer the conclusions of the plaintiff's treating doctors and reject Dr. Schweigel's opinion on causation. Dr. Sidhu explained that the plaintiff has a soft tissue injury, not a bony injury. Moreover, Dr. Sidhu examined the plaintiff frequently post-accident and I accept his evidence at trial that while the acuteness of the plaintiff's symptoms has lessened, it has not changed regarding his ability to extend his neck and left arm. According to Dr. Sidhu, the plaintiff experiences ongoing pain when extending his arm above his head and when extending his neck. Although the doctor agrees that the plaintiff has improved, he said that the plaintiff's ongoing symptoms remain.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result, I find on the whole of the evidence that the plaintiff has proven on a balance of probabilities that his ongoing symptoms are in fact related to the injuries he sustained in the accident. In my opinion, the evidence as a whole establishes that the plaintiff suffered mild to moderate soft tissue injuries as a result of the accident. He was able to return to his full practice duties by May 2, 2005. Since at least the end of 2006 he has returned to a nearly normal life-style, with the exception that he has and continues to experience some flare-up of his symptoms from time to time, and continues to experience some pain and discomfort associated with these symptoms. These symptoms appear to have had and continue to have a modest impact on his daily living activities. For example, he has returned to many of the athletic activities he enjoyed prior to the accident, but not to the same level or degree of participation. However, at the time of the accident, he was taking a Body for Life program workout regime, which he had to completely stop shortly after the accident, and he has not yet been able to resume this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find that the appropriate award for non-pecuniary damages is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July 14, 2006, the plaintiff wrote to ICBC setting out his past income loss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wage loss is based on my 2004 and 2005 income tax statement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9"/>
        <w:gridCol w:w="292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January 1, 2004-</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September 2004</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(not incorporated)</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$ 98,851</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9"/>
        <w:gridCol w:w="292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2004-</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December 31, 2004</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(incorporated)</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$ 23,526</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2823"/>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wages for 2004</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$122,377</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9"/>
        <w:gridCol w:w="292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January 1, 2005-</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December 31, 2005</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$100,969</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(wage loss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$122,377 divided by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52 weeks is $2353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per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is $470 per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based on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 day work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405"/>
        <w:gridCol w:w="125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25, 2005</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Unable to work</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$470</w:t>
            </w:r>
          </w:p>
        </w:tc>
        <w:tc>
          <w:tcPr>
            <w:tcW w:w="2765"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26, 2005</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Unable to work</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405"/>
        <w:gridCol w:w="125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March 28, 2005-</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April 25, 2005 (4 wks)</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 of work load</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$4706</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614"/>
        <w:gridCol w:w="1046"/>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April 25, 2005-</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1, 2005</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75% of work load</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$588</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614"/>
        <w:gridCol w:w="1046"/>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2, 2005</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Return to full</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duties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2614"/>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 "Flare ups"</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14, 2005-</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Present)</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$1227</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9"/>
        <w:gridCol w:w="292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wage loss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$7461</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However, at trial, the plaintiff used two approaches to quantify his past income loss claim. The first approach is based on the difference in loss of revenue pre-accident and post-accident. In 2004, according to his financial records, the plaintiff's total gross revenue was $122,378.03. His gross profit margin in that same year was 39.42%. Total gross revenue for 2005, the year of the accident, was $100,969. The plaintiff claims loss of revenue for 2005 in the amount of $21,409.03. For the year 2006 the plaintiff's total gross revenue was $114,711 with a loss of revenue for that year of $7,667.03. Thus, for 2005/06 the plaintiff's gross loss of revenue was $29,000. Applying the same gross profit margin of 40%, the plaintiff claims the net loss of revenue for 2005 and 2006 of $11,461.78 as his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second approach is based on the loss of income due to the loss of 150 patient visits, at $30 per patient, with the result of a total past loss of income of $4,500. This figure does not account for any losses relating to repeat patient visits lost as a result of the initial visit. Under this approach the plaintiff claims past loss of income in the amount of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did not present accounting or business evaluation evidence to support his past loss of income claim and concedes that the claim is less than adequately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my view, the plaintiff's claim for past income loss falls far short of satisfactorily assessing the actual or even approximate income loss he sustained as a result of the accident. In this regard, I turn to the defendant's analysis which I think appropriately identifies the flaws under this head of the plaintiff's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As the evidence unfolded at trial it showed some important inconsistencies from the claim set out in the plaintiff's letter of July 14, 2006. First, on March 25, 2005, the day of the accident, according to the evidence at trial and the exhibits the plaintiff treated six patients. The plaintiff was able to reschedule all of the other patients, save one. Thus, the plaintiff's income loss for March 25th appears to be only one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Second, while I am satisfied that the plaintiff did not work on March 26th, a Saturday, his record for this date was modified after the fact by him and therefore any income loss for this day is inadequately supported by reliable record keeping. I do not conclude that the modification of the record should cast any negative credibility finding on the plaintiff. In this regard, I accept his explanation for the modification. However, the result of the modification renders the evidence in support of any actual loss of income for this day somewhat less than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plaintiff's claim that from March 28, 2005 until April 25, 2005, he worked 50% of his normal workload was clarified at trial. The plaintiff explained that that he did not actually reduce his patient visits by 50%, but rather he could not perform his practice at the same level as before the accident and had to substantially adjust his techniques for treatment of his patients. He said that he scheduled more frequent breaks, did not take walk-in patients, and let patients do the exercises on their own. This same explanation apparently applies to his claim that from April 25, 2005 to May 1, 2005, he practiced at 75% of his normal workload.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However, the defence did a thorough analysis of the plaintiff's patient numbers and fees for different periods of time so as to make a comparison with the period during which income loss is being claimed by the plaintiff. The analysis shows quite a different picture than that put forward by the plaintiff and casts significant doubt on the reliability of the plaintiff's claim of income loss based on a reduced workload, and certainly does not support his assertion that he suffered a loss of 150 patient visits as he estimated. Rather the analysis indicates that the plaintiff was working at close to full patient capacity during the period he claims that he lost income due to his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the result, I find that the plaintiff has failed to prove on a balance of probabilities that he is entitled to the amounts he claims under either of the approaches he has submitted in support of his claim. What his claim amounts to is essentially his best guess of past income loss with no evidence that satisfactorily supports his estimate. In my opinion, while I think that the plaintiff is entitled to some past income loss, I find that the amount of his actual income loss is at best modest, and I fix his award for past income loss at $3,500.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is entitled to an award for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77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19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$ 1,712.98</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19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$ 3,500.00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$30,212.98</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 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845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08"/>
          <w:headerReference w:type="default" r:id="rId1109"/>
          <w:footerReference w:type="even" r:id="rId1110"/>
          <w:footerReference w:type="default" r:id="rId1111"/>
          <w:headerReference w:type="first" r:id="rId1112"/>
          <w:footerReference w:type="first" r:id="rId11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14" w:history="1">
        <w:r>
          <w:rPr>
            <w:rFonts w:ascii="arial" w:eastAsia="arial" w:hAnsi="arial" w:cs="arial"/>
            <w:b/>
            <w:bCs/>
            <w:i/>
            <w:color w:val="0077CC"/>
            <w:kern w:val="32"/>
            <w:sz w:val="28"/>
            <w:szCs w:val="32"/>
            <w:u w:val="single"/>
            <w:shd w:val="clear" w:color="auto" w:fill="FFFFFF"/>
            <w:lang w:val="en-US" w:eastAsia="en-US" w:bidi="ar-SA"/>
          </w:rPr>
          <w:t>Golden Capital Securities Ltd. v. Holmes, [2002] B.C.J. No. 2381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22 - 26, 29 - 31,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1, 2, 5 - 9, 13, 14, 2001, March 18 - 22,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25 - 28, April 2 - 5, 8 - 12, 15 - 19, 22 - 26, 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30, May 1 - 3, 13, 15 - 17, 19, 27, June 10 - 14,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18 - 21, 24 - 28, July 3, 4, 22 - 26, 29 - 31,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August 1 and 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C964230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2381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1468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 B.C.L.R. (4th) 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A.C.W.S. (3d) 351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Golden Capital Securities Limited, plaintiff, and O. Barry Holmes, North Shore Aggregates Ltd., Michael Mitton, also known as Michael Matt, McLachlan Brown Anderson Holmes, a partnership carrying on the practice of law, Janet Marie Mitton, Cheryl Lynn Holmes, Alfred Rempel, Alfred Kaminski, Charles Dietrich Wiebe, B.B. &amp; H.F. Investment Corporation Ltd. and Valley Ridge Investment Group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0"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5" w:name="Keywords_35"/>
      <w:bookmarkEnd w:id="275"/>
      <w:r>
        <w:rPr>
          <w:rFonts w:ascii="arial" w:eastAsia="arial" w:hAnsi="arial" w:cs="arial"/>
          <w:b/>
          <w:color w:val="000000"/>
          <w:sz w:val="20"/>
          <w:lang w:val="en-US" w:eastAsia="en-US" w:bidi="ar-SA"/>
        </w:rPr>
        <w:t>Torts — Conspiracy — Conspiracy, what constitutes — Party to a conspiracy — Vicarious liability — Particular persons — Partnership — Company — Securities regulation — Trading in securities — Offences — Illegal trading, remedies.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6" w:name="Case Summary_33"/>
            <w:bookmarkEnd w:id="2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Golden Capital Securities for damages for losses arising out of an alleged conspiracy between Holmes and others, to trade in securities using an unlawful trading scheme. Michael Mitton had been banned from trading and had a criminal record for offences including fraud and forgery. He conceived a trading scheme whereby securities for companies with inflated prices would be sold short after reaching a certain level and then bought back into the market to fill the short after the price dropped. The fact that these were undeclared short sales would be concealed from the brokerages where short sales of shares were ordered. The scheme essentially allowed those using it to trade without providing the necessary margin. Rempel acquired Valley Ridge to trade in securities using the scheme. Holmes was a partner in the law firm McLachlan Brown Anderson Holmes (MBAH). He incorporated Valley Ridge and prepared the documents to transfer its shares to Rempel and appoint first Rempel, then Wiebe, as sole director. Wiebe opened accounts for Valley Ridge at various brokerages, including Golden Capital. Holmes also incorporated BB &amp; HF and prepared the documents transferring its shares to his wife, Cheryl Holmes. He appointed Janet Mitton as sole director of BB &amp; HF, then later replaced her with Kaminski, who signed the account opening forms for BB &amp; HF at Golden Capital. Undeclared short sales were made in several accounts by Rempel, Wiebe and Holmes on behalf of BB &amp; HF and Valley Ridge, at Michael Mitton's direction, in contravention of section 41(1) of the Securities Act. Michael Mitton persuaded Golden Capital's representative, Oxholm, to buy substantial positions in bonds before account opening forms had been completed for BB &amp; HF and Valley Ridge, which was contrary to Golden Capital's procedures. He also told Oxholm that margin would be provided by short sales in those accounts, then began ordering undeclared short sales, which gave the appearance of credits in the accounts which could stand as margin. Holmes controlled North Shore and transferred shares from his North Shore account to cover undeclared short sales on behalf of BB &amp; HF and Valley Ridge at Golden Capital. When it became apparent that the bond purchases would not be covered by margin, Golden Capital was forced to sell the bonds at a loss. Wiebe lied to the police by stating that he, not Michael Mitton, had ordered the sales. Michael Mitton, Wiebe and Kaminski also expressly misrepresented Michael Mitton's identity to Golden Capital.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7" w:name="Holdings of Court_28"/>
            <w:bookmarkEnd w:id="277"/>
            <w:r>
              <w:rPr>
                <w:rFonts w:ascii="arial" w:eastAsia="arial" w:hAnsi="arial" w:cs="arial"/>
                <w:color w:val="000000"/>
                <w:sz w:val="20"/>
                <w:lang w:val="en-US" w:eastAsia="en-US" w:bidi="ar-SA"/>
              </w:rPr>
              <w:t>HELD: Action against Michael Mitton, Wiebe, Holmes, Rempel, Valley Ridge, BB &amp; HF and North Shore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Action against Janet Mitton, Kaminski, Cheryl Holmes and MBAH dismissed. Michael Mitton, Wiebe, Holmes and Rempel had conspired to trade unlawfully at Golden Capital and were jointly and severally liable for the losses sustained by Golden Capital in the BB &amp; HF and Valley Ridge accounts. Michael Mitton violated the trading ban and traded unlawfully by ordering undeclared short sales. He also fraudulently misrepresented to Oxholm that margin for the bond purchases would be provided through the sales, which induced Oxholm to place orders without sufficient margin. The fact that Oxholm had acted unwisely was no defence. Wiebe acted in concert with Michael Mitton, Holmes and Alfred Rempel, to permit Valley Ridge to be used as the vehicle through which Michael Mitton could direct trades under the scheme at Golden Capital. He had acted as an intermediary, trading at Michael Mitton's direction, with full knowledge of what the scheme involved and of Michael Mitton's trading ban. Rempel placed Michael Mitton in a position as his agent, to direct trades using the scheme through the Valley Ridge account and to make the fraudulent misrepresentations to Oxholm. The conspirators concealed Michael Mitton's identity from Golden Capital to permit him to trade unlawfully without arousing Golden Capital's suspicions. Holmes also participated in the conspiracy by covering undeclared short sales in the accounts. Michael Mitton, Holmes and Rempel all profited from the unlawful trading and there was no doubt that the conspirators' conduct was directed at Golden Capital. Damage was caused to Golden Capital as a result of the undeclared short selling and the conspirators knew or should have known that this damage was likely to result from their actions. At all material times, either Rempel or Wiebe, Holmes and Michael Mitton were the directing minds of Valley Ridge, North Shore and BB &amp; HF, respectively. The companies also profited from the trading at Golden Capital. They were therefore liable as parties to the conspiracy. MBAH, however, was not vicariously liable for the tortuous conduct of Holmes. Most of Holmes's actions were taken by him in his personal capacity or his personal law practice, unauthorized by, and without the knowledge of, his partners. None of the things Holmes did in the usual course of MBAH's business resulted in Golden Capital's losses. There was no evidence that either Janet Mitton or Cheryl Holmes had any involvement in or knowledge of any dealings with Golden Capital. There was also no evidence, despite his minor involvement in the scheme, that Alfred Kaminski had benefited from his role in the dealings with Golden Capital. He did not know that Michael Mitton had carried on unlawful trading before he agreed to act as president of BB &amp; HF.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8" w:name="Legislation Cited_20"/>
      <w:bookmarkEnd w:id="2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1"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Company Act, R.S.B.C. 1979, c. 59, s. 155(3).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hyperlink r:id="rId1115" w:history="1">
        <w:r>
          <w:rPr>
            <w:rFonts w:ascii="arial" w:eastAsia="arial" w:hAnsi="arial" w:cs="arial"/>
            <w:i/>
            <w:color w:val="0077CC"/>
            <w:sz w:val="20"/>
            <w:u w:val="single"/>
            <w:shd w:val="clear" w:color="auto" w:fill="FFFFFF"/>
            <w:lang w:val="en-US" w:eastAsia="en-US" w:bidi="ar-SA"/>
          </w:rPr>
          <w:t>R.S.B.C. 1996, c. 79, ss. 2</w:t>
        </w:r>
      </w:hyperlink>
      <w:r>
        <w:rPr>
          <w:rFonts w:ascii="arial" w:eastAsia="arial" w:hAnsi="arial" w:cs="arial"/>
          <w:color w:val="000000"/>
          <w:sz w:val="20"/>
          <w:lang w:val="en-US" w:eastAsia="en-US" w:bidi="ar-SA"/>
        </w:rPr>
        <w:t>(c),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ss. 362, 383(1).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Partnership Act, R.S.B.C. 1979, c. 312, 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Securities Act, R.S.B.C. 1979, c. 83, ss. 41(1), 41.1(a), 138.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9" w:name="Counsel_47"/>
      <w:bookmarkEnd w:id="2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2"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J.B. McLean and S.B. Jackson, for the plaintiff. B.G. Baynham, Q.C., for the defendant, O. Barry Holmes. G.J. Dykstra, for the defendant, Alfred Rempel. I.D. Mackie, for the defendant, McLachlan Brown Anderson Holmes. D.J.W. Hammond, for the defendants, North Shore Aggregates Ltd. and Cheryl Lynn Holmes.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0" w:name="Judgment_47"/>
      <w:bookmarkEnd w:id="280"/>
      <w:r>
        <w:pict>
          <v:line id="_x0000_s1233" style="position:absolute;z-index:2518466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1" w:name="E.R.A. EDWARDS J."/>
            <w:bookmarkEnd w:id="281"/>
            <w:r>
              <w:rPr>
                <w:rFonts w:ascii="arial" w:eastAsia="arial" w:hAnsi="arial" w:cs="arial"/>
                <w:b/>
                <w:color w:val="000000"/>
                <w:sz w:val="30"/>
                <w:lang w:val="en-US" w:eastAsia="en-US" w:bidi="ar-SA"/>
              </w:rPr>
              <w:t>E.R.A. EDWARDS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OUTLINE OF ALLEGATIONS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Golden Capital Securities Ltd. ("Golden Capital") operates a securities brokerage. Golden Capital alleges that the defendants, with the exception of Cheryl Lynn Holmes and McLachlan Brown Anderson Holmes ("MBAH"), together with others, conspired to trade in securities using an "unlawful trading scheme". Golden Capital further alleges that as a result of the alleged unlawful trading scheme it suffered substantial losses in bond and share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key issues in the case are these. Was unlawful securities trading conducted through Golden Capital by some or all alleged conspirators? If so, did the unlawful trading result in the losses Golden Capital seeks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Golden Capital alleges Michael Mitton and Barry Holmes, a lawyer, "were the architects of the unlawful trading scheme". The heart of the alleged unlawful trading scheme was the undeclared short selling of shares, which permitted participants to "trade for free", that is, without depositing and thereby risking any money or securities ("margin") in trading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Golden Capital asserts that a pattern of securities trading is evidence of the alleged conspiracy. Many days of evidence were devoted to examining the details of numerous securities trades through various brokerages in numerous securities accounts by or on behalf of the personal defendants Alfred Rempel, Charles Wiebe, Alfred Kaminski, Barry Holmes and others not defendants, notably Edward Rempel (together the "alleged conspirators"). Most of these trades, although placed with brokers by others, were directed by Michael Mitton who also kept track of all trades. The documentary evidence indicates millions of dollars of undeclared short sales were made in the numerous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These trades occurred during the period December 1995 through March 1996. During this period Michael Mitton and his wife Janet Mitton were under a twenty year "voluntary" British Columbia Securities Commission ("BCSC") order which prohibited them from trading in securities ("the BCSC trading ban"). Michael Mitton had a criminal record for several incidents of fraud, forgery, false pretences and theft in Quebec and Ontario during the years 1977 to 1989. The existence of Michael Mitton's trading ban and criminal record, if not the details of both, were known during this period to the personal defendants and to Edward Rempel.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Edward Rempel, who is Cheryl Holmes' father and Barry Holmes' father-in-law, settled a claim by Golden Capital in 1996 which arose from trades related to those upon which the present claim is based by paying Golden Capital $200,000. Under the terms of that settlement, he agreed to assist Golden Capital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December 2000 Michael Mitton pleaded guilty in Vancouver to six counts of fraud on brokerages and a charity, was sentenced to four years imprisonment and ordered to pay over $2 million in restitution. These offences were not directly related to the securities trades giving rise to this case. However, Barry Holmes provided a "Will Say" statement to Crown Counsel dated September 24, 1998, in anticipation of testifying for the prosecution, in which he referred to matters at issue in this case. He provided the "Will Say" statement for a promise of immunity from criminal prosecution which embraced transactions alleged by Golden Capital to constitute unlawful securities trading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Golden Capital alleges that because Michael Mitton's criminal record and securities trading ban made him potentially notorious in the securities industry in 1996, he and other alleged conspirators concealed his identity from the various brokerages, so those brokerages would not learn Michael Mitton was involved in the trades and therefore decline to deal with the alleged conspirators.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None of the brokerage personnel who testified at the trial understood they were dealing with Michael Mitton at the relevant time. They knew him either as "Mike" or under the alias "Mike Matt". Counsel for Golden Capital characterized the misrepresentation of Michael Mitton's true identity as a "badge of fraud". Golden Capital alleges that other alleged conspirators, by concealing Michael Mitton's identity and in other ways, assisted him in unlawfully trading in securities in violation of the BCSC trading 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MITTON TRADING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alleged unlawful trading scheme ("the Mitton trading scheme") was conceived by Michael Mitton. It is described by Barry Holmes in his "Will Say" statement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 my dealings with Michael Mitton I learned that he was very knowledgeable concerning the stock market. He did not make any attempt to hide the fact of his trading ban, which I understand was in force only in British Columbia. He told myself and Ed Rempel that he had a technical trading scheme which could be used for making money on the Vancouver Stock Exchange. The scheme involved identifying companies which were being heavily promoted by known manipulators. Mr. Mitton said that he knew who these people were. He said that the way to make money would be to sell short in those securities after they reached a certain level, buying back into the market to fill the short after the price dropped. Ed Rempel, who was a very active trader, tried out the scheme and initially reported that he made money.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Michael Mitton became acquainted with Fred Rempel and Bruce Vernon. I cannot say who specifically told them about the technical trading scheme or about Ed Rempel's success with it (it could have been me, Ed Rempel or Charles Wiebe), but what developed was that Fred Rempel and the Vernon brothers, who are all quite wealthy individuals, also decided to take part in trading using the Mitton technique. There was no "group" per se, for there was no pooling of profits or losses. However, the trading was done on the recommendation of Mike Mitton. He kept a record of all of the trading that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Mitton trading scheme as outlined to him by Michael Mitton was also described by Edward Rempel to include the following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You'd use several brokerage firms, and you'd sell it to one and you'd buy it back on the other one. After the price had gone down.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was a -- I think a three-day requirement to settle the stock, to either produce a certificate or prove that you owned the stock. And he said that if the stock hadn't gone down within that period of time, you -- you could sell some more stock, and you'd actually average up.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eventually the stock would go down, and you could sell it -- you could buy it in for a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he explain why you would sell in one brokerage house and buy in another?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because if you did -- you did the selling and buying in the same brokerage house, they -- he felt that they would know what -- what you were doing. That you didn't actually have the stock, when you were selling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he said it would be better to -- to sell at one brokerage and buy at another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recall him telling you any other aspects of this trading system?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Um -- he said that -- I'm trying to remember all the aspects of it. It would be -- it would be a short, but you wouldn't declare it as a short, when you -- when you'd make the sale.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he tell you why that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because if you -- if you short a stock, you need margin money. And you would need to put up enough money for the value of the stock plus 50 percent. And he was suggesting that we do without -- without putting up the margin money.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Mitton trading scheme was similarly described by the defendant Charles Wiebe who placed trades directed by Michael Mitton on behalf of Valley Ridge Investment Group Ltd. ("Valley Ridge"), a company controlled by Alfred Rempel.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Mr. Mitton explain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Basically that, through some research, you, I guess, look at various companies on the stock market, which he believes you are, have been bought too highly or have an inflated price, I should say, and you open up accounts in more than one firm and you start to buy and sell these stocks, and as you're buying and selling, you're transferring from one account to the other. So by the way he had described it, you're -- in essence, in your initial purchase, you're able to work the markets so that you're not having to put any money down, and in essence you've been able to buy and sell the stock within the period of time when they have to be settled with the brokerage firm.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Edward Rempel testified that after Michael Mitton described the Mitton trading scheme to him he experimented by making a number of notional trades before putting it into effect by ordering trades as directed by Michael Mitton in several brokerage accounts Edward Rempel controlled.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Key to the Mitton trading scheme was concealment from brokerages where short sales of shares were ordered the fact that these were "undeclared short sales". The scheme could not work to permit those using it to trade profitably "for free" if short sales were declared. That is because brokerage houses require margin in the form of cash or marginable securities, typically in the amount of 50% of the value of any declared short sale, to protect them against the possibility the price of shares sold short may rise between the trade date and settlement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the period December 1995 to March 1996 share trades made on one day (the "trade date") settled three business days later (the "settlement date"). That meant that shares sold by a brokerage on the trade date had to be delivered to the brokerage purchasing them on the third business day following in return for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If the shares were in the seller's brokerage account, that was a sale from a "long" position with no risk to the seller's brokerage since it could deliver the shares to the buyer's brokerage three business days later, regardless of whether the price of the shares rose or fell in the interval.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If the shares were not in the seller's brokerage account and the seller "declared" that the seller did not own them elsewhere, the selling brokerage would require 50% margin to protect its position in the event that the price of the shares rose before the settlement date and before the brokerage could buy them for transfer to the account of the buyer who bought the shares at the lower price at which they were sold on the trade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if the seller did not declare the sale was a short sale, the seller's brokerage would assume the seller owned the shares in an account with another brokerage, or held the share certificates, and that the shares would be delivered to the selling brokerage for delivery to the buyer's brokerage within the three day settlement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transfer of shares from an account at one brokerage to an account at another is done through the Canadian Depository for Securities, a central clearing house, by inter member movement ("IMM"). With the agreement of both sending and receiving brokerages, the clearing house effects and records the transfer of shares from one brokerage to another by IMM.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subspecies of IMM is delivery against payment ("DAP"). Under DAP a specified number of shares are transferred from an account at one brokerage to an account at another brokerage which is obliged to pay the sending brokerage for the shares at a specified price if it accepts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Under a standard IMM, shares are simply received by a brokerage and credited to the recipient customer's account on the date of receipt. Under DAP, shares are received by a brokerage and credited to the recipient customer's account which is correspondingly debited the amount of the payment required by the brokerage which sent the shares. An undeclared short sale in a seller's account would be credited with the proceeds of sale on the trade date and debited with the cost of the DAP on the date the DAP is processed in the seller's account. Typically the two dates do not coincide, so for a period of days the proceeds of the undeclared short sale appear as a credit in the seller's account until the DAP arrives.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following hypothetical example explains how the Mitton trading scheme enabled participants to trade for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Anticipating a drop in price, a participant orders a sale of 1000 shares at $5 in an account at brokerage A, in which the shares were not owned. The selling brokerage A, unaware this was an undeclared short sale, requires no margin and credits the account with the $5,000 proceeds of sale on the trade date, expecting the shares to be delivered to the account within three days. With the sale proceeds expected in three days, the participant buys the same 1000 shares in a falling market for, say, $4.50 in an account at brokerage B and orders delivery of the shares, using a DAP form, to the account at brokerage A against payment of $4,500. The Statement of Claim refers to this aspect of the Mitton trading scheme as "short kiting". Brokerage A receives the shares by DAP and pays $4,500 for them to Brokerage B which is thereby paid for the purchase of the shares delivered to Brokerage A to cover the short sale. This leaves a credit in the participant's account at Brokerage A of $500. The participant has obtained a $500 profit on the undeclared short sale without depositing any margin with Brokerage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regarding trading under the Mitton trading scheme involved numerous accounts with various brokerages over a period of several weeks. There were often many simultaneous trades so that at any given moment the net position in the various brokerage accounts would not be readily apparent even to the brokerages, since they would credit short sale proceeds to a particular account without realizing the proceeds would be committed to pay for delivery of shares under DAP. That meant there would appear to be cash in the accounts which could stand as margin for other trades, when in fact there was none, because when the shares sold short were transferred by DAP the cash would have to be paid to the brokerage delivering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 number of occasions, Michael Mitton and Barry Holmes pressed brokerages to relax the requirement to settle trades within three business days. For example, after attending a meeting with personnel of the Scotia McLeod brokerage on January 15, 1996, at which he was advised that the brokerage would not relax settlement requirements for an account of Valley Ridge, a company controlled by his client Alfred Rempel (a distant cousin of Edward Rempel), Barry Holmes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Subsequent to our meeting I learned from Charles Wiebe that you intentionally avoided my telephone calls while carrying out a course of action you must have intended at our meeting. The lack of courtesy and guts demonstrated by you adds, in my opinion, a new dimension to sleazy underhanded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Problems in settling trades within the three day settlement period caused Scotia McLeod to "buy in" share positions the brokerage had been instructed by Charles Wiebe to sell short in the Valley Ridge account. This was the "course of action" referred to by Barry Holmes. That is, the purchase of shares to cover the brokerage's own obligations to deliver on settlement dates shares it had sold short for Valley Ridge. It was a prudent course of action consistent with settlement rules and industry practice and a course of action the brokerage had every right to pursue.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a result of problems with timely settlement, some brokerages like Scotia McLeod concluded or suspected they were being used to handle undeclared short sales and declined further dealings with the Valley Ridge accounts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Golden Capital alleges the Mitton trading scheme was unlawful in that it contravened section 41(1) of the Securities Act, R.S.B.C. 1979, c. 83, in force in 1996, which provided:</w:t>
      </w:r>
      <w:r>
        <w:rPr>
          <w:rFonts w:ascii="arial" w:eastAsia="arial" w:hAnsi="arial" w:cs="arial"/>
          <w:sz w:val="20"/>
          <w:lang w:val="en-US" w:eastAsia="en-US" w:bidi="ar-SA"/>
        </w:rPr>
        <w:cr/>
      </w:r>
    </w:p>
    <w:p>
      <w:pPr>
        <w:numPr>
          <w:numId w:val="2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places an order for the sale of a security through a registered dealer acting on his behalf and who</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own the security, or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he is acting as agent knows his principal does not own the security,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shall, at the time of placing the order to sell, declare to the registered dealer that he or his principal, as the case may be, does not own the security, and that fact shall be disclosed by the dealer in the written confirmation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abundant evidence that most of the trades conducted through various brokerages in accounts controlled by alleged conspirators were undeclared short sales in apparent contravention of this subsection or were related trades, primarily purchases in other accounts to cover the undeclared short sales by DAP.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Specifically, undeclared short sales were made by Edward Rempel in several accounts he controlled at various brokerages and by Charles Wiebe in several accounts Valley Ridge had with various brokerages. Edward Rempel and Charles Wiebe testified these trades were directed by Michael Mitton.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trades were substantial. For example, within days of Valley Ridge opening an account with RBC Dominion Securities, there were undeclared short sales totalling $295,000. The positions sold short were either filled by DAP from accounts at other brokerages or "bought in" by RBC Dominion when they were not delivered by the settlement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Undeclared short sales are, unlike declared short sales, not publicly disclosed. Therefore they have the potential to distort the market by making it appear there is less selling of the shares concerned than is actually occurring. Golden Capital alleges that these undeclared short sales also contravened s. 41.1(a) of the Securities Act which in 1996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person, directly or indirectly, shall engage in or participate in a transaction or scheme relating to a trade or acquisition of a security if the person knows or ought reasonably to know that the transaction or scheme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creates or results in a misleading appearance of trading activity in, or an artificial price for, any security listed on a stock exchange in the Province,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perpetrates a fraud on any person in the Province,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perpetrates a fraud on any person anywhere in connection with the securities of a reporting issuer.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Keith Titterton of Canaccord and Craig Takeda of Scotia McLeod testified how undeclared short sales could be used to manipulate share prices, there is no evidence that the undeclared short sales disclosed in the evidence resulted I an artificial price for any shares. Nor is there evidence these undeclared short sales were undertaken to create a misleading appearance of trading activity in the market place generally, rather than in the eyes of the brokerages where they were ordered. In the absence of full submissions as to the nature of the offence created by s. 41.1(a) and for the reasons which follow, I decline to find these undeclared short sales contravened s. 41.1(a).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Golden Capital alleges that the "short kiting" described in paragraph 23 constituted gaming in stocks contrary to s. 383(1) of the Criminal Code. Golden Capital also alleges that the alleged conspirators, by false pretences, misrepresented their assets in order to obtain credit for the purchase of securities, which constitutes an offence under s. 362 of the 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principle, it is inappropriate for the court, in a civil action, to make a finding that any person has committed a crime. The burden of proof in a civil action is not proof beyond a reasonable doubt. Evidence in a civil action, including evidence obtained under the discovery process, may not be admissible in the prosecution of a criminal offence. Although some of the defendants were investigated by the police after a complaint by Golden Capital there is no evidence any defendants were charged with any offence as result of the police investigations. A British Columbia Securities Commission investigation continues.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defendant in a civil action is not obliged to participate in the proceedings and should not be vulnerable to an unanticipated judicial finding of criminal culpability if he or she does not participate. Some of the alleged conspirators did not participate in this action, indeed some were not named as defendants. For these reasons I decline to make a finding that any of the alleged conspirators contravened the Criminal Code or s. 41.1 of the Securities Act. In doing so, I express no opinion that the alleged conspirators are not guilty of any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My conclusion that some of the alleged conspirators ordered undeclared short sales in apparent contravention of s. 41(1) of the Securities Act is akin to finding that the defendant in a motor vehicle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exceeded the speed limit. It is a fact which may support an inference leading to a finding of civil liability. It is not a judicial determination that an offence has been committed pursuant to s. 138 of the Securities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Contravention of a regulatory or criminal prohibition does not in itself generally constitute a tort for which there may be recovery in a civil suit of any loss caused by such contravention. See Lonrho v. Shell [1981] 2 All ER 456 at 462-463. There is an exception where the penal sanction is imposed by statute for the benefit or protection of a particular class of individuals. In the case of s. 41(1) of the Securities Act such a class would consist of brokerages like Golden Capital exposed to the risk of trading without margin by persons ordering undeclared short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 finding that the some of the alleged conspirators traded in apparent contravention of s 41(1) of the Securities Act does not automatically lead to the conclusion Golden Capital is entitled to recover damages from the alleged conspirators. However, evidence that the alleged conspirators by undeclared short selling or misrepresentations caused Golden Capital's loss, may provide a basis for civil recovery even if it does not prove beyond a reasonable doubt they committed a crime or regulatory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is no evidence any of the actions of the alleged conspirators caused any loss to any of the brokerages with which they dealt other than Golden Capital. Counsel agreed there had been no losses at any of the other brokerages despite the numerous undeclared short sales in accounts at those brokerages ordered by Edward Rempel and Charles Wiebe at the direction of Michael Mitton.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extensive documentary evidence of trades in the accounts referred to in paragraph 4 and the evidence of the dealings some of the alleged conspirators including Barry Holmes, Michael Mitton, Edward Rempel, Charles Wiebe, Alfred Rempel and Alfred Kaminski had with personnel of the various brokerages where these trades occurred is circumstantial evidence that the Mitton trading scheme was carried on by these alleged conspirators in their dealings with Golden Capital. There is also direct evidence Michael Mitton, Barry Holmes and Alfred Rempel all benefited from use of the Mitton trading scheme in dealings with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ALLEGED CONSIRATORS' DEALINGS WITH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All of the trades which resulted in losses to Golden Capital were recorded in accounts for three companies, Valley Ridge, B.B. &amp; H.F. Investment Corporation Ltd. ("BB &amp; HF") and Lakeside Concrete Ltd. ("Lakeside").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Alfred Rempel testified he acquired Valley Ridge, of which he was the sole shareholder, to trade in securities using a trading scheme proposed by Michael Mitton. Barry Holmes, Alfred Rempel's long time friend and lawyer, incorporated Valley Ridge as a "shelf" company as subscriber and prepared the corporate documents to transfer its shares to Alfred Rempel and appoint first him and later Charles Wiebe as sole director. Valley Ridge had no assets apart from the securities it held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Alfred Rempel employed Charles Wiebe, who opened accounts for Valley Ridge with various brokerages, to order trades as directed by Michael Mitton. Charles Wiebe signed the account opening form for Valley Ridge's account at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Barry Holmes also incorporated BB &amp; HF and prepared the corporate documentation transferring the shares to his wife Cheryl Holmes, appointing Janet Mitton as sole director and replacing her as sole director with Alfred Kaminski.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Lakeside operated a concrete business. It was controlled by Edward Rempel. Golden Capital's losses sustained in Lakeside's account were repaid by Edward Rempel under the terms of the settlement agreement referred to at paragraph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February 7, 1996, Edward Rempel ordered a trade in an account with Golden Capital that he had opened in 1992 in the name of his son, Bruce Rempel. That trade was the short sale of 40,000 shares of Stratabound for $133,380. Edward Rempel testified that he ordered the sale at the direction of Michael Mitton. This was the first dealing Golden Capital had in 1996 with any of the alleged conspirators. Bendt "Ben" Oxholm was the registered representative or broker at Golden Capital who dealt with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40,000 Stratabound shares were not in Bruce Rempel's account when Edward Rempel placed the order to sell. There is no evidence Bruce Rempel then or ever owned 40,000 Stratabound shares. It was an undeclared short sale consistent with the Mitton trading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February 8, 1996, Barry Holmes placed an order to buy 40,000 Stratabound shares for $105,251 in an account North Shore Aggregates Ltd. ("North Shore"), a company he controlled, had with the Midland Walwyn brokerage. That day Barry Holmes faxed a DAP form he prepared and signed to Ben Oxholm to deliver the shares to Bruce Rempel's Golden Capital account against payment of $133,500. In order to do so, Randall Hurd, Barry Holmes' broker at Midland Walwyn, required him to open a separate DAP account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DAP form included the account number for Bruce Rempel's Golden Capital account, 16-158E-5. That number is noted in Michael Mitton's diary on February 8, 1996. Barry Holmes acknowledged on cross-examination that someone had to provide that number to him to include on the DAP form and that it may have been Michael Mitton.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day after the transaction settled, February 14, 1996, Midland Walwyn issued a cheque to North Shore, at Barry Holmes' request, for $27,979, the precise difference between the purchase price and the DAP price of the Stratabound shares. That day North Shore issued a cheque to Michael Mitton for $19,000 with the notation "profit split".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During the period February 14 to March 6, 1996, North Shore received a total of $63,833.94 from its Midland Walwyn accounts and issued five cheques totalling $36,925 to Michael Mitton, two with the notation "profit split" and one with the notation "profit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March 5, 1996, North Shore issued a cheque for $14,452.47 to Valley Ridge. That amount corresponds with the debit in the February 1996 statement for an account Valley Ridge had at Midland Walwyn. The notation on the cheque is "profits split on stocks". There is an invoice for the same amount dated March 5, 1996, from Valley Ridge to North Shore for "consultation fees in regards to future acquisitions". Alfred Rempel testified that to his knowledge Valley Ridge had conducted no consulting work for North Shore. There is no evidence any such work was done. Barry Holmes testified he shared a "windfall" from trading in the North Shore accounts with Alfred Rempel.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Barry Holmes testified that he bought the Stratabound shares on Edward Rempel's recommendation as a promising investment and "lent" then to Alfred Rempel. As I understand Barry Holmes' murky testimony on the Stratabound transaction, he claimed it resulted in the "windfall" he shared with Alfred Rempel.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brokerage accounts records and North Shore bank records demonstrate Barry Holmes' testimony about the Stratabound transaction is completely untenable, as was effectively acknowledged in the final written submission filed on behalf Barry Holmes and North 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If Barry Holmes purchased the Stratabound shares as a promising investment, he would not have sold them simultaneously, as he effectively did by DAP transfer to Bruce Rempel's Golden Capital account. Barry Holmes, who wrote and signed the DAP form, had to know the transfer was in no sense a "loan" because payment of $133,500 was a condition of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evidence from Alfred Rempel or his employee Charles Wiebe that they asked Barry Holmes to lend Valley Ridge the Stratabound shares, nor any evidence that Valley Ridge needed such a loan. There is no evidence that Barry Holmes had any reason to believe that Valley Ridge had an account with Golden Capital on February 8, 1996, when he delivered the shares by DAP to Bruce Rempel's account. Valley Ridge had no such account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North Shore's $27,979 profit from the Stratabound transaction had all been paid to Michael Mitton or to reduce Barry Holmes' shareholder's loan to North Shore before North Shore's March 5, 1996, cheque for $14,452.47 was issued to Valley Ridge. None of the $27,979 was shared with Alfred Rempel by transfer to Valley Ridge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final written submission filed on behalf of Barry Holmes and North Shore, it is asserted that the "windfall" shared with Valley Ridge occurred as a result of trading in the North Shore account in late February 1996 when Barry Holmes and Alfred Rempel were traveling in the Amazon and that the source of the "windfall" could not have been discerned by Barry Holmes from the February 1996 North Shore Midland Walwyn account statement because certain transactions did not settle until March 5,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March 5, 1996, two cheques from Midland Walwyn for $576.25 and $26,658.42, totalling $27,234.67, were deposited by Barry Holmes into the North Shore bank account. That day North Shore issued the cheque for $14,452.47 to Valley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$576.25 was profit generated from two DAP transactions. North Shore purchased 10,000 Namibian shares in its Midland Walwyn account for $60,930.15 which were transferred by DAP to the Valley Ridge Golden Capital account for $61,320 and purchased 30,000 Chapleau shares for $60,519.60 which were transferred by DAP in two tranches to the BB &amp; HF and Valley Ridge Golden Capital accounts for a total of $60,706. Barry Holmes signed DAP forms for these transactions dated February 20,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Of the $26,658.42 profit, $1,432.62 was generated from four DAP transactions similar to those just described, three of which produced small losses. The remaining $25,225.80 was generated in the North Shore account by purchases of 19,500 Namibian and 10,000 Indomin shares which correspond to short positions in alleged conspirators' accounts. Barry Holmes signed DAP forms to transfer these shares to Valley Ridge, however the equivalent short positions were in the BB &amp; HF and Bruce Rempel Golden Capital accounts and an Edward Rempel account at Pacific International, another brokerage.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Instead of being transferred by DAP to these three accounts at Golden Capital, the Namibian and Indomin shares, which increased in price, and were sold from North Shore's Midland Walwyn accounts generating the $25,225.80 profit. I infer from the signed but unused DAP forms these shares were bought to cover the undeclared short sales, but were prudently sold from the North Shore account rather than transferred by DAP when they rose rather fell in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copies of the North Shore cheques in evidence were from North Shore's bank. Barry Holmes testified that he produced the original cheques to his then solicitors in 1996 and that they are now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When copies of many of these cheques and many DAP forms were put to him on cross-examination, Barry Holmes was equivocal as to whether the signatures were his, often stating they "appeared to be". He also testified he could not be sure the "profit split" notations on the cheques were written by him, although he acknowledged he did North Shore's banking, wrote its cheques and examined them when returned by the bank. There is no evidence the signatures or notations were forgeries. I infer from Barry Holmes testimony that he was attempting to cast doubt on his involvement in these transactions. I find that DAP forms signed by Barry Holmes transferred shares from North Shore's Midland Walwyn account to cover undeclared short sales on behalf of BB &amp; HF and Valley Ridge at Golden Capital. Ben Oxholm's uncontradicted testimony was that these undeclared short sales were ordered by Michael Mitton. I find Michael Mitton and Barry Holmes acted in concert. Michael Mitton ordered these undeclared short sales and Barry Holmes covered them with purchases in the North Shore Midland Walwyn account by DAP to the BB &amp; HF and Valley Ridge Golden Capital accounts pursuant to the Mitton trading scheme. Barry Holmes, through North Shore, paid part of the profits from these transactions to Michael Mitton and to Valley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noted above, Valley Ridge's Midland Walwyn February 1996 month-end deficit of $14,452.47 was paid March 5, 1996, from North Shore's share trading profits by cheque signed by Barry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reject Barry Holmes testimony that this payment was half of a "windfall" somehow generated from the "loan" of Stratabound shares to Valley Ridge. I also reject the alternative explanation in the final written submission of Barry Holmes and North Shore that the payment was mistakenly so characterized by Barry Holmes in his testimony because the North Shore Midland Walwyn February 1996 account statement was too confusing to be understood by Barry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If Barry Holmes did not understand how the profit was generated in the North Shore account, there was no reason to share the unexpected "windfall" with Alfred Rempel by paying Valley Ridge's February account deficit at Midland Walwyn. No defendant gave any satisfactory explanation for the payment. The only rational or plausible explanation for the $14,452.47 cheque is that it was part of an agreement among Barry Holmes, Michael Mitton and Alfred Rempel to "profits (sic) split on stocks" as Barry Holmes noted on the $14,452.47 cheque, so as to jointly absorb losses using profits generated by trading in concert using the Mitton trading scheme. I reject Barry Holmes' testimony that it was a gratuitous sharing of a "windfall" with Alfred Rempel.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Alfred Rempel, now in his seventies, testified that he recalled no details of the transactions in 1996. He is a self-made man who accumulated considerable property and was retired in 1996, leaving the day to day running of his business interests to others, primarily Charles Wiebe.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Alfred Rempel authorized and paid Charles Wiebe $3,000 a month to trade in securities in Valley Ridge's accounts under Michael Mitton's direction and admitted he made no effort to supervise either of them in respect of that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Valley Ridge's account at Scotia McLeod generated $32,402.25 profit using the Mitton trading scheme before Scotia McLeod bought in overdue short positions and declined further trading following the meeting which led to Barry Holmes' fax of January 16, 1996, quoted at paragraph 25. On January 19, 1996, Alfred Rempel endorsed Scotia McLeod's $32,402.25 cheque to "O. Barry Holmes" law firm in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January 22, 1996, Alfred Rempel authorized payment of $21,000 of these funds to Michael Mitton and $4,300 to Valley Ridge. Another $4,500 was paid to Michael Mitton through Valley Ridge. Of the balance of the $32,402.25, some $2,602.25, was ultimately paid to the MBAH law firm. On instructions from Charles Wiebe, MBAH's accounts rendered in May 1996 of $1,252.95 to Valley Ridge and $906.81 to BB &amp; HF, in respect of litigation files arising from Golden Capital's claims for the trading losses in this case, were paid from the $2,602.25.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Cheryl Holmes was the sole shareholder of BB &amp; HF. Barry Holmes testified that Michael Mitton was the beneficial owner of BB &amp; HF. Janet Mitton was the sole director of BB &amp; HF until replaced by Alfred Kaminski on February 13, 1996. There was no reason for Valley Ridge to pay BB &amp; HF's legal bill if the two companies and their owners were at arms length. I find Alfred Rempel and Michael Mitton were acting in concert in the trading conducted on behalf of BB &amp; HF and Valley Ridge by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summary, following the money through documentary evidence clearly shows that Valley Ridge, controlled by Alfred Rempel, North Shore controlled by Barry Holmes, and BB &amp; HF, ostensibly controlled by Michael Mitton and Michael Mitton personally, all profited from undeclared short sales of shares on behalf of BB &amp; HF and Valley Ridge through Golden Capital ordered by Michael Mitton, some of which were covered by DAP transactions from North Shore ordered by Barry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Alfred Rempel admitted he used Valley Ridge to trade using the Mitton trading scheme. Although he testified he was unaware that the trades through Golden Capital were being made by Michael Mitton when they were made, there is no evidence Alfred Rempel ever repudiated these trades. Indeed Charles Wiebe on behalf of Valley Ridge signed an "Acknowledgement of Correctness of Account" form at the request of Golden Capital on February 29, 1996, reflecting the debit position in its Golden Capital account. Charles Wiebe later instructed Valley Ridge's solicitors to invite Golden Capital to take default judgment against Valley Ridge. In short, Valley Ridge's sole employee, Charles Wiebe, did not repudiate but rather acknowledged the correctness of, and the company's responsibility for, the debit generated by trades ordered by Michael Mitton in the Valley Ridge account at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certain Golden Capital documents, including the account opening form signed by Charles Wiebe, the correct corporate name for Valley Ridge is not used. I find this is an inconsequential clerical or typographical error. All persons involved in the dealings in question knew or assumed they were dealing with Valley Ridge, the company owned by Alfred Rempel.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Alfred Rempel testified he did not realize Valley Ridge had an account with Golden Capital in February 1996 and that he transferred the directorship of Valley Ridge to Charles Wiebe on February 22, 1996, because he did not wish to continue trading and so that Charles Wiebe could use the company to make RRSP investments on his own behalf. This makes no sense. Charles Wiebe had accounts in his own name at other brokerages. Alfred Rempel remained the sole shareholder of Valley Ridge and had signing authority over its bank account, so any profit in the Valley Ridge account would remain under his, not Charles Wiebe's,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Charles Wiebe signed the account opening form for a Valley Ridge account at Golden Capital as "president" on February 22, 1996, the day before Barry Holmes and Alfred Rempel left on a trip to the Amazon.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Barry Holmes prepared the documents to transfer the Valley Ridge directorship to Charles Wiebe. I infer he did so on Alfred Rempel's instructions so that Charles Wiebe could sign the account opening form and carry on the business of Valley Ridge in Alfred Rempel's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Alfred Rempel had substantial assets. There is no evidence Charles Wiebe had any. He went bankrupt during this proceeding. Yet Charles Wiebe acted as guarantor of Valley Ridge accounts opened with brokerages after Scotia McLeod shut down Valley Ridge's unguaranteed account at that brokerage on January 15, 1996, for failure to settle short sales promptly. I find Alfred Rempel used Valley Ridge and Charles Wiebe to isolate himself from personal liability arising from trading under the Mitton trading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From the fact that Alfred Rempel paid Michael Mitton a substantial portion of the profit generated in the Valley Ridge Scotia McLeod account I infer that he approved of and paid handsomely for Michael Mitton's trading on behalf of Valley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From the facts that Alfred Rempel paid Charles Wiebe $3,000 per month and transferred the Valley Ridge directorship to Charles Wiebe, I infer he trusted him with the management of Valley Ridge's affairs. I find that Charles Wiebe and Michael Mitton were Alfred Rempel's agents with actual authority to open a Valley Ridge account at Golden Capital, as Charles Wiebe did, order trades in the account, as Michael Mitton did, and acknowledge the correctness of the Valley Ridge account debit and Valley Ridge's liability to Golden Capital, as Charles Wiebe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that Barry Holmes, Michael Mitton, Charles Wiebe, and Alfred Rempel, using the later two men as his agents through Valley Ridge, acted in concert to trade in shares using the Mitton trading scheme in dealings with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MISREPRESENTATION OF MICHAEL MITTON'S TRUE IDENTITY TO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When Staff Sergeant Bishop of the RCMP interviewed Charles Wiebe about Golden Capital's complaint, Charles Wiebe told him that he, not Michael Mitton, had ordered all the trades in the Valley Ridge account at Golden Capital. That was a lie. I infer it was intended to cover up Michael Mitton's involvement in the Valley Ridge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Barry Holmes prepared the documentation to change the sole director of BB &amp; HF from Janet Mitton to Alfred Kaminski on February 13, 1996. Although Cheryl Holmes was the sole shareholder of BB &amp; HF, no shareholder's resolution was produced. Instead there is a director's resolution whereby Alfred Kaminski purported to appoint himself as sole director. This irregular procedure was not provided for in the Company Act, R.S.B.C. 1979, c. 59, then in effect. Section 155(3) of that Act provided that where there are no directors, as was the case on Janet Mitton's resignation, the members holding a majority of shares, that is Cheryl Holmes for BB &amp; HF, may designate one director in writing. Cheryl Holmes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Golden Capital's counsel submits this irregularity indicates it was a hasty change to ensure that the Mitton name did not appear on the account opening form, where it might alert Golden Capital to the fact it was dealing with persons under a BCSC trading ban. I accept that submission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According to Barry Holmes' testimony, the Mittons were beneficial owners of BB &amp; HF and he installed Cheryl Holmes as sole shareholder so she and he, who had lent money to Michael Mitton to pursue BB &amp; HF's business, could take control of the company, if need be, to "secure" their indebtedness by changing the director and ordering the company's affairs to suit the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Ben Oxholm left a meeting on February 12, 1996, attended by Michael Mitton, Barry Holmes, Edward Rempel and Alfred Rempel, with the impression that BB &amp; HF would open an account with Golden Capital and that Barry Holmes was president of the company and the appropriate person to sign account opening documents. As a result, within a day or so, Ben Oxholm partially completed and signed an account opening or "know your client" form for BB &amp; HF designating "O.B. Holmes -President" as signatory.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Ben Oxholm must have got the information he put on the form from Barry Holmes or Michael Mitton because they were the only persons at the meeting with direct interests in BB &amp; HF.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February 14, 1996, Ben Oxholm sent the partly completed form together with a similar form for Valley Ridge to Barry Holmes. Barry Holmes testified he received the envelope but only "peeked" into it and did not examine the forms. He testified he was thus able to ascertain they were account opening forms and that he gave them to a secretary with instructions to provide the necessary corporate records information to accompany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reject this testimony. There was no need to examine the forms to see "O. B. Holmes" had been designated signatory as president of BB &amp; HF. That is evident from even the cursory glance necessary to determine if the applicant companies were Barry Holmes' clients with corporate records at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Further, there is no evidence that corporate records were ever copied and sent with a covering letter from MBAH to Golden Capital, as MBAH partner Robert Brown testified was firm practice. Both Charles Wiebe and Alfred Kaminski, who signed the forms on behalf of BB &amp; HF and Valley Ridge respectively, testified they got them from Michael Mitton. In short, there is no evidence anyone at MBAH other than Barry Holmes ever dealt with the documents after he peeked into the envelope. I infer Barry Holmes must have given them to Michael Mitton because there is no evidence Michael Mitton had any other access to documents received by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February 13, 1996, Barry Holmes prepared the documentation to appoint Alfred Kaminski sole director of BB &amp; HF. On February 22, 1996 Michael Mitton sent Alfred Kaminski to sign the account opening form in the presence of Ben Oxholm.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Alfred Kaminski acted as a dogsbody for Michael Mitton. On February 8, 1996, a brokerage account was opened in Alfred Kaminski's name at Canaccord which permitted Michael Mitton to trade. About $1 million in profit was made in this account, primarily in Claytech shares Alfred Kaminski traded at Michael Mitton's direction. Alfred Kaminski, did not profit from his involvement in this trading, which he understood was raising money for a "charity". That was the Share Foundation, run by Michael Mitton, for which Alfred Kaminski was designated "Chairman" but as he testified, was really "office boy in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Michael Mitton later defrauded Alfred Kaminski out of $40,000. Instead of receiving a $60,000 a year income promised him by Michael Mitton, for his trouble, Alfred Kaminski lost his home and went bankrupt. With no disrespect to Alfred Kaminski, his key qualification as sole director of BB &amp; HF, as it was as a Canaccord brokerage account holder on behalf of Michael Mitton, was that his name was not Mitton. He was a retired equipment partsman who supplemented his meagre pension by delivering pizzas and fliers and running errands for Michael Mitton.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Barry Holmes appointed Cheryl Holmes sole BB &amp; HF shareholder to secure their investment in BB &amp; HF. Cheryl Holmes did not designate Alfred Kaminski to replace Janet Mitton. Barry Holmes presumably satisfied himself that Alfred Kaminski was qualified to act in the Holmes' best interests in the capacity of sole director of BB &amp; HF when he prepared the corporate documents purporting to appoint Alfred Kaminski. I infer from the fact that Barry Holmes documented the purported appointment of Alfred Kaminski as BB &amp; HF's sole director that Barry Holmes participated in the opening of the BB &amp; HF account at Golden Capital by Alfred Kaminski as "president"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find that Michael Mitton and Barry Holmes acted in concert to install Alfred Kaminski as sole director of BB &amp; HF and have him sign the account opening form. I find they did so to conceal from Golden Capital the fact that the Mittons were beneficial owners of BB &amp; HF. Had Janet Mitton continued as sole director, only she could have signed the account opening form. Only she would have had authority to direct BB &amp; HF trading in securities in the account to be opened, contrary to the BCSC trading 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Also, under the terms of the BCSC trading ban Janet Mitton was precluded from acting as director of an "issuer", which by definition under the Securities Act included BB &amp; HF. There was a risk that even if Golden Capital did not recognize the Mitton name, if it had a policy of checking to see if directors of BC companies like BB &amp; HF which applied for accounts were under BCSC trading bans, it might discover Janet and Michael Mitton's BCSC trading bans.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To hide Michael Mitton's identity as a person involved in the affairs of BB &amp; HF from Golden Capital it was imperative Janet Mitton be replaced as sole director. It was so imperative as to warrant Barry Holmes using a procedure not provided for in the Company Act to appoint Alfred Kaminski, who had no experience in securities trading, as the sole director and therefore the only person authorized to direct trades in the account to be opened for BB &amp; HF.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was not until February 26, 1996, Alfred Kaminski, on behalf of BB &amp; HF, delivered to Golden Capital an "Appointment of Attorney for Account" form dated February 26, 1996. The attorney's name is scrawled in poorly legible hand writing which appears to read "Mike Matt" and bears an illegible "attorney signature". Alfred Kaminski got the form from Michael Mitton.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Counsel for Alfred Rempel argued Edward Rempel introduced Michael Mitton to Ben Oxholm by the name of "Mitton" when they first met at Edward Rempel's residence on February 12, 1996. This submission is based on answers Ben Oxholm gave on examination for discovery and confirmed on cross-examination. There is no evidence that Alfred Rempel or Barry Holmes overheard this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Counsel for Golden Capital submitted the answer on cross-examination was a transcription error and pointed out that on re-examination Ben Oxholm stated Edward Rempel used the name "Mitt".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Edward Rempel testified that he did not use Michael Mitton's last name when introducing him to Ben Oxholm, because of Michael Mitton's BCSC trading ban, as was Edward Rempel's practice when talking to brokers about Michael Mitton.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If Edward Rempel did use the name "Mitton" on this occasion, it was a lapse which was inconsistent with the pattern of the alleged conspirators misrepresenting Michael Mitton's true identity in dealings with brokers, which is abundantly clear from the evidence of the brokers and some of the alleged conspirators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Since Ben Oxholm had never heard of Michael Mitton prior to February 12, 1996, and knew nothing of his criminal record, reputation or BCSC trading ban, use of the name "Mitton" would not have alerted him to be wary.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Ben Oxholm testified that when he spoke to "Mike" by telephone the next day and asked him to clarify his last name he was told it was "Matt". I find this misrepresentation was made to Ben Oxholm by Michael Mitton.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It is consistent with replacing Janet Mitton with Alfred Kaminski as sole director of BB &amp; HF the same day, February 13, 1996. Both actions hid the Mitton name from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Edward Rempel testified that when he and Charles Wiebe drove to a meeting with Golden Capital personnel on February 29, 1996, he asked what should be said if they were asked to identify "Mike". According to Edward Rempel, Charles Wiebe said "Well, we'll say that he is Mike Matt" and he did so when someone from Golden Capital asked the question. Peter Chu, who attended the meeting for Golden Capital, testified both Edward Rempel and Charles Wiebe referred to "Mike Matt" and that Charles Wiebe explained that "Mike Matt" was not available and was doing all he can to get shares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find that the defendants Michael Mitton, Barry Holmes, Charles Wiebe and Alfred Kaminski all did things to ensure that Michael Mitton's identity and the fact of his BCSC trading ban did not come to the attention of Golden Capital, in order that Michael Mitton could order trades with Golden Capital contrary to the BCSC trading ban. Barry Holmes purported to document the appointment of Alfred Kaminski as sole director of BB &amp; HF in place of Janet Mitton. The other three all made express misrepresentations of Michael Mitton's identity as Michael or Mike "Matt".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Some defendants' counsel argued that since Ben Oxholm knew nothing of Michael Mitton or his BCSC trading ban, Ben Oxholm would have dealt with Michael Mitton, even if he knew his name, so the misrepresentation of his identity did not result in Ben Oxholm dealing with him and therefore did not result in any losses to Golden Capital which would not have occurred absent the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reject that submission. The four defendants just mentioned, as well as Alfred and Edward Rempel all knew of the BCSC trading ban. If they didn't know the precise scope of the BCSC trading ban, they must have known or assumed it precluded Michael Mitton from doing the very trading he undertook at Golden Capital in concert with Barry Holmes (through North Shore), Alfred Rempel (through Valley Ridge) and Edward Rempel (through the Bruce Rempel and the Lakeside accounts). Why else would they misrepresent his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was no reason to misrepresent Michael Mitton's identity to Golden Capital and other brokerages other than to permit him to trade contrary to the BCSC trading ban, that is unlawfully, without arousing the suspicions of the various brokerages that they were conducting trades ordered directly or indirectly by someone prohibited from ordering those trades by the BCSC trading 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effect, the misrepresentation was that the brokerages, including Golden Capital, were not accepting trade orders from Michael Mitton, when in fact they were. In the case of Golden Capital, orders were made directly by Michael Mitton and by Edward Rempel, who also led Ben Oxholm to believe "Mike" was ordering trades or arranging to fill short positions on behalf of a group of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These orders included undeclared short selling on behalf of BB &amp; HF and Valley Ridge, which resulted in profits shared among Michael Mitton, Valley Ridge, North Shore and BB &amp; HF. The defendants Michael Mitton, Barry Holmes and Alfred Rempel all profited from these orders and related trading as described in paragraphs 47-72.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Barry Holmes placed DAP orders in the North Shore Midland Walwyn accounts to cover the undeclared short sales ordered on behalf of BB &amp; HF and Valley Ridge by Michael Mitton at Golden Capital. Michael Mitton was Alfred Rempel's agent in placing orders on behalf of Valley Ridge, even if Alfred Rempel did not know Michael Mitton was placing those trades, as indicated in paragraphs 75-82.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brief summary, the defendants Michael Mitton, Barry Holmes, Charles Wiebe and Alfred Kaminski all misrepresented the identity of Michael Mitton to enable him to trade with Golden Capital contrary to the BCSC trading ban, that is, to trade unlawfully.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well as being unlawful trading because it was conducted by Michael Mitton, the trading through Golden Capital included numerous undeclared short sales in apparent contravention of s. 41(1) of the Securities Act. Apart from any breach of statute, this was also unlawful since it amounted to a misrepresentation that Golden Capital had no need to require margin to cover the undeclared short sales. Counsel for Golden Capital argued it was that misrepresentation which ultimately resulted in Golden Capital's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Michael Mitton's failure to provide margin to cover share and bond trades as he promised Ben Oxholm he would resulted in Golden Capital's losses. It is Golden Capital's position that Ben Oxholm's acceptance of this promise resulted from a series of misrepresentations made by the alleged conspirators.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position of the defendants Barry Holmes, North Shore and Alfred Rempel is that this is a "bad credit" case and that failure by Ben Oxholm and other personnel of Golden Capital to follow their own practice manual and policies resulted in the losses. In short, they argue that Ben Oxholm and Golden Capital were authors of their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Implicit in this characterization of the case as a "bad credit" case is an acknowledgement that Golden Capital effectively extended credit to BB &amp; HF and Valley Ridge to cover the trading which resulted in losses, by proceeding with trades requiring margin without that margin, on the assumption that BB &amp; HF and Valley Ridge and the people behind them, could and would ultimately provide that margin. The key question is how were Ben Oxholm, and through him Golden Capital, induced to extend credit to these two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MISPRESENTATIONS TO BEN OXHOLM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following is a brief summary of how Golden Capital sustained the losses it seeks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Ben Oxholm testified he was led to believe that Michael Mitton (whose true identity he did not then know) was acting as trader for a group of 17 or 18 substantial investors, including Edward Rempel, who Ben Oxholm knew by reputation was a millionaire Abbotsford businessman and that the group was interested in trading in bonds, Ben Oxholm's specialty. Ben Oxholm further testified that he was led to believe that putting up the necessary margin for trades would be "no problem" for the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Ben Oxholm based these beliefs in part on what he was told at a meeting he had with Edward Rempel, Alfred Rempel, Michael Mitton and Barry Holmes at Edward Rempel's impressive Abbotsford condominium on February 12, 1996. There was some controversy as to the date of this meeting. It took place late in the afternoon. Ben Oxholm did not return to his office that day after the meeting. The BB &amp; HF and Valley Ridge account opening forms were date stamped at Golden Capital on February 13, 1996, by a machine which could not be back dated. It follows and I find that this meeting must have occurred the day before, February 12,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Counsel for Barry Holmes suggested that Golden Capital's losses might have been incurred through some scheme concocted by Ben Oxholm and Michael Mitton which did not involve other alleged conspirators. There is no evidence to support this theory and it was not put to Ben Oxholm on cross-examination. With respect, it makes no sense. Ben Oxholm was personally responsible for any losses sustained through trading he conducted for Golden Capital. I have no doubt he would not have assumed the risk of losses on the trades he conducted on behalf of BB &amp; HF and Valley Ridge, which he has partially repaid to Golden Capital in the amount of about $145,000, unless he had the bona fide belief he was dealing with, as he put it, "a group of gentlemen I thought was going to be honourable".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Ben Oxholm was persuaded by Michael Mitton to buy substantial positions in Canada bonds before account opening forms had been completed for Lakeside, BB &amp; HF and Valley Ridge. Michael Mitton persuaded Ben Oxholm that margin would be provided by short sales in those accounts and began to order undeclared short sales, which gave the appearance of credits in the accounts which could stand as margin. The undeclared short sales ultimately amounted to over $1 million, of which over $310,000 were "covered" by DAP from North Shore's Midland Walwyn account by Barry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bond purchases and short sales of shares all took place within six days between February 13 and 19, 1996, which included a weekend. During that short time, the price of the bonds took an unanticipated precipitous decline. Golden Capital was required to pay for them on their respective settlement dates at the higher trade date purchase prices. What briefly appeared to be credits in the accounts, which could have stood as margin to protect Golden Capital on the bond purchases, were not in fact credits because the undeclared short sales were "covered" by DAP. That meant the shares necessary to cover the undeclared short sales had to be paid for by Golden Capital, leaving no credits to act as margin on the bond 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For example, DAP of shares from the North Shore Midland Walwyn account to the BB &amp; HF and Valley Ridge Golden Capital accounts nullified apparent credits in those accounts amounting to about $310,000. Had all the short sales in these two accounts not been undeclared short sales covered by DAP, but conventional short sales, shares would have been delivered by IMM and no payment would have been required so the share sales proceeds would have stood as credit in the accounts and, while not equivalent to the normal 15% margin on the bond purchases, would have been sufficient to cover all of the losses ultimately sustained by Golden Capital on the bonds.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None of these losses would have occurred had Ben Oxholm acted more cautiously and refused to purchase the bonds until all the required margin to cover them was verifiably in the accounts. There is no doubt that Ben Oxholm acted contrary to the Golden Capital procedures manual when he traded before obtaining completed account opening documents and personal guarantees.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was a theme of the defendants' cross-examination of witnesses who dealt with Michael Mitton, who himself did not testify, that he was a confidence man who had a way of persuading people to do things they would not otherwise do. All those witnesses accepted that proposition. I accept it too, based on their testimony and the whole of the evidence about Michael Mitton's reputation and character which discloses he was a consummate liar and fraudster, a rogue of the first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Clearly, Michael Mitton was able to persuade Ben Oxholm to do something it was not in his best interest to do. That was to trade without first ensuring proper margin was in place, thereby exposing himself personally as well as Golden Capital to the risk of the losses which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As set out in paragraphs 109-114, the defendants Barry Holmes and Alfred Rempel (using Valley Ridge as a vehicle and Charles Wiebe and Michael Mitton as agents), played parts in putting Michael Mitton in a position to persuade Ben Oxholm to do what he would not otherwise have done, namely handle undeclared short sales of shares without adequate margin and buy bonds without adequate margin. Michael Mitton did so by undeclared short selling which, for a brief period between trade and settlement dates made it appear margin was building in the BB &amp; HF and Valley Ridge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All these defendants knew Michael Mitton was under a BCSC trading ban. All knew he had a criminal record. They misrepresented his identity to Ben Oxholm in order that Michael Mitton could implement the Mitton trading scheme and permit Alfred Rempel (through Valley Ridge) and Barry Holmes (through North Shore) to "trade for free" at Golden Capital through the BB &amp; HF and Valley Ridge undeclared short sales covered by DAP from North Shore. Michael Mitton misrepresented to Ben Oxholm that margin for the bond purchases in the BB &amp; HF and Lakeside accounts would come from these short sales of shares in the BB &amp; HF and Valley Ridge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However, for example, while hundreds of thousands of dollars of margin appeared to be accumulating in the BB &amp; HF account to cover the bond purchases, through DAP it was being transferred to the North Shore Midland Walwyn account which accumulated long positions of equivalent value, without Barry Holmes putting any money into that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With this appearance of margin building in the BB &amp; HF and Valley Ridge accounts, Ben Oxholm purchased the bonds which dropped in price and led to most of the losses sustained in the BB &amp; HF and Valley Ridge accounts. The following details the evidence relating to the bond purchases and shows how this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TRADES RESULTING IN GOLDEN CAPITAL'S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December 1992, Ben Oxholm opened an account at Golden Capital for Bruce Rempel at the request of his father Edward Rempel. He did not hear again from Edward Rempel until January 31, 1996, when Edward Rempel called and told Ben Oxholm he represented a group of 17 or 18 Abbotsford people who did a lot of investing as a group and asked if he would be interested in having some of their business. Ben Oxholm testified that when he agreed, Edward Rempel told him they had a "trader", a Michael "Mitt" or "Matt", who would call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Ben Oxholm testified that a day or so later he got a call from someone who referred to the call from Edward Rempel and said "I'm their trader Michael Mitt" and advised he would be doing about $20,000 trading a day. Ben Oxholm offered to reduce the usual 2 1/2% commission for share trades to 1% for that volume.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"trader", I find, was Michael Mitton. For consistency, I will refer to him by that name in relating his dealings with Ben Oxholm, unless reference to the "Mitt" or "Matt" alias by which Ben Oxholm knew him is pertinent to some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Michael Mitton asked Ben Oxholm if he did bond trading. Ben Oxholm told him that was his specialty and Michael Mitton asked him what he would charge to "trade" in bonds. Ben Oxholm told Michael Mitton he was interested in increasing his bond volume so he would charge no commission on any bond trades which resulted in losses but asked for 10% of any profit on trades as his commission and they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Ben Oxholm characterized a person "trading" in bonds as one whose time horizon was five minutes and goal was "one basis point, which is one one-hundredth of a point" as distinguished from an "investor" who would hold a bond for "at least one year". He understood Michael Mitton wanted to trade in bonds, not invest.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Ben Oxholm testified that either that same day or the next "Mitt" or "Matt" called him again and asked to sell some stock to which he replied "You can't sell any stock. You don't have an account with us." Michael Mitton referred to the Bruce Rempel account. When told he couldn't trade using this account, he told Ben Oxholm to call Edward Rempel, which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Ben Oxholm testified that Edward Rempel told him the trader wanted to use the Bruce Rempel account to which Edward Rempel replied "That's been approved". Ben Oxholm said he would require Bruce Rempel's approval and put in a call to him at Edward Rempel's request. Ben Oxholm did not contact Bruce Rempel, but nevertheless put through the trade with Edward Rempel's approval. Ben Oxholm testified he later contacted Bruce Rempel who confirmed the trade.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trade was the February 7, 1996, undeclared short sale of 40,000 shares of Stratabound referred to at paragraphs 47-58. Ben Oxholm testified that when he asked how the stock would be delivered to Golden Capital he was told by Michael Mitton "We will IMM it to you", referring to inter member movement. Ben Oxholm testified he understood this meant there would be "good delivery" of the shares "paid for" into the Golden Capital Bruce Rempel account. I interpret this to mean delivery of unencumbered shares. With this assurance Ben Oxholm sold the Stratabound shares for a credit in the Bruce Rempel account of $133,380.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When the 40,000 Stratabound shares were transferred by DAP from the North Shore Midland Walwyn account to the Bruce Rempel Golden Capital account on February 14, 1996, for $133,500 this created a debit in that account of $123. Ben Oxholm testified that he asked Michael Mitton what he was doing transferring the shares by DAP not IMM and was told it was a mistake and "it won't happen next time". Michael Mitton assured Ben Oxholm he understood the difference between IMM and DAP.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find the DAP transfer was not a mistake but was consistent with the Mitton trading scheme of "trading for free". The $133,500 DAP proceeds were required to cover the February 8, 1996, purchase of 40,000 Stratabound shares in the North Shore Midland Walwyn account by Barry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Ben Oxholm testified that Michael Mitton called him on Friday February 9, 1996, asking to buy some bonds, to which he responded he could not do so because "you don't have an account". Ben Oxholm testified that the same day he set up a meeting with Edward Rempel for February 12, 1996, to discuss bond trading. Michael Mitton called him again and asked if there was any way he could buy a bond.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Ben Oxholm testified that he thought the bond market might improve that day and decided to purchase a bond in Golden Capital's "V inventory" account in order to have "product" to sell to his prospective new clients, the group of 17 or 18 persons Edward Rempel told him about, if they opened an account following the February 12, 1996, meeting. Ben Oxholm testified he bought bonds in the V inventory account "all the time" and had on other occasions acquired up to $750,000 of bond "product" in the V inventory account for which he would then "look for a buyer".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Ben Oxholm testified he thought "...I can show a little flexibility and put this in my inventory. And if they want to buy it they can have the profit from it." Michael Mitton asked Ben Oxholm what bond he would suggest and he suggested a 7 1/2% Canada bond maturing March 1, 2001, for $104.99 (per $100 face value) telling Michael Mitton "...we'll work all this out when I meet everyone in Abbotsford on Monday."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On February 9, 1996, at around 12:45 Ben Oxholm bought a $10 million face value Canada bond for $104.99 into Golden Capital's "V inventory account" as a principal, that is, for resale. At 13:06 he date stamped the trade ticket. It was the biggest bond he had ever bought. The biggest he had bought before was $6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Although the bond series had been issued, it was to be "re-auctioned" on February 14, 1996, meaning that the Bank of Canada was going to offer more of the same series, that is, the same rate and maturity date, for auction on that date. Ben Oxholm knew that meant there was already a "gray market" in the as yet un-issued bonds in the series and the Bank of Canada would not require Levesque Beaubien, the brokerage from which he bought the bond, nor by extension Golden Capital, to settle the transaction by paying for the bond until March 1, 1996. Ben Oxholm testified that this anomalous two week settlement period for Canada bonds has since been eliminated and they now settle in three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Ben Oxholm testified that around 11:00 on Monday, February 12, 1996, Michael Mitton called him and asked what the bond price was. When he reported it was at $105.10, which meant a profit of $11,000, Michael Mitton ordered it sold. Ben Oxholm sold it back to Levesque Beaubien and the $11,000 profit went into Golden Capital's V inventory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Ben Oxholm testified that since there was no client account in which the transaction could be recorded, the mechanism he envisioned for transferring the profit was for him to issue a sell ticket referring to the account he anticipated would be set up that afternoon at his meeting with "the Rempel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At the meeting of February 12, 1996, Ben Oxholm was given the names of Lakeside, BB &amp; HF and Valley Ridge as prospective accounts and wrote them on account opening forms. On February 13, 1996, Ben Oxholm obtained account numbers for these three accounts before the account opening forms were completed and he executed both buy and sell tickets at 12:55 to purchase the bond in the Lakeside account at $104.99 and sell it at $105.10, thereby putting the $11,000 profit into Lakeside's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next day, Ben Oxholm realized this did not leave his agreed 10% share or commission of $1,000 in the V inventory account. To rectify this, after consulting Golden Capital's "back office" or accounting department, he cancelled the $105.10 sell ticket at 13:38 and replaced it with one for $105.09 at 13:39 on February 14,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Ben Oxholm testified in chief that he met Edward Rempel, Michael Mitton, Barry Holmes and Alfred Rempel at Edward Rempel's Abbotsford residence on February 12, 1996. All the evidence indicates the meeting lasted from about 16:30 to 17:30. Edward Rempel showed him around. Ben Oxholm was impressed. Ben Oxholm testified that Edward Rempel introduced him to "Michael Mitt". As I noted at paragraphs 101-106 there is conflicting evidence over how Michael Mitton was introduced. Alfred Rempel was not introduced to Ben Oxholm, who somehow learned his identity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Ben Oxholm testified that he said that a bond designated "for you" had been bought Friday and sold that morning for an $11,000 profit and suggested that large bond positions should not be carried over the weekend, whereupon the man he later learned was Alfred Rempel said "You can say that again. I couldn't sleep all weekend just thinking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Under cross-examination by Alfred Rempel's counsel, Ben Oxholm was adamant it was Alfred Rempel who made this statement. Ben Oxholm's testimony is consistent with a statement he gave Staff Sergeant Bud Bishop of the RCMP on March 12,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Alfred Rempel testified in chief when asked if he had remarked that he could not sleep over the weekend: "I never [no word recorded in transcript] any and I never sold any. So I couldn't have said that." followed by the leading question "You didn't say that?" and answer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On cross-exam Alfred Rempel initially testified "I haven't got a clue" about who said what at the meeting, then that it was not possible he heard Ben Oxholm comment that it was unwise to hold a bond over the weekend and later that he didn't know if Ben Oxholm had said that. Yet he maintained he said "no such thing" about not sleeping, stating he "never said that" "because I never bought a bond". If, as Alfred Rempel professed he had no recollection of Ben Oxholm making the comment, he can have no recollection of not responding to it. Instead he has rationalized or sought to explain why he would not have responded in the way Ben Oxholm testified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Barry Holmes testified he did not hear Alfred Rempel make this comment but also said he left the meeting to take cell phone calls, so his evidence is of no assistance in establishing if the statement was made by Alfred Rempel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Edward Rempel, cross-examined by counsel for Alfred Rempel, testified that he could not recall himself making the comment attributed to Alfred Rempel by Ben Oxholm and did not accept the suggestion he might have made it, testifying he couldn't "say one way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Ben Oxholm's testimony that he recommended against holding large bond positions over the weekend is consistent with the discussion of his bond trading experience, which other witnesses agreed was the focus of the meeting. The fact he related Alfred Rempel's reply to Staff Sergeant Bishop soon after the meeting lends credibility to Ben Oxholm's testimony on this point. Since Edward Rempel was the person who hosted the meeting and Ben Oxholm knew him but not Alfred Rempel at the time, there is no reason he would have mistakenly attributed the comment to Alfred Rempel when interviewed by Staff Sergeant Bishop, if Edward Rempel had made the comment. Alfred Rempel, from his recollection at the trial, was unable to deny he made the comment and instead tried to explain why he would not have made the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accept Ben Oxholm's evidence that Alfred Rempel commented that he could not sleep over the weekend worrying about the bond. I infer that Alfred Rempel knew about Michael Mitton's bond purchase and regarded himself as a member of a group which had an interest in the bond. This is consistent with being part of a group which split profits on share trading directed by Michael Mitton at Golden Capital beginning with the Stratabound short sale on February 7, 1996, as described in paragraphs 47-68.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Ben Oxholm testified that he was told at the meeting that accounts would be opened for Lakeside, BB &amp; HF and Valley Ridge and that Charles Wiebe would be the president of Valley Ridge. Ben Oxholm testified Barry Holmes told him he would be the president of BB &amp; HF. Noting the meeting seemed to be breaking up, Ben Oxholm offered to return the next day to complete the account opening forms, whereupon Barry Holmes told him to courier them to his office and that he would have them completed and return them the next day. He gave Ben Oxholm his business card with the MBAH Abbotsford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Barry Holmes denied that he told Ben Oxholm he would be president of BB &amp; HF. In light of my finding that he and Michael Mitton acted in concert to install Alfred Kaminski as sole director to sign the account opening form for BB &amp; HF, nothing really turns on what was said at the meeting of February 12, 1996, meeting about this. As noted in paragraphs 87 and 93-96 Barry Holmes, through Cheryl Holmes, had control over the directorship and obviously approved of Alfred Kaminski's directorship.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Ben Oxholm testified that on February 13, 1996, Michael Mitton called him and said he'd like to buy some more bonds, to which Ben Oxholm replied to Michael Mitton that he could not without account numbers, to which Mitton responded "You can get an account number on the forms. We promise to have them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Ben Oxholm told Michael Mitton he would see if he could get an account number and took the partially completed account opening forms for BB &amp; HF, Valley Ridge and Lakeside to Janice Didick (then Chartrand) the Golden Capital clerk who assigned the account numbers necessary to begin trading in accounts. She told him she could not assign numbers until the forms were completed. Ben Oxholm persisted on the basis the completed forms would soon be returned. Janice Didick got permission from Leo Wong, Golden Capital's compliance manager and assigned account numbers to the three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Leo Wong testified that he approved the assignment of the account numbers after discussing the matter with Ben Oxholm and telling him to be sure to get the account opening forms returned quickly and to get the necessary margin into the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Ben Oxholm called Michael Mitton back and said he had account numbers. They then discussed a bond purchase and Ben Oxholm wrote a buy ticket for a $7 million 7% Canada bond maturing December 1, 2006, at $99.95. The ticket, with the new Lakeside account number on it, was date stamped 12:01 February 13, 1996, meaning it would settle on February 16,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Ben Oxholm testified that he reminded Michael Mitton that the settlement date was February 16, 1996, and said "Well you'd better have enough margin in here to make certain that you can carry this thing through, because it will settle." to which Michael Mitton replied "Don't worry, we'll have the margin there." and explained the margin would come in the form of shares by IMM or DAP "with sufficient profit in the DAP so we would not end up in the situation that we had with the [Stratabound]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About two hours later, on instructions from Michael Mitton, Ben Oxholm wrote another buy ticket for a $10 million 7 1/2% Canada bond maturing March 1, 2001 at $105.40, with the new BB &amp; HF account number on it. It was date stamped 13:50 February 13, 1996. The bond was to be auctioned the next day by the Bank of Canada and the settlement date was March 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Ben Oxholm testified he asked Michael Mitton for reassurance that the margin would be provided and was told "We'll get your margin to you." and "Don't worry you'll get your margin requirement." Ben Oxholm testified he did not require the margin until the settlement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Ben Oxholm testified that he would have "liked" 15% margin on these transactions "but 10% I could have lived with", which he referred to as the legal minimum. At trial he was unsure whether the margin was calculated on the value of the transaction or the face value of the bond. In any event, by the afternoon of February 13, 1996, Ben Oxholm knew these bond purchases required a minimum of $700,000 margin by February 16, 1996 and assuming the first transaction settled then, $1 million by March 1, 1996. Ben Oxholm acknowledged that he never told Michael Mitton how much margin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Ben Oxholm further testified that the "wildest swing" in bond prices he had then seen in ten years was 3% and that a 0.8% swing either way was a "big swing" which "wasn't going to happen" in the then "creeping market". In other words, in Ben Oxholm's view, on February 13, 1996, Golden Capital was likely exposed to risk of less than 1% on these bond transactions or $10,000 per $1 million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next day, February 14, 1996, on instructions from Michael Mitton, Ben Oxholm wrote three more buy tickets with the BB &amp; HF account number on them. One is for a $7 million 7% Canada bond maturing December 1, 2006 at $99.53. It is date stamped 10:57 February 14, 1996. Because of the intervening weekend, the settlement date was February 19, 1996. The second is for a $5 million 7 1/2% Canada bond maturing March 1, 2001 at $105.079, it is date stamped 11:12 February 14, 1996. The third is for a further $2.5 million Canada bond in the same series at $105.044 with the same time stamped on it. These trades were to settle March 1,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Assuming 10% margin was required, that meant a minimum of $700,000 margin was required by February 19, 1996, to cover the first of these purchases.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Ben Oxholm testified that he told Michael Mitton with regard to the first transaction "I hope that you can expedite your margin and your stocks because you realize this bond is going to settle ... next Monday" to which Michael Mitton replied "yes". Ben Oxholm testified that he warned Michael Mitton, as he had the day before, that "... if the margin is not in, the bond is going to be sold out" to which Michael Mitton replied "Look, I'm trying to get it organized. It's complicated. I will get it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"it" referred to, according to Ben Oxholm, was stock to be transferred in by IMM or by DAP with at least "20% profit", which I take to mean at a DAP price 20% less than the price at which the stock had been sold short.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Ben Oxholm testified that on February 14, 1996, he also told Michael Mitton after the bonds were purchased "Look, you have got to have margin" and was again assured "it's going to be there" to which he replied "Well, I don't see much proof of it. There's no more bond buying. This is the end of the bond buying for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Ben Oxholm testified that he was so upset by Michael Mitton's apparent lack of action on providing margin that he called Edward Rempel.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Ben Oxholm initially testified he called Edward Rempel on February 14, 1996 to "put it to him". According to Ben Oxholm, Edward Rempel told him "we'll look after it at this evening's meeting." A few minutes later Ben Oxholm testified that he wasn't certain but thought he did not call Edward Rempel until February 16, 1996, to tell him he had sold the first bond purchased February 13, 1996, in the Lakeside account because there was no margin in the account. This resulted in a net loss of $177,989 after adjustment for accrued interest on the bond and deduction of the $10,000 profit on the bond purchased February 9, 1996. As noted in paragraph 6, Edward Rempel eventually paid this amount plus more to settle Golden Capital's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Ben Oxholm testified that on the morning of February 16, 1996, he asked Michael Mitton if the money to purchase the bond would be in the Lakeside account by noon and when he got a negative response he told Michael Mitton the bond would be sold, which it was that afternoon.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On February 14, 1996, Michael Mitton instructed Ben Oxholm to purchase shares worth $86,551.75 and sell shares worth $424,798.26 on behalf of Valley Ridge, which appeared to create a net credit of $338,246.51 on the February 19, 1996 settlement date for these trades. On February 15, 1996, Michael Mitton instructed Ben Oxholm to sell a further $49,000 worth of shares on behalf of Valley Ridge which would settle on February 20,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Also on February 15, 1996, Michael Mitton instructed Ben Oxholm to sell shares worth $129,601 on behalf of BB &amp; HF, which appeared to create a credit of that amount on the February 20, 1996, settlement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On February 16, 1996, Michael Mitton instructed Ben Oxholm to sell shares worth $391,328.25 on behalf of BB &amp; HF for settlement on February 21 and 22,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Ben Oxholm testified that Michael Mitton explained that he was selling the shares in the Valley Ridge account in order to meet the bond margin in the other accounts and that he told Michael Mitton he would require a letter of authority to transfer money from one account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Assuming that conversation took place on or before February 14, 1996, sometime during that day it would have been apparent that all the short sales in the Valley Ridge account that day would produce only $338,000 or less than half the 10% margin required to cover the first bond purchase on behalf of BB &amp; HF by the settlement date of February 19, 1996, and none of the margin to cover the bond purchase on behalf of Lakeside by the settlement date of February 16,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That state of affairs is consistent with Ben Oxholm's testimony he was upset and told Michael Mitton on February 14, 1996, that he saw little proof the margin was being brought in and that he would buy no more bonds.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All of the short sales of shares in the BB &amp; HF and Valley Ridge accounts on February 14, 15 and 16, 1996 turned out to be undeclared short sales. The shares were either transferred by DAP or never delivered at all, requiring Golden Capital to buy in positions to cover settlements of shares sold short.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Concerned about the failure of the share sales to produce margin for the bonds, Ben Oxholm had Tony Chan, a principal of Golden Capital, speak to Michael Mitton on February 16, 1996, after the bond was sold in the Lakeside account and overheard Tony Chan ask Michael Mitton if he understood the difference between IMM and DAP.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When it became apparent to Golden Capital that the bond purchases would not be covered by margin from the short sales of shares in the BB &amp; HF and Valley Ridge accounts, the bonds were sold at a loss. Unfortunately, the sales coincided with a fall in bond prices almost as bad as the worst Ben Oxholm had seen in ten years. The bond purchased for $99.53 was sold for $96.57. Those purchased for just over $105 were sold for $103.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Ben Oxholm testified about his decision to sell the bonds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Well, I have a machine that shows when the accounts are under margined or how much margin they have. There wasn't any margin to carry this. I was aware that the stocks were being DAP'd in, but it was just wasn't working. So, I said, "You know, we're going to have to sell this bond."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Who did you say that to?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Michael Matt when he called me. He said, "What are the bonds doing, " and I said, "They're going down." And I said, "You should really cut your losses right here." "No", he said, "I don't want to do it." And that was on the Monday I believe.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Monday was the 19th?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the 19th. Because the bonds were in, the bond market was in turmoil. And he said, no, he didn't want to sell them and he said, "The margin, it will all be coming in." I think I gave him one day and then sold it on the 20th. It wasn't as bad but I couldn't carry the previous one that I had sold over the weekend. But one day it seemed fair to see if it would, if I could get additional margin, but it wasn't showing up. It was totally under margined. So he got sold out. He wasn't happy about it, but that's the way it 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On February 20, 1996 at 07:01 the $7 million Canada bond purchased in the BB &amp; HF account on February 14, 1996, which ought to have settled on February 19, 1996, was sold at a loss of about $210,000.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Five hours later Michael Mitton faxed the following message to Ben Oxholm on behalf of BB &amp; HF.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MEMO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 OXHOLM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GOLDEN CAPITAL SECURITIES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168-1177 W. HASTINGS 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FEBRUARY 20, 1996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STOCK TRANSFERS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THE INVESTMENT GROUP IS WORKING ON THE TRANSFER OF STOCK TO COVER SHORT POSITIONS AT YOUR FIRM. THE MOVEMENT OF THE SHARE (sic) IS OF A COMPLEX NATURE TO THE GROUP AND SHOULD BE COMPLETED SHORTLY. THE STOCK WILL BE TRANSFERRED FROM A NUMBER OF FIRM (sic) INCLUDING CANACCORD, C.M. OLIVER, MIDLAND, PACIFIC INTERNATION (sic),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ACCOUNT FORMS WILL BE COURIERED TODAY TO YOUR FIRM.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YOU HAVE ANY QUESTIONS CONCERNING THIS MATTER PLEASE CONTACT THE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[indecipherable signature]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BB &amp; HF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Ben Oxholm testified that this message was in response to his advice to Michael Mitton that the principals of Golden Capital "were not happy" and if margin was not provided in a hurry he, Ben Oxholm, would lose control of the accounts and Golden Capital would take steps to preserve their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ultimate results of all the bond and share trades which were ordered by Michael Mitton between February 9 and 16, 1996, and subsequent bond sales and share buy ins were net losses of $177,989 in the Lakeside account, $715,202 in the BB &amp; HF account and $38,733 in the Valley Ridge account, for a total of $931,924.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All trades ordered by Michael Mitton took place before the account opening documentation for these three accounts was completed, so Ben Oxholm and Golden Capital had undertaken all these trades without signed documents disclosing who the directors of BB &amp; HF, Valley Ridge and Lakeside were, without written authorization for Michael Mitton to trade on behalf of those companies, without credit checks and without personal guarantees.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Ben Oxholm was extremely imprudent to trade before the account opening forms were completed and paid dearly for it, since the losses became his personal obligation to Golden Capital. He has since repaid Golden Capital $144,366. He was not alone in being taken in. Other brokerages, where the brokers knew Edward Rempel and Alfred Rempel and where account opening forms were properly completed, but where Michael Mitton's involvement was hidden, were also used for undeclared short sales under the Mitton trading scheme. The court was advised they sustained no losses before they realized what was happening and shut down the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other words, properly completed account opening forms did not preclude operation of the Mitton trading scheme. As described in paragraphs 78-97, Barry Holmes and Michael Mitton took steps to open the BB &amp; HF and Valley Ridge accounts at Golden Capital. They may have been surprised that Ben Oxholm was prepared to trade before receiving the account opening documents for BB &amp; HF and Valley Ridge, but operation of the Mitton trading scheme did not depend on trading before accounts were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On February 14, 1996, Ben Oxholm couriered the BB &amp; HF and Valley Ridge account opening forms in one envelope to MBAH to Barry Holmes' attention with messages on yellow "stickies" asking Barry Holmes to complete them and provide certificates of incorporation for BB &amp; HF, Lakeside and Valley Ridge. Ben Oxholm testified he was not certain if he included forms for the personal guarantee of corporate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Asked why he had followed this procedure, which he agreed was not in compliance with Golden Capital's rules, Ben Oxholm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it because the Rempel group appeared to be a wealthy group who understood what they were doing, and represented an excellent opportunity for increasing my volume in bond trade. I knew Ed Rempel by reputation. I knew he was an excellent businessman; that he was a millionaire. And he had a son-in-law who was a partner in a large law firm, who had told me personally that he would have the account forms back to me completed. That's why I did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On February 14, 1996, Ben Oxholm sent the following fax to Michael Mitton: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is your action since we started. I have couriered out forms to OBH office. Guaranteed delivery by 1700 hours today. Request quick return of same. Thank you for your business. I will pray for higher dollar tomorrow. Ben."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Ben Oxholm testified he expected the completed account opening forms to be returned to him no later than Friday February 16, 1996, on the strength of Barry Holmes' promise at the meeting of February 12, 1996, to return them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Lakeside account opening documents were never returned to Golden Capital. On February 22, 1996, Alfred Kaminski personally delivered the Valley Ridge new account opening form which had been couriered to Barry Holmes by Ben Oxholm. At the same time, Alfred Kaminski delivered the BB &amp; HF form, which he had signed where Ben Oxholm had indicated "O.B. Holmes -president" should sign. Ben Oxholm testified he asked Alfred Kaminski "What's this?" who answered "Well, I'm the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As noted at paragraphs 75 and 209, the directors of BB &amp; HF and Valley Ridge never repudiated the transactions ordered on their behalf by Michael Mitton and in fact acknowledged the debits in those companies' accounts were accurate when requested to do so by Golden Capital. I have already found that Michael Mitton was the agent of Valley Ridge in dealings with Golden Capital. Likewise, I find he was the directing mind and agent of BB &amp; HF with actual and apparent authority to deal with Golden Capital on that company's behalf based on Edward Rempel's and his own representations that he was the group's trader. Alfred Kaminski was merely a cipher who did not understand and would not question Michael Mitton's actions on behalf of BB &amp; HF. Michael Mitton ran BB &amp; HF. Barry Holmes knew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MICHAEL MITTON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There is no doubt that Michael Mitton committed fraud to obtain credit when he misrepresented to Ben Oxholm that margin for the bond purchases on behalf of Lakeside and BB &amp; HF would be provided through the undeclared short sales of shares he instructed Ben Oxholm to make on behalf of BB &amp; HF and Valley Ridge. The fact Ben Oxholm, in hindsight, acted unwisely is no defence. A person may believe and rely on lies told to him with intent to deceive. The law will not preclude recovery for being duped. The policy rationale for this is set out in United Services Funds (Trustees) v. Richardson Greenshields of Canada Ltd. </w:t>
      </w:r>
      <w:hyperlink r:id="rId1116" w:history="1">
        <w:r>
          <w:rPr>
            <w:rFonts w:ascii="arial" w:eastAsia="arial" w:hAnsi="arial" w:cs="arial"/>
            <w:i/>
            <w:color w:val="0077CC"/>
            <w:sz w:val="20"/>
            <w:u w:val="single"/>
            <w:shd w:val="clear" w:color="auto" w:fill="FFFFFF"/>
            <w:lang w:val="en-US" w:eastAsia="en-US" w:bidi="ar-SA"/>
          </w:rPr>
          <w:t>(1988), 22 B.C.L.R. (2d) 322</w:t>
        </w:r>
      </w:hyperlink>
      <w:r>
        <w:rPr>
          <w:rFonts w:ascii="arial" w:eastAsia="arial" w:hAnsi="arial" w:cs="arial"/>
          <w:color w:val="000000"/>
          <w:sz w:val="20"/>
          <w:lang w:val="en-US" w:eastAsia="en-US" w:bidi="ar-SA"/>
        </w:rPr>
        <w:t xml:space="preserve"> (S.C.) per Southin J. at page 336: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may be greater damages to civilized society than endemic dishonesty. But I can think of nothing which will contribute to dishonesty more than a rule of law which requires us all to be on perpetual guard against rogues lest we be faced with a defence of "Ha, ha, your own fault. I fool you." Such a defence should not be countenanced from a rogue.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observation is cited with approval in Dalon v. Legal Services Society (British Columbia) </w:t>
      </w:r>
      <w:hyperlink r:id="rId1117" w:history="1">
        <w:r>
          <w:rPr>
            <w:rFonts w:ascii="arial" w:eastAsia="arial" w:hAnsi="arial" w:cs="arial"/>
            <w:i/>
            <w:color w:val="0077CC"/>
            <w:sz w:val="20"/>
            <w:u w:val="single"/>
            <w:shd w:val="clear" w:color="auto" w:fill="FFFFFF"/>
            <w:lang w:val="en-US" w:eastAsia="en-US" w:bidi="ar-SA"/>
          </w:rPr>
          <w:t>(1995), 10 C.C.E.L. (2d) 89</w:t>
        </w:r>
      </w:hyperlink>
      <w:r>
        <w:rPr>
          <w:rFonts w:ascii="arial" w:eastAsia="arial" w:hAnsi="arial" w:cs="arial"/>
          <w:color w:val="000000"/>
          <w:sz w:val="20"/>
          <w:lang w:val="en-US" w:eastAsia="en-US" w:bidi="ar-SA"/>
        </w:rPr>
        <w:t xml:space="preserve"> (B.C.S.C.) and Performance Industries Ltd. v. Sylvan Lake Golf &amp; Tennis Club Ltd., </w:t>
      </w:r>
      <w:hyperlink r:id="rId1118" w:history="1">
        <w:r>
          <w:rPr>
            <w:rFonts w:ascii="arial" w:eastAsia="arial" w:hAnsi="arial" w:cs="arial"/>
            <w:i/>
            <w:color w:val="0077CC"/>
            <w:sz w:val="20"/>
            <w:u w:val="single"/>
            <w:shd w:val="clear" w:color="auto" w:fill="FFFFFF"/>
            <w:lang w:val="en-US" w:eastAsia="en-US" w:bidi="ar-SA"/>
          </w:rPr>
          <w:t>[2002] S.C.J. No. 20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find Michael Mitton liable to Golden Capital for the losses sustained as a result of his fraudulent misrepresentations to Ben Oxholm.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Liability of the other defendants who are alleged conspirators depends on whether they acted in concert with or conspired with Michael Mitton to trade unlawfully in the BB &amp; HF and Valley Ridge accounts at Golden Capital. The other personal defendants alleged to be conspirators are Barry Holmes, Alfred Rempel, Charles Wiebe, Alfred Kaminski, and Janet Mitton.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JANET MITTON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There is no evidence that Janet Mitton had any involvement in or knowledge of any dealings with Golden Capital. I find she did not conspire to trade unlawfully at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ALFRED KAMINSKI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Alfred Kaminski testified that he was "flabbergasted" when he received a document from Golden Capital headed "Acknowledgement of Correctness of Account" and Michael Mitton explained to him that the accompanying BB &amp; HF account statement disclosed the account had a debit of about $700,000. This was only a week after Alfred Kaminski had signed the account opening documents as "president" and three days after he delivered the power of attorney giving Michael "Matt" authority to trade in the account. His surprise is understandable. Nevertheless on the basis of an assurance from Michael Mitton that he would "take care of it" Alfred Kaminski, on Michael Mitton's instructions, signed the acknowledgement as "authorized signatory" for BB &amp; HF on February 29,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Alfred Kaminski, by agreeing to accept the sole directorship of BB &amp; HF in place of Janet Mitton, played a role in disguising the Mitton involvement in BB &amp; HF from Golden Capital. By delivering DAP forms to Ben Oxholm he also played a small role in the transactions which Michael Mitton misrepresented as creating margin in the BB &amp; HF and Valley Ridge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Alfred Kaminski did not present himself to Golden Capital as "president" of BB &amp; HF until February 22, 1996, and did not give Ben Oxholm the power of attorney for Michael Mitton until February 26, 1996. The illegible name "Mike Matt" and signature on that form could have escaped his attention, since he testified he signed many forms in blank. Alfred Kaminski may not have realized he was misrepresenting "Mitton" as "Matt" by signing and presenting the form. Both roles were played by Alfred Kaminski after the trading which caused the losses. There is no evidence he had any part in the undeclared short sales of shares at Golden Capital apart from delivering DAP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There is no evidence Alfred Kaminski benefited in any way from his small roles in the dealings with Golden Capital or had any expectation that he would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Alfred Kaminski traded in his Canaccord account at Michael Mitton's direction after he was aware of the claim by Golden Capital for losses in the BB &amp; HF account. I am unable to infer from that subsequent conduct that Alfred Kaminski knew that Michael Mitton had carried on unlawful trading in the BB &amp; HF account when Alfred Kaminski signed the account opening form as "president" or delivered the DAP forms. The fact that Alfred Kaminski was foolish enough to continue to be involved in unlawful trading after he was advised of its consequences does not lead to the inference he knew or ought to have known unlawful trading had occurred or would occur in the BB &amp; HF account with Golden Capital before he agreed to act as president of BB &amp; HF.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On the whole of the evidence I am not satisfied Alfred Kaminski conspired to trade unlawfully at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CHARLES WIEBE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Charles Wiebe testified that he had been involved on behalf of Valley Ridge in conducting trading under the Mitton trading scheme with various brokerages before the trading at Golden Capital. I infer he knew that trading under the Mitton trading scheme would take place in the Valley Ridge account at Golden Capital for which he signed the account opening form as newly-created sole director on February 22, 1996. He may not have known such trading had already taken place on Michael Mitton's instructions, but he acted in concert with Barry Holmes and Alfred Rempel to accept the directorship so it could take place in Alfred Rempel's absence. He attended a meeting with Golden Capital personnel on February 29, 1999, at which he did not repudiate as unauthorized Michael Mitton's trading for Valley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It is clear from Charles Wiebe's testimony that in February 1996 he knew the Mitton trading scheme involved "short kiting". He also knew of Michael Mitton's BCSC trading ban. Nevertheless, prior to February 1996, Charles Wiebe acted as an intermediary trading for Valley Ridge at Michael Mitton's direction with other brokerages.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Charles Wiebe testified that he believed the Mitton trading scheme was "legal" and that he believed it was not a contravention of the BCSC trading ban for Michael Mitton to advise Alfred Rempel and him what to trade as long as Michael Mitton received no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Charles Wiebe knew that Michael Mitton used the alias "Michael Matt" when dealing with brokerages. Charles Wiebe lied to staff Sergeant Bishop, as noted in paragraph 84, to conceal the fact that Michael Mitton had traded in Valley Ridge's Golden Capital account. From these facts I infer that Charles Wiebe knew that trading under the Mitton trading scheme by Michael Mitton contravened his BCSC trading ban, that is, that it was unlawful for Mitton to trade. Charles Wiebe had to realize his own placing of trades with various brokerages as directed by Michael Mitton effectively permitted Michael Mitton to circumvent the BCSC trading 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 infer from Charles Wiebe's use of the name "Michael Matt" at the February 29, 1996 meeting at Golden Capital, as confirmed by Peter Chu on cross-examination, and from his lie to Staff Sergeant Bishop that he regarded it as his continuing role to conceal Michael Mitton's trading on behalf of Valley Ridge at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It is immaterial that Charles Wiebe may have believed that the Mitton trading scheme was "legal". He knew it was unlawful for Michael Mitton to trade because of the BCSC trading ban and he benefited personally, as Valley Ridge's employee, from trading directed by Michael Mitton but which he conducted at various brokerages for Valley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Charles Wiebe, by assuming the directorship of Valley Ridge, signing the account opening form at Golden Capital, acknowledging the correctness of the Valley Ridge account and lying to Staff Sergeant Bishop acted in concert with Michael Mitton, Barry Holmes and Alfred Rempel to permit Valley Ridge to be used as the vehicle through which Michael Mitton could direct trades under the Mitton trading scheme at Golden Capital just as Valley Ridge had been used at other brokerages. That is, he acted in concert with them to trade unlawfully.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However, there is no evidence he did so until after the trading which caused the losses had been completed. There is no evidence he was involved in any dealings with Golden Capital until the Valley Ridge account opening form he signed was delivered to Ben Oxholm on February 22, 1996, so there is no evidence he participated in any misrepresentation which led Ben Oxholm to assume margin to cover those trades would be created in the Valley Ridge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In short, while Charles Wiebe was part of a conspiracy to trade unlawfully at Golden Capital, he did nothing in furtherance of the conspiracy until after the trades which resulted in losses to Golden Capital had occurred. He is nevertheless liable by participating in a scheme to trade unlawfully which had already been carried out by Michael Mitton at Golden Capital. Everyone who enters a conspiracy with an unlawful purpose is considered at law as a party to every act, whenever done, in furtherance of the common design. See R. v. Kelly, </w:t>
      </w:r>
      <w:hyperlink r:id="rId1119" w:history="1">
        <w:r>
          <w:rPr>
            <w:rFonts w:ascii="arial" w:eastAsia="arial" w:hAnsi="arial" w:cs="arial"/>
            <w:i/>
            <w:color w:val="0077CC"/>
            <w:sz w:val="20"/>
            <w:u w:val="single"/>
            <w:shd w:val="clear" w:color="auto" w:fill="FFFFFF"/>
            <w:lang w:val="en-US" w:eastAsia="en-US" w:bidi="ar-SA"/>
          </w:rPr>
          <w:t>[1917] 1 W.W.R. 46</w:t>
        </w:r>
      </w:hyperlink>
      <w:r>
        <w:rPr>
          <w:rFonts w:ascii="arial" w:eastAsia="arial" w:hAnsi="arial" w:cs="arial"/>
          <w:color w:val="000000"/>
          <w:sz w:val="20"/>
          <w:lang w:val="en-US" w:eastAsia="en-US" w:bidi="ar-SA"/>
        </w:rPr>
        <w:t xml:space="preserve"> (Man.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ALFRED REMPEL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same applies to Alfred Rempel. He engaged Michael Mitton to direct trading on behalf of Valley Ridge and attended the February 12, 1996, meeting with Michael Mitton where Ben Oxholm was told that Valley Ridge would open an account with Golden Capital. Alfred Rempel must have approved steps taken by Michael Mitton and Barry Holmes on his behalf to open the account because he never repudiated them. Barry Holmes, presumably on Alfred Rempel's instructions, purported to document the appointment of Charles Wiebe as director before he signed the account opening form. Michael Mitton had the form delivered to Ben Oxholm.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From February 12, 1996 Alfred Rempel must have understood and intended that trading using the Mitton trading scheme would be conducted on behalf of Valley Ridge at Golden Capital. Valley Ridge and therefore Alfred Rempel subsequently "profit split" the proceeds from such trading as described in paragraphs 47-68. Alfred Rempel never repudiated the trading in Valley Ridge's account as unauthorized. Indeed, Valley Ridge's agent Charles Wiebe acknowledged the correctness of the February 1996 account balance which disclosed the losses sustained as a result of the trades ordered by Michael Mitton in the Valley Ridge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There is no evidence Alfred Rempel was aware that Michael Mitton was trading on behalf of Valley Ridge at Golden Capital when the losses were sustained or knew that Michael Mitton had misrepresented that margin apparently created in the Valley Ridge account by short sales would be transferred to other accounts to cover the bond purchases. Nevertheless, I find that Alfred Rempel acted in concert with Michael Mitton and Barry Holmes at the relevant time to put Michael Mitton in position as agent for Valley Ridge to conduct those trades and make that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This is consistent with arrangements described by Edward Rempel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have any further discussions with him [Michael Mitton] about the trading system?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he said that he was going to set up a system for Fred Rempel. Fred would have Chuck -- or Charles Wiebe do the trading. Barry would set up the companies for Fred.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You said Barry? Who is Barry?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Barry Holmes.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Fred would not be involved that much. Charles would basically -- Mike Mitton would -- decide which stocks should be sold, and he would give that information to Charles who would do the trade, or he would do the sale.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Or later it would be a buy too, after -- on Mike's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have any further discussions about his trading system?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uh -- Mike said that he was -- he and Barry would be setting up the system for Fred. And there would be a two-thirds/one-third split. One third going to Fred Rempel, on any profits that would be made on the trades.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This testimony is admissible against Alfred Rempel, Charles Wiebe, Michael Mitton and Barry Holmes in conformity with the principles in R. v. Carter, </w:t>
      </w:r>
      <w:hyperlink r:id="rId1120" w:history="1">
        <w:r>
          <w:rPr>
            <w:rFonts w:ascii="arial" w:eastAsia="arial" w:hAnsi="arial" w:cs="arial"/>
            <w:i/>
            <w:color w:val="0077CC"/>
            <w:sz w:val="20"/>
            <w:u w:val="single"/>
            <w:shd w:val="clear" w:color="auto" w:fill="FFFFFF"/>
            <w:lang w:val="en-US" w:eastAsia="en-US" w:bidi="ar-SA"/>
          </w:rPr>
          <w:t>[1982] 1 S.C.R. 938</w:t>
        </w:r>
      </w:hyperlink>
      <w:r>
        <w:rPr>
          <w:rFonts w:ascii="arial" w:eastAsia="arial" w:hAnsi="arial" w:cs="arial"/>
          <w:color w:val="000000"/>
          <w:sz w:val="20"/>
          <w:lang w:val="en-US" w:eastAsia="en-US" w:bidi="ar-SA"/>
        </w:rPr>
        <w:t xml:space="preserve"> and Mohammed v. Canadian Northern Shield Insurance Co. </w:t>
      </w:r>
      <w:hyperlink r:id="rId1121" w:history="1">
        <w:r>
          <w:rPr>
            <w:rFonts w:ascii="arial" w:eastAsia="arial" w:hAnsi="arial" w:cs="arial"/>
            <w:i/>
            <w:color w:val="0077CC"/>
            <w:sz w:val="20"/>
            <w:u w:val="single"/>
            <w:shd w:val="clear" w:color="auto" w:fill="FFFFFF"/>
            <w:lang w:val="en-US" w:eastAsia="en-US" w:bidi="ar-SA"/>
          </w:rPr>
          <w:t>(1994), 96 B.C.L.R. (2d) 373</w:t>
        </w:r>
      </w:hyperlink>
      <w:r>
        <w:rPr>
          <w:rFonts w:ascii="arial" w:eastAsia="arial" w:hAnsi="arial" w:cs="arial"/>
          <w:color w:val="000000"/>
          <w:sz w:val="20"/>
          <w:lang w:val="en-US" w:eastAsia="en-US" w:bidi="ar-SA"/>
        </w:rPr>
        <w:t xml:space="preserve"> (B.C.C.A). It is consistent with other evidence, including documentary evidence, outlined above, which establishes that these defendants acted in concert so Michael Mitton could trade under the Mitton trading scheme on behalf of Valley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Since Alfred Rempel intended to set up an account with Golden Capital to trade "for free" under the Mitton trading scheme as directed by Michael Mitton, benefited from that trading when it occurred and never repudiated it, he cannot now be heard to say, in effect, "I didn't know at the time that Michael Mitton was doing any trading or that it was unlawful", to extricate himself from the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Alfred Rempel's "hands off" approach to Valley Ridge's share trading, whereby he let Michael Mitton, Barry Holmes and Charles Wiebe attend to details, does not absolve him from liability as a conspirator to trade unlawfully.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Alfred Rempel knew Michael Mitton was under the BCSC trading ban. He paid Michael Mitton handsomely for trading on behalf of Valley Ridge. He put Michael Mitton in a position as his agent both to direct trading for Valley Ridge, in violation of the BCSC trading ban, for their mutual benefit and to make the misrepresentations to Ben Oxholm about creating margin in the Valley Ridge account and transferring that margin to cover the bond purchases which led to the bulk of the losses sustained by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find that Alfred Rempel acted in concert with Michael Mitton to trade unlawfully by placing Michael Mitton in a position to direct trades using the Mitton trading scheme through the Valley Ridge account at Golden Capital. He placed Michael Mitton in a position to make the misrepresentations as to margin which induced Ben Oxholm to conduct the trades, including the bond purchases, which resulted in losses in the BB &amp; HF and Valley Ridge accounts. In short, Alfred Rempel put Michael Mitton in a position to trade unlawfully and Michael Mitton traded unlawfully by ordering undeclared short sales and fraudulently misrepresenting that these would produce margin in the Valley Ridge account to cover the bond purchases.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BARRY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Likewise, I find Barry Holmes acted in concert with Michael Mitton to trade under the Mitton trading scheme in the BB &amp; HF and Valley Ridge accounts at Golden Capital. He prepared the resolutions purporting to install Charles Wiebe and Alfred Kaminski as directors of those companies so they could open the accounts. He transferred shares from his North Shore account at Midland Walwyn by DAP to "cover" undeclared short sales in the BB &amp; HF and Valley Ridge accounts at Golden Capital. He split profits with Michael Mitton and Valley Ridge generated by this trading as described in paragraphs 47-74.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TORT OF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A formulation of the tort of conspiracy applicable to this case was approved by the Supreme Court of Canada in Hunt v. Carey Canada Inv.,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an actionable conspiracy will exist if defendants combine to act unlawfully, their conduct is directed towards the plaintiff (or the plaintiff and others), and the likelihood of injury to the plaintiff is known to the defendants or should have been known to them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This formulation of the tort of conspiracy was elaborated by the Supreme Court of Canada in Canada Cement LaFarge Ltd. v. B.C. Lightweight Aggregate Ltd., </w:t>
      </w:r>
      <w:hyperlink r:id="rId1122"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at 471-472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law of torts does recognize a claim ... as the tort of conspiracy if: ...</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conduct of the defendants is unlawful, the conduct is directed towards the plaintiff (alone or together with others), and the defendant should know in the circumstances that injury to the plaintiff is likely to and does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situation (2) it is not necessary that the predominant purpose of the defendants' conduct be to cause injury to the plaintiff but, in the prevailing circumstances, it must be a constructive intent derived from the fact that the defendants should have known that injury to the plaintiff would ensue. In both situations, however, there must be actual damage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 have already found that from the February 12, 1996, meeting Alfred Rempel intended to open an account for Valley Ridge at Golden Capital in which Michael Mitton would direct trades despite his BCSC trading ban, as he had in other Valley Ridge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Barry Holmes, Michael Mitton and Charles Wiebe shared that intention and took steps to open the account. Thus all four acted in concert to put Michael Mitton in a position to trade. He traded unlawfully by ordering undeclared short sales. Barry Holmes acted in concert with Michael Mitton in this trading by transferring shares from the North Shore account by DAP to "cover" some of these short sales. The "coverage" by DAP amounted to a misrepresentation that margin was being created in the Valley Ridge account to cover the bond purchases when it was not. I find these four defendants agreed to carry out unlawful conduct directed at Golden Capital, that is undeclared short sales as directed by Michael Mitton, and Michael Mitton and Barry Holmes carried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Barry Holmes testified he was unaware of the precise terms or scope of the BCSC trading ban. Barry Holmes was first retained by Michael Mitton to resist his extradition to the USA on an 11 count securities fraud indictment. He knew of Michael Mitton's criminal record. Anyone aware of this background ought to have had misgivings about engaging in a "trade for free" business venture with Michael Mitton. For a lawyer, alarm bells ought to have been ringing loudly. Questions about the reasons for and extent of the BCSC trading ban ought to have been foremost in Barry Holmes' mind before he became involved in the Mitton trading scheme. In any event, Barry Holmes knew enough about the Mitton's BCSC trading ban to take steps to ensure it did not come to the attention of Golden Capital as described in paragraphs 86-99.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Even if Barry Holmes, Alfred Rempel and Charles Wiebe did not know the undeclared short selling which was key to the Mitton trading scheme was unlawful that does not absolve them from liability. These defendants need not have been aware Michael Mitton's conduct whether directing trades, ordering undeclared short sales or misrepresenting that those sales would produce margin was unlawful. Their mistaken belief in the lawfulness of the conduct is not a defence. See Belmont Finance Corp. v Williams Ltd. [1980] 1 All ER 393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There is no doubt the unlawful conduct was directed at Golden Capital. It was consistent with similar trading conducted through Valley Ridge at other brokerages.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There is no doubt damage was caused to Golden Capital as a result of the unlawful undeclared short selling. If the short sales had been covered by transfers of shares without DAP, as the undeclared short selling implied they would be, sufficient margin would have been created, as Michael Mitton repeatedly assured Ben Oxholm it would be, in the BB &amp; HF and Valley Ridge accounts to cover the losses sustained on the bond purchases.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These defendants knew or ought to have known that damage to Golden Capital was likely to result from the unlawful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Alfred Rempel intended to "trade for free". That is why he set up Valley Ridge as a shell company and turned Michael Mitton loose on brokerages using Charles Wiebe as a go between. Implicit in the very concept of trading for free is the assumption that someone other than Alfred Rempel would suffer any losses which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 have no doubt that Michael Mitton knew there had to be margin to cover short sales. That is why he made undeclared short sales to avoid the margin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From the fact that after January 15, 1996, Scotia McLeod "bought in" and refused to handle further undeclared short sales in Valley Ridge's account, Barry Holmes and Charles Wiebe knew brokerages would not knowingly handle such trades.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Anyone giving the matter a moment's consideration would realize any loss occasioned by a rise in the share price uncovered by margin on an undeclared short sale would have to be borne by the broker or brokerage if the account holder did not make good on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There is no evidence, nor even an assertion by the defendants that they intended to make good to Golden Capital any losses sustained in the Valley Ridge or BB &amp; HF accounts. Both were companies with no assets other than the security positions in their brokerage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Even though there is no direct evidence Barry Holmes, Alfred Rempel and Charles Wiebe knew about the bond purchases, that does not absolve them from liability for the losses caused by failure to cover those purchases with margin as promised by Michael Mitton.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Michael Mitton was Alfred Rempel's agent for purposes of trading at Golden Capital. A principal is liable for the fraudulent misrepresentation of an agent. See Evetts v. Taylor (1925) O.W.N.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A conspirator who joins with others to commit unlawful acts is responsible for all damages even though some of the acts may have been instigated by a single conspirator. See Clairborne Industries Ltd. v. National Bank of Canada </w:t>
      </w:r>
      <w:hyperlink r:id="rId1123" w:history="1">
        <w:r>
          <w:rPr>
            <w:rFonts w:ascii="arial" w:eastAsia="arial" w:hAnsi="arial" w:cs="arial"/>
            <w:i/>
            <w:color w:val="0077CC"/>
            <w:sz w:val="20"/>
            <w:u w:val="single"/>
            <w:shd w:val="clear" w:color="auto" w:fill="FFFFFF"/>
            <w:lang w:val="en-US" w:eastAsia="en-US" w:bidi="ar-SA"/>
          </w:rPr>
          <w:t>(1989), 69 O.R. (2d) 65</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find that Barry Holmes, Alfred Rempel and Charles Wiebe acted in concert with one another and with Michael Mitton to trade unlawfully at Golden Capital. All four are therefore jointly and severally liable for the losses sustained by Golden Capital as a result of the fraudulent misrepresentations made to Ben Oxholm which induced him to place orders without sufficient margin to cover undeclared short sales or bond purchases.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A corporation may be liable as a party to a conspiracy. See Belmont Finance Corp. (supra). At all material times either Alfred Rempel or Charles Wiebe was the sole director and directing mind of Valley Ridge. They understood Valley Ridge was to be used as a vehicle for trading using the Mitton trading scheme. Valley Ridge profited from such trading at Golden Capital. On these bases I find Valley Ridge liable as a party to the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Barry Holmes was the directing mind of North Shore at all material times. At his direction North Shore bought and transferred shares by DAP to the BB &amp; HF and Valley Ridge accounts in return for payment from Golden Capital, consistent with the Mitton trading scheme. North Shore profited by doing so. I find North Shore liable as a party to the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At all material times Michael Mitton was the directing mind of BB &amp; HF, notwithstanding Alfred Kaminski's nominal role as "president". Trading under the Mitton trading scheme occurred in the BB &amp; HF account which contributed to Golden Capital's losses. I find BB &amp; HF liable as a party to the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CHERYL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Cheryl Holmes was the sole shareholder of BB &amp; HF. There is no evidence she was aware of any dealings the company had with Golden Capital. Golden Capital did not allege she was part of the conspiracy, but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for not supervising the affairs of the company so as to question the self-appointment of Alfred Kaminski as sole director to replace Janet Mitton.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 have already found that Alfred Kaminski did not conspire to trade unlawfully at Golden Capital. It follows that Cheryl Holmes' failure to block his appointment as director did not serve to set him up as a conspirator. In any event, Cheryl Holmes was never given the opportunity to designate Alfred Kaminski director of BB &amp; HF under s. 155(3) of the Company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In the absence of any evidence Cheryl Holmes had any knowledge of, or involvement in BB &amp; HF's dealings with Golden Capital, I find that her position of sole shareholder of the company provides no basis for finding her liable for the company's involvement in the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 final issue of liability is whether MBAH, a law firm, is liable for the tortious conduct of its partner Barry Holmes.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MBAH was a partnership of two law firms, "McLachlan Brown Anderson" and "O. Barry Holmes". Barry Holmes testified that he continued to practice separately as "O. Barry Holmes" from the MBAH office during the partnership and maintained his own separate trust account for this purpose. Evidence of his use of the "O. Barry Holmes" letterhead and trust account while a partner of MBAH confirms this. Robert Brown testified on behalf of MBAH that this separate practice was unknown to the other partners of MBAH and unauthorized by them. I accept Robert Brown's testimony on this point. It follows that some of Barry Holmes' activities as a lawyer during the partnership were not done as a partner of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It is a possible inference from Barry Holmes' use of his own letterhead and trust account and from the lack of MBAH files and accounts relating to work Barry Holmes did for defendants that were clients he was in business with, that Barry Holmes actively concealed the fact of his business relationship with these clients from the MBAH partners. There is no evidence his MBAH partners were aware of this business relationship. Michael Mitton, Edward Rempel and Alfred Rempel were all clients of Barry Holmes. BB &amp; HF and Valley Ridge were corporate clients of MBAH which was their registered and records office. All of these clients had a business relationship under the Mitton trading scheme with Barry Holmes and his company North Shore as illustrated by paragraphs 47-72. It follows they had both solicitor/client and business relationships with Barry Holmes. In any event, there is no evidence the other partners of MBAH were aware, at the material time, of Barry Holmes' activities relating to the dealings he and his clients had with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Golden Capital alleges that Barry Holmes did things as a partner of MBAH for which MBAH is liable under of s. 12 of the Partnership Act, R.S.B.C. 1979, c. 312, as well as under vicarious liability and agency principles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 in light of a duty of care Barry Holmes owed to Golden Capital, a non-client.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Since s. 12 of the Partnership Act is a statutory reflection of the principles of agency and vicarious liability among partners, the issue of MBAH's liability can be reduced to two questions: Did Barry Holmes do things in furtherance of the Mitton trading scheme in his capacity as a partner of MBAH? Did Barry Holmes owe a duty of care as a partner of MBAH to Golden Capital in respect of any dealings which resulted in Golden Capital's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answer to both these questions depends on whether Barry Holmes was acting in his capacity as a partner of MBAH in dealings which resulted in Golden Capital's losses. The answer to that question in turn depends on whether Barry Holmes was acting as a lawyer or business associate of the other defendants in his dealings with Golden Capital, and if as a lawyer, whether under his sole practice or as a partner of MBAH and whether, if he was acting as a partner of MBAH, his actions resulted in Golden Capital's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Golden Capital alleges that the incorporation of BB &amp; HF and Valley Ridge, transfer of shares, election of directors, appointment of officers and maintenance of their registered and records offices was done by Barry Holmes as a partner of MBAH in furtherance of the alleged "unlawful trading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incorporation as shelf companies and documentation of share transfers for BB &amp; HF and Valley Ridge was done by Barry Holmes as a partner of MBAH, which acted as the companies' registered and records offices. The establishment and maintenance of the companies in good standing, that is their legal existence, was done "in the ordinary course of business of the firm". However, the mere creation and existence of the companies did not result in Golden Capital's losses, what was done by or on behalf of the companies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Had a firm other than MBAH incorporated the companies and acted as their registered and records offices, those acts alone would surely not expose that firm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corporate personality of BB &amp; HF and Valley Ridge were not essential to the operation of the Mitton trading scheme, as illustrated by the fact that undeclared short selling was conducted in Bruce Rempel's personal account at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fact that Ben Oxholm traded before any details of the companies' were disclosed indicates that these details did not induce him to do so. He was persuaded to do so by the misrepresentations made by Michael Mitton, which did not include any about the companies, except the misrepresentation through concealment of the identity of Michael Mitton as the directing mind of BB &amp; HF.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 have already found that the installation of Alfred Kaminski as sole director and "president" of BB &amp; HF was documented by Barry Holmes to hide the Mitton name from Golden Capital to permit Michael Mitton to carry out the Mitton trading scheme undetected while ordering trades on behalf of BB &amp; HF.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irregular procedure followed to do so is described at paragraphs 85-100. The BB &amp; HF corporate register was amended to reflect the change in director by hand, suggesting this was not done by MBAH support staff. There is no evidence an MBAH file was opened or account rendered in connection with the documentation of the change of director. These facts all lead to the inference that while the documentation was prepared by Barry Holmes, this was not done in the ordinary course of MBAH business, that is, to produce revenue and profit for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Even if it had been "pro bono" work for BB &amp; HF as a client of MBAH, one would still expect there to be a file recording the work. The evidence does not necessarily lead to the inference that Barry Holmes documented Alfred Kaminski's directorship as part of MBAH's practice. The whole of the circumstances lead to the inference Barry Holmes installed Alfred Kaminski as director as an adjunct to Barry Holmes' personal involvement in the share trading he and Michael Mitton intended to engage in through BB &amp; HF at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same analysis applies to the documentation of Charles Wiebe's directorship of Valley Ridge. However, that did not amount to a misrepresentation about the involvement of Michael Mitton. Since Valley Ridge corporate records did not contain the Mitton name, no such misrepresentation was necessary to ensure that Golden Capital would deal with Valley Ridge. It follows that installation of Charles Wiebe as Valley Ridge director cannot have resulted in Golden Capital's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In short, creation the companies and maintenance of their records was done in the ordinary course of MBAH's business but did not result in Golden Capital's losses. While documentation of Alfred Kaminski as BB &amp; HF director hid Michael Mitton's identity from Golden Capital, allowing him to trade undetected, I am not satisfied the evidence shows that documentation was prepared by Barry Holmes as a partner of MBAH. I therefore find that MBAH is not liable for Barry Holmes' activities in relation to the incorporation or documentation of the corporate governance of Valley Ridge or BB &amp; HF.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Golden Capital also alleges that Barry Holmes was acting in the ordinary course of MBAH business when he advised other defendants that the Mitton trading scheme was lawful and when he "gave advice with respect to and to facilitate the opening" of the BB &amp; HF and Valley Ridge accounts at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With respect to the allegation that Barry Holmes advised other defendants that the Mitton trading scheme was lawful, the evidence suggests that other defendants may have assumed from the fact Barry Holmes was prepared to participate in or assist them to trade under the Mitton trading scheme that he held the opinion it was legal. Edward Rempel testified that he couldn't recall Barry Holmes telling him it was legal. Charles Wiebe testified he did not obtain legal advice, in the sense of an opinion, from Barry Holmes on the legality of the Mitton trading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There is no MBAH file, document or statement of account which indicates any advice as to the legality of the Mitton trading scheme was ever provided to anyone by Barry Holmes as a partner of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Even if Barry Holmes gave such advice to other defendants, it does not follow that resulted in Golden Capital's losses. If he gave such advice it was wrong. The question is not whether other defendants were induced to trade under the Mitton trading scheme by such advice. It is irrelevant to their liability whether they understood what they were doing was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Golden Capital's theory on this aspect of the case must be that had Barry Holmes given correct advice, the other defendants would not have participated in the Mitton trading scheme and Golden Capital would not have sustained its losses. In other words, that Barry Holmes owed a duty of care to Golden Capital not to advise his clients wilfully or negligently that they could legally trade under the Mitton trading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In light of Michael Mitton's record and reputation I do not think it safe to infer that had he been told the Mitton trading scheme was illegal he would have refrained from pursuing it, particularly since Barry Holmes himself participated in trading under the Mitton trading scheme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Edward Rempel, Alfred Rempel and Charles Wiebe were all aware of the BCSC trading ban but traded on Michael Mitton's advice or permitted him to trade while concealing his identity, to circumvent the ban. It is safe to infer they were indifferent as to the lawfulness of such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Had Barry Holmes told his clients "the Mitton trading scheme is unlawful, you shouldn't be involved" in his capacity as their lawyer, they might well have desisted. There is no evidence any of them sought or obtained such advice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Instead of giving such advice as their lawyer, Barry Holmes as their business associate participated in the Mitton trading scheme, perhaps leading his clients who were also involved to believe that it was legal.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In his capacity as business associate of his clients Barry Holmes was clearly not acting in the "ordinary course of business" of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Whether he could shed his persona as a lawyer while a business associate of the other defendants who were his clients and thereby avoid any duty he may have had as a lawyer to correctly advise them and Golden Capital they were about to embark on a fraud is an intriguing question. The possibility he had such a duty was suggested by Southin J.A. in the following observation in Midland Walwyn Mortgage Corp. v. Jawl and Bundon et al </w:t>
      </w:r>
      <w:hyperlink r:id="rId1124" w:history="1">
        <w:r>
          <w:rPr>
            <w:rFonts w:ascii="arial" w:eastAsia="arial" w:hAnsi="arial" w:cs="arial"/>
            <w:i/>
            <w:color w:val="0077CC"/>
            <w:sz w:val="20"/>
            <w:u w:val="single"/>
            <w:shd w:val="clear" w:color="auto" w:fill="FFFFFF"/>
            <w:lang w:val="en-US" w:eastAsia="en-US" w:bidi="ar-SA"/>
          </w:rPr>
          <w:t>(1999), 62 B.C.L.R. (3d) 239</w:t>
        </w:r>
      </w:hyperlink>
      <w:r>
        <w:rPr>
          <w:rFonts w:ascii="arial" w:eastAsia="arial" w:hAnsi="arial" w:cs="arial"/>
          <w:color w:val="000000"/>
          <w:sz w:val="20"/>
          <w:lang w:val="en-US" w:eastAsia="en-US" w:bidi="ar-SA"/>
        </w:rPr>
        <w:t xml:space="preserve"> (B.C.C.A) at paragraph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of course, speaking only of an alleged duty on the part of A to B not to be negligent. Nothing we have said speaks to a case, if there ever were to be one, in which a solicitor discovered that his client was, in the transaction in issue, about to perpetrate a fraud on a third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 need not answer the question because I have found Barry Holmes liable for Golden Capital's losses on other grounds. I find that even if Barry Holmes had a duty of care as a lawyer to Golden Capital while embarking on a fraud in association with defendants who were his clients, he cannot have been acting in the ordinary "course of the business of" MBAH while engaged in that business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As to the allegation that Barry Holmes was acting as a partner of MBAH when he "gave advice with respect to and to facilitate the opening" of the BB &amp; HF and Valley ridge accounts, the evidence is as follows. Barry Holmes gave Ben Oxholm his card at the February 12, 1996, meeting, told him to forward the account opening forms to MBAH's office and that he would see they were completed and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 have rejected Barry Holmes' evidence that he instructed a secretary at MBAH to deal with the forms by providing corporate records information on the two companies to Golden Capital, because there is no evidence that ever happened. There are no MBAH files or accounts disclosing that such a report was ever made to Golden Capital by MBAH on behalf of the clients or that Golden Capital ever received such information from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evidence indicates all Barry Holmes did with the forms was put them in Michael Mitton's hands who in turn had Alfred Kaminski return them to Ben Oxholm.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 have already found at paragraphs 269-272 that Barry Holmes was not acting in his capacity as a partner of MBAH when he installed Alfred Kaminski and Charles Wiebe as directors to sign the account opening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All Barry Holmes did was receive the forms at MBAH's office and put them in Michael Mitton's hands. He did not add any information to them, nor is there any evidence he advised anyone what to add. He was asked by Ben Oxholm to forward corporate records information but did not do so or cause anyone at MBAH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Ben Oxholm testified he understood that Barry Holmes attended the February 12, 1996, meeting as an investor, not as a lawyer. Barry Holmes testified he conducted personal business from MBAH's office. For example, he used it as the address for the North Shore Midland Walwyn account. I am unable to conclude that receiving the account opening forms at MBAH's office and putting them in Michael Mitton's hands were things done by Barry Holmes in the ordinary course of the business of MBAH, rather than personal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Numerous DAP forms associated with trading under the Mitton trading scheme at Golden Capital were sent by fax from MBAH's office. Robert Brown testified MBAH clients might be permitted to use the MBAH fax as a courtesy. The MBAH fax was available to Barry Holmes for his personal use. I find transmittal of documents which were part of Barry Holmes' personal business affairs through the MBAH office was not in the ordinary course of the business of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I find MBAH is not liable for advice given by Barry Holmes as to the legality of the Mitton trading scheme, if he gave such advice, nor for anything Barry Holmes did in connection with the BB &amp; HF and Valley Ridge account opening forms, nor as a consequence of the transmittal of documents associated with Barry Holmes' personal business affairs through MBAH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Golden Capital further alleges that Barry Holmes in the ordinary course of the business of MBAH drafted agreements allegedly dealing with the operation of the Mitton trading scheme. The only two such documents in evidence were an unexecuted trust agreement dated December 14, 1995, between Barry Holmes and Sandy Key Investments Ltd., a company controlled by Edward Rempel and an April 13, 1996, trust agreement between Alfred Kaminski and Mill Creek Capital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fact Barry Holmes was a party to the first of these trust agreements indicates it was a matter of his personal business. There was no file opened at MBAH or account rendered by MBAH in connection with drafting either document, which leads me to infer the drafting was done by Barry Holmes as a personal matter not in the ordinary course of the business of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In any event, there is no evidence that either of these documents is related to the trading at Golden Capital which led to its losses. At most they are evidence of arrangements amongst participants in the Mitton trading scheme. I find that MBAH is not liable as a result of Barry Holmes drafting these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Golden Capital further alleges that Barry Holmes attended the February 12, 1996, meeting with Ben Oxholm on behalf of his clients Michael Mitton, Alfred Rempel "and others" in his capacity as a partner of MBAH and in that capacity "allowed" various misrepresentations to be made to Ben Oxholm knowing they were false, without advising Golden Capital they were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evidence indicates that Barry Holmes did not attend the meeting as a lawyer, let alone as a partner of MBAH. The fact he gave Ben Oxholm his card with the "MBAH" name and the firm's Abbotsford address does not lead to the inference he attended as a partner of MBAH. It is equally consistent with Barry Holmes conveying that address to Ben Oxholm for the purpose of conducting personal business at the firm's address, as he had done with the North Shore account at Midland Walwyn.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Ben Oxholm testified he understood Barry Holmes was there as one of the group of investors interested in bond trading. That is consistent with Ben Oxholm's testimony that Barry Holmes told him he would be the president of BB &amp; HF, which would open an account at Golden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Ben Oxholm also testified that it had not occurred to him at the meeting that Barry Holmes was there as lawyer for Alfred or Edward Rempel. That is consistent with Edward Rempel's evidence. He did not testify that Barry Holmes was there as his lawyer or Lakeside's lawyer. He testified Barry Holmes was there as an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It is also consistent with Alfred Rempel's evidence. He testified that it "could be" he invited Barry Holmes to attend the meeting but "not really" as his lawyer. On cross-examination he denied Barry Holmes was there as his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Barry Holmes testified that Alfred Rempel asked him to attend as his counsel. However, in a sworn statement he gave to the BCSC on May 8, 2001, he did not mention attending the February 12, 1996 meeting as counsel for any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Under cross-examination by counsel for MBAH, Barry Holmes maintained he attended so he could arrange to provide corporate documents for those client companies which applied to open accounts at Golden Capital. However he agreed he need not have attended to provide that service and that no client had asked him to receive account opening forms or provide corporate documents. He made no notes of the meeting and could not recall giving advice or opening a file at MBAH as a result of the meeting. I have already found Barry Holmes did not instruct anyone at MBAH to provide corporate documents to accompany the BB &amp; HF and Valley Ridge account opening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On the whole of the evidence, I find that Barry Holmes attended the February 12, 1996, meeting with Ben Oxholm in his personal capacity, not as a partner of MBAH. It follows that MBAH is not liable for anything done, said or not said by Barry Holmes at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Golden Capital further alleges that Barry Holmes attended three meetings dealing with aspects of the Mitton trading scheme on behalf of clients. Under cross-examination by counsel for Golden Capital Barry Holmes testified he attended each of these meetings as a partner of MBAH. Other evidence indicates that is not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 first was a meeting Barry Holmes had with personnel of Scotia McLeod on January 15, 1996, which he attended on behalf of Valley Ridge in response to that brokerage's concerns about Valley Ridge failing to deliver shares sold short by the settlement dates. In his evidence in chief Barry Holmes did not testify he attended as a partner of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This is the meeting which resulted in Barry Holmes sending the fax quoted at paragraph 25. This fax, although apparently faxed from MBAH's Abbotsford office and bearing the address, fax and telephone numbers of that office, is under letterhead for "O. Barry Holmes Barrister and Solicitor" with no reference to the MBAH firm name. Rather than holding himself out or acting as a partner of MBAH, Barry Holmes dealt with Scotia McLeod using his personal law practice, unbeknownst to his MBAH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The fax bears no MBAH file number. There is no evidence an MBAH file was opened in connection with the meeting. Despite Charles Wiebe's testimony that he believed Valley Ridge had been billed for the attendance, there is no evidence an MBAH account was ever sent to Valley Ridge for Barry Holmes' attendance. This is all consistent with Barry Holmes concealing from his MBAH partners that he carried on a practice 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Barry Holmes received money from Scotia McLeod into his personal trust account on behalf of Valley Ridge and reported this to Valley Ridge by letter on January 22, 1996, on letterhead for "O. Barry Holmes Barrister and Solicitor" with an address at a Post Office Box, not MBAH's office. Some $2,602.25 of that money was paid to MBAH in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On cross-examination Barry Holmes testified that might have been payment to MBAH by Valley Ridge for his attendance at the January 15, 1996 meeting with Scotia McLeod. It wasn't. On August 14, 1996, Charles Wiebe authorized MBAH to pay itself part of this money to satisfy its accounts rendered to BB &amp; HF and Valley Ridge relating to Golden Capital's actions against these companies to recover its losses from trading in their brokerage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 find Barry Holmes was not acting in his capacity as a partner of MBAH when he attended the January 15, 1996, meeting with Scotia McLeod.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The second meeting was on February 4, 1996. Barry Holmes, Edward Rempel and Michael Mitton met Brad Scarfe, a broker, to discuss settlement of Edward Rempel's trading with Canaccord. Edward Rempel testified Barry Holmes could have been introduced as his lawyer. Again, there is no record of the meeting in MBAH files nor any account from MBAH to Edward Rempel for Barry Holmes'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If Barry Holmes attended as Edward Rempel's lawyer, I find he did so not as a partner of MBAH but in the course of his personal practice unbeknownst to his partners at MBAH.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third meeting, held in MBAH's Abbotsford office, at 7:00 pm on February 19, 1996, was attended by Alfred and Edward Rempel, David and Bruce Vernon, Michael Mitton and Barry Holmes. Edward Rempel called the meeting to discuss pooling and dividing profits and losses from securities trading. Golden Capital contends Barry Holmes attended as counsel for Alfred Rempel and Valley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Edward Rempel testified that he proposed that 50% of any profits would be shared by Barry Holmes and Michael Mitton. Barry Holmes told the BCSC on May 8, 2001, the meeting was about "a profit sharing plan" and that no one reacted to Edward Rempel's proposal. Barry Holmes recalled opening no file, rendering no account nor advising any client as a result of the meeting. I find Barry Holmes attended this meeting in is personal capacity, not as a partner of MBAH. It was a meeting of business associates about their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In brief summary, I find the only things done by Barry Holmes in the usual course of the business of MBAH, alleged by Golden Capital to give rise liability on the part of MBAH, were the incorporation of BB &amp; HF and Valley Ridge, preparation of some of the corporate documentation and maintenance of corporate records. None of these resulted in Golden Capital's losses. The other things done by Barry Holmes which Golden Capital alleges impose liability on MBAH were all done by him in his personal law practice, unauthorized by and unbeknownst to his MBAH partners, or in his personal capacity as a business associate of other defendants who happened to be MBAH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 find MBAH is not vicariously liable for the tortuous conduct of Barry Holmes which resulted in Golden Capital's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Golden Capital claims as damages the debits in the BB &amp; HF and Valley Ridge accounts, $722,820.10 as of April 1, 1996 and $41,780.62 as of August 1, 1996 respectively. These amounts include interest charged by Golden Capital on debits incurred as a result of trading losses. The later date in regard to the Valley Ridge account results from the orderly sale over several months of a long position in Annova shares to reduce the debit in the March 1996 account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Defendants' counsel argued that the amount of any damages awarded should be reduced by $144,366.24 Golden Capital has withheld from Ben Oxholm's commissions and $97,071.97 obtained by Golden Capital from National Financial Services ("NFS")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I reject those submissions. Golden Capital has not applied either amount to reduce the losses incurred in the BB &amp; HF and Valley Ridge accounts but has used the money to finance litigation to recover the losses. The court was advised those litigation costs to date exceed the total received from Ben Oxholm and NFS.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Ben Oxholm was contractually obliged to make good losses incurred by Golden Capital as a result of trading he conducted. Golden Capital's arrangement with Ben Oxholm is that he will be refunded what he has paid to the extent Golden Capital's ultimate recovery exceeds losses and litigation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Based on the evidence and findings in this case, Ben Oxholm would have a right of action against those defendants found liable for any losses he sustained and does not recover under his arrangement with Golden Capital. It makes no sense to deduct what he has paid Golden Capital from the damages awarded Golden Capital and force Ben Oxholm to bring his own action to then recover that amount from the those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In 1997, funds in an account of Key West Realty Ltd., a company owned by Charles Wiebe and his wife, at Wolverton Securities Ltd., were frozen by the BCSC. Charles Wiebe later claimed an interest in the funds but assigned them without restriction to NFS, which in turn agreed to transfer $97,071.97 to Golden Capital. In 1999, Charles Wiebe's solicitors wrote to Golden Capital's solicitors requesting that the money be held in trust to be applied against any judgment or settlement in this case. Golden Capital's solicitors rejected that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If Charles Wiebe has any claim to this money, he will have to pursue it in separate proceedings. I can see no basis to effectively award him that sum in this case by deducting it from the judgment awarded to Golden Capital, merely on his then lawyer's 1999 assertion of a claim to the money Charles Wiebe relinquished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xml:space="preserve">  I find Michael Mitton, Barry Holmes, Alfred Rempel, Charles Wiebe, Valley Ridge, BB &amp; HF and North Shore jointly and severally liable to Golden Capital for the losses in the BB &amp; HF and Valley Ridge accounts as set out in paragraph 195, that is $715,202 and $38,733, with prejudgment interest from the dates referred to in paragraph 318 on the respective debit amounts. An award based on the figures in paragraph 318 would result in pre-judgment interest being awarded on interest charged by Golden Capital in the BB &amp; HF and Valley Ridge accounts, which is precluded by s. 2(c) of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Post-judgment interest is payable from the date of judgment pursuant to s. 7(2) of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Golden Capital also seeks aggravated and punitive damages and an order that North Shore and Barry Holmes are constructive trustees with respect to over $310,000 paid to North Shore by Golden Capital as a result of DAP transfers of shares to the BB &amp; HF and Valley Ridge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Although these claims were addressed in Golden Capital's written submission, counsel for the defendants did not address them in their submissions. I do not take that as an implicit concession that aggravated or punitive damages are appropriate or that the constructive trust remedy should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 advised counsel that because of the range of possible outcomes in the case that I would entertain submissions as to costs after giving judgment. In the circumstances, I think it prudent to reserve further on the issues of aggravated and punitive damages and the constructive trust remedy and to receive further submissions on those issues as well as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In light of the number of busy counsel involved, I direct counsel to make their submissions on these issues in writing. If they cannot agree to a schedule for written submissions, they should so notify the trial coordinator and I will set a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E.R.A. EDWARDS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34" style="position:absolute;z-index:25187123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Sonmor (Guardian ad Litem of) v. Williams, [2006] B.C.J. No. 1744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Strachan (Guardian ad Litem of) v. Reynolds, [2006] B.C.J. No. 484</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3851 v. Homer Street Development Limited Partnership, [2009] B.C.J. No. 545</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Ultra Care Pharmacy Ltd. v. Garvin's Holdings Ltd., [2017] B.C.J. No. 305</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Furniture Warehouse LP v. 551148 B.C. Ltd., [2007] B.C.J. No. 1862</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Williams v. British Columbia, [2000] B.C.J. No. 1418</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Wong v. Luong, [2004] B.C.J. No. 2386</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Cannon v. Al Perrett Enterprises Inc. (c.o.b. Kamloops Harley-Davidson), [2018] B.C.J. No. 382</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Chamberlin v. Canadian Physiotherapy Assn., [2015] B.C.J. No. 1536</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Conarroe v. Tallack, [2020] B.C.J. No. 347</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Craigie (Litigation guardians of) v. Lehigh Hanson Materials Ltd. (c.o.b. Ocean Concrete), [2020] B.C.J. No. 16</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 King Lodge Ltd. v. Gowlland Towing Ltd., [2004] B.C.J. No. 677</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Singh v. Chand, [2019] B.C.J. No. 1065</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Tchir v. South Coast British Columbia Transportation Authority, [2014] B.C.J. No. 1269</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577519 B.C. Ltd. v. Weyerhaeuser, [2004] B.C.J. No. 1011</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Ali v. Samra, [2020] I.L.R. para. G-2854</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Bartel v. Reid, [2004] B.C.J. No. 1244</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Bryce v. Rala Investments Ltd., [2020] B.C.J. No. 113</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Dias v. Hardcastle, [2003] B.C.J. No. 2812</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Drage v. Page, [2003] B.C.J. No. 64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Elzinga v. Sharpe, [2019] B.C.J. No. 358</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Ferguson v. Watt, [2019] I.L.R. para. M-3106</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 v. Hoogbruin (c.o.b. Hoogbruin and Co.), [2005] B.C.J. No. 1366</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Inwest Investments Ltd. v. Canada, [2015] B.C.J. No. 1689</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Jackson v. Kelowna General Hospital, 2006 CHFL para. 15,418</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Kondor v. Shea, [2014] B.C.J. No. 2826</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Leslie v. Dool, [2019] I.L.R. para. M-3145</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Mattice v. Kirby, [2014] I.L.R. para. M-2762</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Millership v. Kamloops (City), [2003] B.C.J. No. 109</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Mohamed v. Intransit BC Limited Partnership, [2015] I.L.R. para. G-2685</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Mountainview Co-operative Housing Assn. v. Moerkerken, [2004] B.C.J. No. 469</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Ranahan v. Oceguera, [2019] B.C.J. No. 259</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Samaroo v. Canada Revenue Agency, [2018] B.C.J. No. 363</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Sarginson v. Nordquist, [2020] I.L.R. para. M-3179</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Canada (Attorney General), [2004] B.C.J. No. 2469</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 Duzen v. Lecovin, [2004] B.C.J. No. 2206</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Zhang v. Kan, [2003] B.C.J. No. 164</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Apex Mountain Resort Ltd. v. British Columbia, [2001] B.C.J. No. 600</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B.G. v. British Columbia, [2003] B.C.J. No. 3002</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Biddlecombe v. Sheepwash, [2015] B.C.J. No. 2570</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L.B. v. K.H., [2003] B.C.J. No. 2970</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B.M.P. Global Distribution Inc. v. Bank of Nova Scotia (c.o.b. Scotiabank), [2005] B.C.J. No. 1662</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Bower v. Rosicky, [2000] B.C.J. No. 166</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Brisson v. Brisson, [2001] B.C.J. No. 958</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v. Bolster, [2005] B.C.J. No. 2365</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Mortgage and Housing Corp. v. Barclay Construction Corp., [2007] B.C.J. No. 1411</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Charles v. 0804656 BC Ltd., [2019] I.L.R. para. G-2845</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Currie v. Foster, [2017] B.C.J. No. 2337</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Garcha v. Gill, [2008] B.C.J. No. 2498</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Golden Capital Securities Ltd. v. Holmes, [2002] B.C.J. No. 2381</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x)"/>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x)"/>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3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4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4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I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V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V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V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4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4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4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4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5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a)"/>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d)"/>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e)"/>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5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5"/>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1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2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2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2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2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0"/>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7"/>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8"/>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0"/>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7"/>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8"/>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0"/>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1"/>
      <w:numFmt w:val="decimal"/>
      <w:lvlText w:val="(v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3"/>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4"/>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1"/>
      <w:numFmt w:val="decimal"/>
      <w:lvlText w:val="IX."/>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1"/>
      <w:numFmt w:val="decimal"/>
      <w:lvlText w:val="A."/>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2"/>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3"/>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1"/>
      <w:numFmt w:val="decimal"/>
      <w:lvlText w:val="X."/>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00000BE"/>
    <w:multiLevelType w:val="multilevel"/>
    <w:tmpl w:val="000000BE"/>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00000BF"/>
    <w:multiLevelType w:val="multilevel"/>
    <w:tmpl w:val="000000BF"/>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00000C0"/>
    <w:multiLevelType w:val="multilevel"/>
    <w:tmpl w:val="000000C0"/>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00000C1"/>
    <w:multiLevelType w:val="multilevel"/>
    <w:tmpl w:val="000000C1"/>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D47F4F8"/>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115A4D3A"/>
    <w:multiLevelType w:val="multilevel"/>
    <w:tmpl w:val="00000001"/>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11B9AC5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14615C8F"/>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15736789"/>
    <w:multiLevelType w:val="multilevel"/>
    <w:tmpl w:val="00000001"/>
    <w:lvl w:ilvl="0">
      <w:start w:val="7"/>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17B4224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1892FB8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1C218BD3"/>
    <w:multiLevelType w:val="multilevel"/>
    <w:tmpl w:val="00000001"/>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203DCC2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249120C6"/>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27B4706E"/>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2D5D6556"/>
    <w:multiLevelType w:val="multilevel"/>
    <w:tmpl w:val="00000001"/>
    <w:lvl w:ilvl="0">
      <w:start w:val="1"/>
      <w:numFmt w:val="decimal"/>
      <w:lvlText w:val="4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30F4ACC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33D05C2A"/>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3626C98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37834A2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3CBC16A0"/>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3D54C739"/>
    <w:multiLevelType w:val="multilevel"/>
    <w:tmpl w:val="00000001"/>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3F9E424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41433480"/>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41C97618"/>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42665D23"/>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461FA741"/>
    <w:multiLevelType w:val="multilevel"/>
    <w:tmpl w:val="00000001"/>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48960915"/>
    <w:multiLevelType w:val="multilevel"/>
    <w:tmpl w:val="00000001"/>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4DC42001"/>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4E14023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4E3BF6E6"/>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4F6498B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513E1B07"/>
    <w:multiLevelType w:val="multilevel"/>
    <w:tmpl w:val="00000001"/>
    <w:lvl w:ilvl="0">
      <w:start w:val="1"/>
      <w:numFmt w:val="upp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5223EB2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524E777E"/>
    <w:multiLevelType w:val="multilevel"/>
    <w:tmpl w:val="00000001"/>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55B4424C"/>
    <w:multiLevelType w:val="multilevel"/>
    <w:tmpl w:val="00000001"/>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5947E1D3"/>
    <w:multiLevelType w:val="multilevel"/>
    <w:tmpl w:val="00000001"/>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5C2AE898"/>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623E001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6DE5F76D"/>
    <w:multiLevelType w:val="multilevel"/>
    <w:tmpl w:val="00000001"/>
    <w:lvl w:ilvl="0">
      <w:start w:val="7"/>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775B1C2E"/>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nsid w:val="78F35563"/>
    <w:multiLevelType w:val="multilevel"/>
    <w:tmpl w:val="00000001"/>
    <w:lvl w:ilvl="0">
      <w:start w:val="2"/>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7CB22773"/>
    <w:multiLevelType w:val="multilevel"/>
    <w:tmpl w:val="00000001"/>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nsid w:val="7EA57305"/>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7EAD3CB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25"/>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228"/>
  </w:num>
  <w:num w:numId="44">
    <w:abstractNumId w:val="224"/>
  </w:num>
  <w:num w:numId="45">
    <w:abstractNumId w:val="231"/>
  </w:num>
  <w:num w:numId="46">
    <w:abstractNumId w:val="41"/>
  </w:num>
  <w:num w:numId="47">
    <w:abstractNumId w:val="42"/>
  </w:num>
  <w:num w:numId="48">
    <w:abstractNumId w:val="43"/>
  </w:num>
  <w:num w:numId="49">
    <w:abstractNumId w:val="44"/>
  </w:num>
  <w:num w:numId="50">
    <w:abstractNumId w:val="45"/>
  </w:num>
  <w:num w:numId="51">
    <w:abstractNumId w:val="46"/>
  </w:num>
  <w:num w:numId="52">
    <w:abstractNumId w:val="47"/>
  </w:num>
  <w:num w:numId="53">
    <w:abstractNumId w:val="48"/>
  </w:num>
  <w:num w:numId="54">
    <w:abstractNumId w:val="49"/>
  </w:num>
  <w:num w:numId="55">
    <w:abstractNumId w:val="50"/>
  </w:num>
  <w:num w:numId="56">
    <w:abstractNumId w:val="51"/>
  </w:num>
  <w:num w:numId="57">
    <w:abstractNumId w:val="52"/>
  </w:num>
  <w:num w:numId="58">
    <w:abstractNumId w:val="53"/>
  </w:num>
  <w:num w:numId="59">
    <w:abstractNumId w:val="54"/>
  </w:num>
  <w:num w:numId="60">
    <w:abstractNumId w:val="212"/>
  </w:num>
  <w:num w:numId="61">
    <w:abstractNumId w:val="209"/>
  </w:num>
  <w:num w:numId="62">
    <w:abstractNumId w:val="193"/>
  </w:num>
  <w:num w:numId="63">
    <w:abstractNumId w:val="217"/>
  </w:num>
  <w:num w:numId="64">
    <w:abstractNumId w:val="216"/>
  </w:num>
  <w:num w:numId="65">
    <w:abstractNumId w:val="205"/>
  </w:num>
  <w:num w:numId="66">
    <w:abstractNumId w:val="55"/>
  </w:num>
  <w:num w:numId="67">
    <w:abstractNumId w:val="56"/>
  </w:num>
  <w:num w:numId="68">
    <w:abstractNumId w:val="57"/>
  </w:num>
  <w:num w:numId="69">
    <w:abstractNumId w:val="58"/>
  </w:num>
  <w:num w:numId="70">
    <w:abstractNumId w:val="59"/>
  </w:num>
  <w:num w:numId="71">
    <w:abstractNumId w:val="60"/>
  </w:num>
  <w:num w:numId="72">
    <w:abstractNumId w:val="61"/>
  </w:num>
  <w:num w:numId="73">
    <w:abstractNumId w:val="62"/>
  </w:num>
  <w:num w:numId="74">
    <w:abstractNumId w:val="63"/>
  </w:num>
  <w:num w:numId="75">
    <w:abstractNumId w:val="64"/>
  </w:num>
  <w:num w:numId="76">
    <w:abstractNumId w:val="65"/>
  </w:num>
  <w:num w:numId="77">
    <w:abstractNumId w:val="66"/>
  </w:num>
  <w:num w:numId="78">
    <w:abstractNumId w:val="67"/>
  </w:num>
  <w:num w:numId="79">
    <w:abstractNumId w:val="68"/>
  </w:num>
  <w:num w:numId="80">
    <w:abstractNumId w:val="69"/>
  </w:num>
  <w:num w:numId="81">
    <w:abstractNumId w:val="70"/>
  </w:num>
  <w:num w:numId="82">
    <w:abstractNumId w:val="71"/>
  </w:num>
  <w:num w:numId="83">
    <w:abstractNumId w:val="72"/>
  </w:num>
  <w:num w:numId="84">
    <w:abstractNumId w:val="73"/>
  </w:num>
  <w:num w:numId="85">
    <w:abstractNumId w:val="74"/>
  </w:num>
  <w:num w:numId="86">
    <w:abstractNumId w:val="75"/>
  </w:num>
  <w:num w:numId="87">
    <w:abstractNumId w:val="76"/>
  </w:num>
  <w:num w:numId="88">
    <w:abstractNumId w:val="77"/>
  </w:num>
  <w:num w:numId="89">
    <w:abstractNumId w:val="78"/>
  </w:num>
  <w:num w:numId="90">
    <w:abstractNumId w:val="79"/>
  </w:num>
  <w:num w:numId="91">
    <w:abstractNumId w:val="80"/>
  </w:num>
  <w:num w:numId="92">
    <w:abstractNumId w:val="81"/>
  </w:num>
  <w:num w:numId="93">
    <w:abstractNumId w:val="82"/>
  </w:num>
  <w:num w:numId="94">
    <w:abstractNumId w:val="83"/>
  </w:num>
  <w:num w:numId="95">
    <w:abstractNumId w:val="84"/>
  </w:num>
  <w:num w:numId="96">
    <w:abstractNumId w:val="197"/>
  </w:num>
  <w:num w:numId="97">
    <w:abstractNumId w:val="219"/>
  </w:num>
  <w:num w:numId="98">
    <w:abstractNumId w:val="227"/>
  </w:num>
  <w:num w:numId="99">
    <w:abstractNumId w:val="208"/>
  </w:num>
  <w:num w:numId="100">
    <w:abstractNumId w:val="195"/>
  </w:num>
  <w:num w:numId="101">
    <w:abstractNumId w:val="194"/>
  </w:num>
  <w:num w:numId="102">
    <w:abstractNumId w:val="203"/>
  </w:num>
  <w:num w:numId="103">
    <w:abstractNumId w:val="202"/>
  </w:num>
  <w:num w:numId="104">
    <w:abstractNumId w:val="201"/>
  </w:num>
  <w:num w:numId="105">
    <w:abstractNumId w:val="196"/>
  </w:num>
  <w:num w:numId="106">
    <w:abstractNumId w:val="213"/>
  </w:num>
  <w:num w:numId="107">
    <w:abstractNumId w:val="210"/>
  </w:num>
  <w:num w:numId="108">
    <w:abstractNumId w:val="218"/>
  </w:num>
  <w:num w:numId="109">
    <w:abstractNumId w:val="220"/>
  </w:num>
  <w:num w:numId="110">
    <w:abstractNumId w:val="222"/>
  </w:num>
  <w:num w:numId="111">
    <w:abstractNumId w:val="85"/>
  </w:num>
  <w:num w:numId="112">
    <w:abstractNumId w:val="86"/>
  </w:num>
  <w:num w:numId="113">
    <w:abstractNumId w:val="87"/>
  </w:num>
  <w:num w:numId="114">
    <w:abstractNumId w:val="88"/>
  </w:num>
  <w:num w:numId="115">
    <w:abstractNumId w:val="89"/>
  </w:num>
  <w:num w:numId="116">
    <w:abstractNumId w:val="90"/>
  </w:num>
  <w:num w:numId="117">
    <w:abstractNumId w:val="91"/>
  </w:num>
  <w:num w:numId="118">
    <w:abstractNumId w:val="92"/>
  </w:num>
  <w:num w:numId="119">
    <w:abstractNumId w:val="93"/>
  </w:num>
  <w:num w:numId="120">
    <w:abstractNumId w:val="94"/>
  </w:num>
  <w:num w:numId="121">
    <w:abstractNumId w:val="95"/>
  </w:num>
  <w:num w:numId="122">
    <w:abstractNumId w:val="96"/>
  </w:num>
  <w:num w:numId="123">
    <w:abstractNumId w:val="97"/>
  </w:num>
  <w:num w:numId="124">
    <w:abstractNumId w:val="98"/>
  </w:num>
  <w:num w:numId="125">
    <w:abstractNumId w:val="99"/>
  </w:num>
  <w:num w:numId="126">
    <w:abstractNumId w:val="100"/>
  </w:num>
  <w:num w:numId="127">
    <w:abstractNumId w:val="101"/>
  </w:num>
  <w:num w:numId="128">
    <w:abstractNumId w:val="102"/>
  </w:num>
  <w:num w:numId="129">
    <w:abstractNumId w:val="103"/>
  </w:num>
  <w:num w:numId="130">
    <w:abstractNumId w:val="104"/>
  </w:num>
  <w:num w:numId="131">
    <w:abstractNumId w:val="105"/>
  </w:num>
  <w:num w:numId="132">
    <w:abstractNumId w:val="106"/>
  </w:num>
  <w:num w:numId="133">
    <w:abstractNumId w:val="107"/>
  </w:num>
  <w:num w:numId="134">
    <w:abstractNumId w:val="108"/>
  </w:num>
  <w:num w:numId="135">
    <w:abstractNumId w:val="109"/>
  </w:num>
  <w:num w:numId="136">
    <w:abstractNumId w:val="110"/>
  </w:num>
  <w:num w:numId="137">
    <w:abstractNumId w:val="111"/>
  </w:num>
  <w:num w:numId="138">
    <w:abstractNumId w:val="112"/>
  </w:num>
  <w:num w:numId="139">
    <w:abstractNumId w:val="113"/>
  </w:num>
  <w:num w:numId="140">
    <w:abstractNumId w:val="114"/>
  </w:num>
  <w:num w:numId="141">
    <w:abstractNumId w:val="115"/>
  </w:num>
  <w:num w:numId="142">
    <w:abstractNumId w:val="116"/>
  </w:num>
  <w:num w:numId="143">
    <w:abstractNumId w:val="117"/>
  </w:num>
  <w:num w:numId="144">
    <w:abstractNumId w:val="118"/>
  </w:num>
  <w:num w:numId="145">
    <w:abstractNumId w:val="119"/>
  </w:num>
  <w:num w:numId="146">
    <w:abstractNumId w:val="120"/>
  </w:num>
  <w:num w:numId="147">
    <w:abstractNumId w:val="121"/>
  </w:num>
  <w:num w:numId="148">
    <w:abstractNumId w:val="122"/>
  </w:num>
  <w:num w:numId="149">
    <w:abstractNumId w:val="123"/>
  </w:num>
  <w:num w:numId="150">
    <w:abstractNumId w:val="124"/>
  </w:num>
  <w:num w:numId="151">
    <w:abstractNumId w:val="125"/>
  </w:num>
  <w:num w:numId="152">
    <w:abstractNumId w:val="126"/>
  </w:num>
  <w:num w:numId="153">
    <w:abstractNumId w:val="127"/>
  </w:num>
  <w:num w:numId="154">
    <w:abstractNumId w:val="128"/>
  </w:num>
  <w:num w:numId="155">
    <w:abstractNumId w:val="129"/>
  </w:num>
  <w:num w:numId="156">
    <w:abstractNumId w:val="130"/>
  </w:num>
  <w:num w:numId="157">
    <w:abstractNumId w:val="131"/>
  </w:num>
  <w:num w:numId="158">
    <w:abstractNumId w:val="132"/>
  </w:num>
  <w:num w:numId="159">
    <w:abstractNumId w:val="133"/>
  </w:num>
  <w:num w:numId="160">
    <w:abstractNumId w:val="134"/>
  </w:num>
  <w:num w:numId="161">
    <w:abstractNumId w:val="135"/>
  </w:num>
  <w:num w:numId="162">
    <w:abstractNumId w:val="136"/>
  </w:num>
  <w:num w:numId="163">
    <w:abstractNumId w:val="137"/>
  </w:num>
  <w:num w:numId="164">
    <w:abstractNumId w:val="138"/>
  </w:num>
  <w:num w:numId="165">
    <w:abstractNumId w:val="139"/>
  </w:num>
  <w:num w:numId="166">
    <w:abstractNumId w:val="140"/>
  </w:num>
  <w:num w:numId="167">
    <w:abstractNumId w:val="141"/>
  </w:num>
  <w:num w:numId="168">
    <w:abstractNumId w:val="142"/>
  </w:num>
  <w:num w:numId="169">
    <w:abstractNumId w:val="143"/>
  </w:num>
  <w:num w:numId="170">
    <w:abstractNumId w:val="144"/>
  </w:num>
  <w:num w:numId="171">
    <w:abstractNumId w:val="145"/>
  </w:num>
  <w:num w:numId="172">
    <w:abstractNumId w:val="146"/>
  </w:num>
  <w:num w:numId="173">
    <w:abstractNumId w:val="147"/>
  </w:num>
  <w:num w:numId="174">
    <w:abstractNumId w:val="148"/>
  </w:num>
  <w:num w:numId="175">
    <w:abstractNumId w:val="149"/>
  </w:num>
  <w:num w:numId="176">
    <w:abstractNumId w:val="150"/>
  </w:num>
  <w:num w:numId="177">
    <w:abstractNumId w:val="151"/>
  </w:num>
  <w:num w:numId="178">
    <w:abstractNumId w:val="152"/>
  </w:num>
  <w:num w:numId="179">
    <w:abstractNumId w:val="153"/>
  </w:num>
  <w:num w:numId="180">
    <w:abstractNumId w:val="154"/>
  </w:num>
  <w:num w:numId="181">
    <w:abstractNumId w:val="155"/>
  </w:num>
  <w:num w:numId="182">
    <w:abstractNumId w:val="156"/>
  </w:num>
  <w:num w:numId="183">
    <w:abstractNumId w:val="157"/>
  </w:num>
  <w:num w:numId="184">
    <w:abstractNumId w:val="158"/>
  </w:num>
  <w:num w:numId="185">
    <w:abstractNumId w:val="159"/>
  </w:num>
  <w:num w:numId="186">
    <w:abstractNumId w:val="160"/>
  </w:num>
  <w:num w:numId="187">
    <w:abstractNumId w:val="161"/>
  </w:num>
  <w:num w:numId="188">
    <w:abstractNumId w:val="162"/>
  </w:num>
  <w:num w:numId="189">
    <w:abstractNumId w:val="163"/>
  </w:num>
  <w:num w:numId="190">
    <w:abstractNumId w:val="164"/>
  </w:num>
  <w:num w:numId="191">
    <w:abstractNumId w:val="165"/>
  </w:num>
  <w:num w:numId="192">
    <w:abstractNumId w:val="166"/>
  </w:num>
  <w:num w:numId="193">
    <w:abstractNumId w:val="211"/>
  </w:num>
  <w:num w:numId="194">
    <w:abstractNumId w:val="215"/>
  </w:num>
  <w:num w:numId="195">
    <w:abstractNumId w:val="230"/>
  </w:num>
  <w:num w:numId="196">
    <w:abstractNumId w:val="221"/>
  </w:num>
  <w:num w:numId="197">
    <w:abstractNumId w:val="199"/>
  </w:num>
  <w:num w:numId="198">
    <w:abstractNumId w:val="233"/>
  </w:num>
  <w:num w:numId="199">
    <w:abstractNumId w:val="232"/>
  </w:num>
  <w:num w:numId="200">
    <w:abstractNumId w:val="206"/>
  </w:num>
  <w:num w:numId="201">
    <w:abstractNumId w:val="167"/>
  </w:num>
  <w:num w:numId="202">
    <w:abstractNumId w:val="168"/>
  </w:num>
  <w:num w:numId="203">
    <w:abstractNumId w:val="169"/>
  </w:num>
  <w:num w:numId="204">
    <w:abstractNumId w:val="170"/>
  </w:num>
  <w:num w:numId="205">
    <w:abstractNumId w:val="171"/>
  </w:num>
  <w:num w:numId="206">
    <w:abstractNumId w:val="172"/>
  </w:num>
  <w:num w:numId="207">
    <w:abstractNumId w:val="173"/>
  </w:num>
  <w:num w:numId="208">
    <w:abstractNumId w:val="174"/>
  </w:num>
  <w:num w:numId="209">
    <w:abstractNumId w:val="175"/>
  </w:num>
  <w:num w:numId="210">
    <w:abstractNumId w:val="176"/>
  </w:num>
  <w:num w:numId="211">
    <w:abstractNumId w:val="177"/>
  </w:num>
  <w:num w:numId="212">
    <w:abstractNumId w:val="178"/>
  </w:num>
  <w:num w:numId="213">
    <w:abstractNumId w:val="179"/>
  </w:num>
  <w:num w:numId="214">
    <w:abstractNumId w:val="180"/>
  </w:num>
  <w:num w:numId="215">
    <w:abstractNumId w:val="181"/>
  </w:num>
  <w:num w:numId="216">
    <w:abstractNumId w:val="182"/>
  </w:num>
  <w:num w:numId="217">
    <w:abstractNumId w:val="183"/>
  </w:num>
  <w:num w:numId="218">
    <w:abstractNumId w:val="184"/>
  </w:num>
  <w:num w:numId="219">
    <w:abstractNumId w:val="185"/>
  </w:num>
  <w:num w:numId="220">
    <w:abstractNumId w:val="186"/>
  </w:num>
  <w:num w:numId="221">
    <w:abstractNumId w:val="187"/>
  </w:num>
  <w:num w:numId="222">
    <w:abstractNumId w:val="188"/>
  </w:num>
  <w:num w:numId="223">
    <w:abstractNumId w:val="189"/>
  </w:num>
  <w:num w:numId="224">
    <w:abstractNumId w:val="190"/>
  </w:num>
  <w:num w:numId="225">
    <w:abstractNumId w:val="191"/>
  </w:num>
  <w:num w:numId="226">
    <w:abstractNumId w:val="192"/>
  </w:num>
  <w:num w:numId="227">
    <w:abstractNumId w:val="214"/>
  </w:num>
  <w:num w:numId="228">
    <w:abstractNumId w:val="229"/>
  </w:num>
  <w:num w:numId="229">
    <w:abstractNumId w:val="198"/>
  </w:num>
  <w:num w:numId="230">
    <w:abstractNumId w:val="223"/>
  </w:num>
  <w:num w:numId="231">
    <w:abstractNumId w:val="226"/>
  </w:num>
  <w:num w:numId="232">
    <w:abstractNumId w:val="200"/>
  </w:num>
  <w:num w:numId="233">
    <w:abstractNumId w:val="207"/>
  </w:num>
  <w:num w:numId="234">
    <w:abstractNumId w:val="20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F1-FJTD-G3BW-00000-00&amp;context=" TargetMode="External" /><Relationship Id="rId100" Type="http://schemas.openxmlformats.org/officeDocument/2006/relationships/header" Target="header23.xml" /><Relationship Id="rId1000" Type="http://schemas.openxmlformats.org/officeDocument/2006/relationships/hyperlink" Target="https://advance.lexis.com/api/document?collection=cases-ca&amp;id=urn:contentItem:5F7T-S781-F7G6-6380-00000-00&amp;context=" TargetMode="External" /><Relationship Id="rId1001" Type="http://schemas.openxmlformats.org/officeDocument/2006/relationships/hyperlink" Target="https://advance.lexis.com/api/document?collection=cases-ca&amp;id=urn:contentItem:5F7T-S771-JJD0-G10X-00000-00&amp;context=" TargetMode="External" /><Relationship Id="rId1002" Type="http://schemas.openxmlformats.org/officeDocument/2006/relationships/hyperlink" Target="https://advance.lexis.com/api/document?collection=cases-ca&amp;id=urn:contentItem:5F7T-S771-JJD0-G1M9-00000-00&amp;context=" TargetMode="External" /><Relationship Id="rId1003" Type="http://schemas.openxmlformats.org/officeDocument/2006/relationships/hyperlink" Target="https://advance.lexis.com/api/document?collection=cases-ca&amp;id=urn:contentItem:5F8N-K6X1-JSXV-G1D1-00000-00&amp;context=" TargetMode="External" /><Relationship Id="rId1004" Type="http://schemas.openxmlformats.org/officeDocument/2006/relationships/hyperlink" Target="https://advance.lexis.com/api/document?collection=cases-ca&amp;id=urn:contentItem:5F8T-N3S1-JBDT-B0CP-00000-00&amp;context=" TargetMode="External" /><Relationship Id="rId1005" Type="http://schemas.openxmlformats.org/officeDocument/2006/relationships/header" Target="header133.xml" /><Relationship Id="rId1006" Type="http://schemas.openxmlformats.org/officeDocument/2006/relationships/header" Target="header134.xml" /><Relationship Id="rId1007" Type="http://schemas.openxmlformats.org/officeDocument/2006/relationships/footer" Target="footer133.xml" /><Relationship Id="rId1008" Type="http://schemas.openxmlformats.org/officeDocument/2006/relationships/footer" Target="footer134.xml" /><Relationship Id="rId1009" Type="http://schemas.openxmlformats.org/officeDocument/2006/relationships/header" Target="header135.xml" /><Relationship Id="rId101" Type="http://schemas.openxmlformats.org/officeDocument/2006/relationships/footer" Target="footer22.xml" /><Relationship Id="rId1010" Type="http://schemas.openxmlformats.org/officeDocument/2006/relationships/footer" Target="footer135.xml" /><Relationship Id="rId1011" Type="http://schemas.openxmlformats.org/officeDocument/2006/relationships/hyperlink" Target="https://advance.lexis.com/api/document?collection=cases-ca&amp;id=urn:contentItem:5F7T-S7D1-JS5Y-B2CY-00000-00&amp;context=" TargetMode="External" /><Relationship Id="rId1012" Type="http://schemas.openxmlformats.org/officeDocument/2006/relationships/hyperlink" Target="https://advance.lexis.com/api/document?collection=legislation-ca&amp;id=urn:contentItem:5F41-1FJ1-JPGX-S02N-00000-00&amp;context=" TargetMode="External" /><Relationship Id="rId1013" Type="http://schemas.openxmlformats.org/officeDocument/2006/relationships/hyperlink" Target="https://advance.lexis.com/api/document?collection=legislation-ca&amp;id=urn:contentItem:5KDP-V8P1-JPGX-S1FN-00000-00&amp;context=" TargetMode="External" /><Relationship Id="rId1014" Type="http://schemas.openxmlformats.org/officeDocument/2006/relationships/hyperlink" Target="https://advance.lexis.com/api/document?collection=cases-ca&amp;id=urn:contentItem:5F7T-S6X1-K054-G1WJ-00000-00&amp;context=" TargetMode="External" /><Relationship Id="rId1015" Type="http://schemas.openxmlformats.org/officeDocument/2006/relationships/hyperlink" Target="https://advance.lexis.com/api/document?collection=cases-ca&amp;id=urn:contentItem:5F8T-N3T1-JGHR-M258-00000-00&amp;context=" TargetMode="External" /><Relationship Id="rId1016" Type="http://schemas.openxmlformats.org/officeDocument/2006/relationships/hyperlink" Target="https://advance.lexis.com/api/document?collection=cases-ca&amp;id=urn:contentItem:5F7T-S7D1-JS5Y-B27S-00000-00&amp;context=" TargetMode="External" /><Relationship Id="rId1017" Type="http://schemas.openxmlformats.org/officeDocument/2006/relationships/hyperlink" Target="https://advance.lexis.com/api/document?collection=cases-ca&amp;id=urn:contentItem:5F7T-S7D1-FCSB-S2TM-00000-00&amp;context=" TargetMode="External" /><Relationship Id="rId1018" Type="http://schemas.openxmlformats.org/officeDocument/2006/relationships/hyperlink" Target="https://advance.lexis.com/api/document?collection=cases-ca&amp;id=urn:contentItem:5F8T-N3V1-FC1F-M3YP-00000-00&amp;context=" TargetMode="External" /><Relationship Id="rId1019" Type="http://schemas.openxmlformats.org/officeDocument/2006/relationships/hyperlink" Target="https://advance.lexis.com/api/document?collection=cases-ca&amp;id=urn:contentItem:5F8T-N3V1-FC1F-M4FX-00000-00&amp;context=" TargetMode="External" /><Relationship Id="rId102" Type="http://schemas.openxmlformats.org/officeDocument/2006/relationships/footer" Target="footer23.xml" /><Relationship Id="rId1020" Type="http://schemas.openxmlformats.org/officeDocument/2006/relationships/hyperlink" Target="https://advance.lexis.com/api/document?collection=cases-ca&amp;id=urn:contentItem:5F8T-N3V1-FC1F-M4FW-00000-00&amp;context=" TargetMode="External" /><Relationship Id="rId1021" Type="http://schemas.openxmlformats.org/officeDocument/2006/relationships/hyperlink" Target="https://advance.lexis.com/api/document?collection=cases-ca&amp;id=urn:contentItem:5F8T-N3V1-JTGH-B116-00000-00&amp;context=" TargetMode="External" /><Relationship Id="rId1022" Type="http://schemas.openxmlformats.org/officeDocument/2006/relationships/hyperlink" Target="https://advance.lexis.com/api/document?collection=cases-ca&amp;id=urn:contentItem:5F8T-N3V1-FC1F-M4BH-00000-00&amp;context=" TargetMode="External" /><Relationship Id="rId1023" Type="http://schemas.openxmlformats.org/officeDocument/2006/relationships/hyperlink" Target="https://advance.lexis.com/api/document?collection=cases-ca&amp;id=urn:contentItem:5F7T-S721-F4NT-X2DF-00000-00&amp;context=" TargetMode="External" /><Relationship Id="rId1024" Type="http://schemas.openxmlformats.org/officeDocument/2006/relationships/hyperlink" Target="https://advance.lexis.com/api/document?collection=cases-ca&amp;id=urn:contentItem:5F8T-N3R1-JJSF-22FM-00000-00&amp;context=" TargetMode="External" /><Relationship Id="rId1025" Type="http://schemas.openxmlformats.org/officeDocument/2006/relationships/hyperlink" Target="https://advance.lexis.com/api/document?collection=cases-ca&amp;id=urn:contentItem:5F7T-S711-JG02-S1TF-00000-00&amp;context=" TargetMode="External" /><Relationship Id="rId1026" Type="http://schemas.openxmlformats.org/officeDocument/2006/relationships/hyperlink" Target="https://advance.lexis.com/api/document?collection=cases-ca&amp;id=urn:contentItem:5F7T-S701-JK4W-M0T5-00000-00&amp;context=" TargetMode="External" /><Relationship Id="rId1027" Type="http://schemas.openxmlformats.org/officeDocument/2006/relationships/hyperlink" Target="https://advance.lexis.com/api/document?collection=cases-ca&amp;id=urn:contentItem:5F8T-N3S1-JT99-253F-00000-00&amp;context=" TargetMode="External" /><Relationship Id="rId1028" Type="http://schemas.openxmlformats.org/officeDocument/2006/relationships/hyperlink" Target="https://advance.lexis.com/api/document?collection=cases-ca&amp;id=urn:contentItem:5F81-VJW1-FGY5-M306-00000-00&amp;context=" TargetMode="External" /><Relationship Id="rId1029" Type="http://schemas.openxmlformats.org/officeDocument/2006/relationships/hyperlink" Target="https://advance.lexis.com/api/document?collection=cases-ca&amp;id=urn:contentItem:5F81-VJV1-JG59-22K6-00000-00&amp;context=" TargetMode="External" /><Relationship Id="rId103" Type="http://schemas.openxmlformats.org/officeDocument/2006/relationships/header" Target="header24.xml" /><Relationship Id="rId1030" Type="http://schemas.openxmlformats.org/officeDocument/2006/relationships/hyperlink" Target="https://advance.lexis.com/api/document?collection=cases-ca&amp;id=urn:contentItem:5F7F-5RH1-JTGH-B025-00000-00&amp;context=" TargetMode="External" /><Relationship Id="rId1031" Type="http://schemas.openxmlformats.org/officeDocument/2006/relationships/hyperlink" Target="https://advance.lexis.com/api/document?collection=cases-ca&amp;id=urn:contentItem:5F8T-N3V1-FC1F-M43Y-00000-00&amp;context=" TargetMode="External" /><Relationship Id="rId1032" Type="http://schemas.openxmlformats.org/officeDocument/2006/relationships/hyperlink" Target="https://advance.lexis.com/api/document?collection=cases-ca&amp;id=urn:contentItem:5F8T-N3T1-JJSF-237M-00000-00&amp;context=" TargetMode="External" /><Relationship Id="rId1033" Type="http://schemas.openxmlformats.org/officeDocument/2006/relationships/hyperlink" Target="https://advance.lexis.com/api/document?collection=cases-ca&amp;id=urn:contentItem:5F8T-N3V1-JFKM-60CD-00000-00&amp;context=" TargetMode="External" /><Relationship Id="rId1034" Type="http://schemas.openxmlformats.org/officeDocument/2006/relationships/hyperlink" Target="https://advance.lexis.com/api/document?collection=cases-ca&amp;id=urn:contentItem:5F8T-N3V1-FC1F-M430-00000-00&amp;context=" TargetMode="External" /><Relationship Id="rId1035" Type="http://schemas.openxmlformats.org/officeDocument/2006/relationships/hyperlink" Target="https://advance.lexis.com/api/document?collection=cases-ca&amp;id=urn:contentItem:5F8W-W641-FGY5-M3VH-00000-00&amp;context=" TargetMode="External" /><Relationship Id="rId1036" Type="http://schemas.openxmlformats.org/officeDocument/2006/relationships/hyperlink" Target="https://advance.lexis.com/api/document?collection=cases-ca&amp;id=urn:contentItem:5F7T-S721-F8D9-M0T3-00000-00&amp;context=" TargetMode="External" /><Relationship Id="rId1037" Type="http://schemas.openxmlformats.org/officeDocument/2006/relationships/hyperlink" Target="https://advance.lexis.com/api/document?collection=cases-ca&amp;id=urn:contentItem:5F8T-N3V1-FC1F-M3WB-00000-00&amp;context=" TargetMode="External" /><Relationship Id="rId1038" Type="http://schemas.openxmlformats.org/officeDocument/2006/relationships/header" Target="header136.xml" /><Relationship Id="rId1039" Type="http://schemas.openxmlformats.org/officeDocument/2006/relationships/header" Target="header137.xml" /><Relationship Id="rId104" Type="http://schemas.openxmlformats.org/officeDocument/2006/relationships/footer" Target="footer24.xml" /><Relationship Id="rId1040" Type="http://schemas.openxmlformats.org/officeDocument/2006/relationships/footer" Target="footer136.xml" /><Relationship Id="rId1041" Type="http://schemas.openxmlformats.org/officeDocument/2006/relationships/footer" Target="footer137.xml" /><Relationship Id="rId1042" Type="http://schemas.openxmlformats.org/officeDocument/2006/relationships/header" Target="header138.xml" /><Relationship Id="rId1043" Type="http://schemas.openxmlformats.org/officeDocument/2006/relationships/footer" Target="footer138.xml" /><Relationship Id="rId1044" Type="http://schemas.openxmlformats.org/officeDocument/2006/relationships/hyperlink" Target="https://advance.lexis.com/api/document?collection=cases-ca&amp;id=urn:contentItem:5F7T-S7F1-FBN1-21S3-00000-00&amp;context=" TargetMode="External" /><Relationship Id="rId1045" Type="http://schemas.openxmlformats.org/officeDocument/2006/relationships/hyperlink" Target="https://advance.lexis.com/api/document?collection=cases-ca&amp;id=urn:contentItem:5F7T-S6W1-JYYX-61WY-00000-00&amp;context=" TargetMode="External" /><Relationship Id="rId1046" Type="http://schemas.openxmlformats.org/officeDocument/2006/relationships/hyperlink" Target="https://advance.lexis.com/api/document?collection=cases-ca&amp;id=urn:contentItem:5F7T-S711-JNY7-X36P-00000-00&amp;context=" TargetMode="External" /><Relationship Id="rId1047" Type="http://schemas.openxmlformats.org/officeDocument/2006/relationships/hyperlink" Target="https://advance.lexis.com/api/document?collection=cases-ca&amp;id=urn:contentItem:5F7T-S6Y1-JNY7-X2TV-00000-00&amp;context=" TargetMode="External" /><Relationship Id="rId1048" Type="http://schemas.openxmlformats.org/officeDocument/2006/relationships/header" Target="header139.xml" /><Relationship Id="rId1049" Type="http://schemas.openxmlformats.org/officeDocument/2006/relationships/header" Target="header140.xml" /><Relationship Id="rId105" Type="http://schemas.openxmlformats.org/officeDocument/2006/relationships/hyperlink" Target="https://advance.lexis.com/api/document?collection=cases-ca&amp;id=urn:contentItem:5RVJ-T2K1-FBV7-B314-00000-00&amp;context=" TargetMode="External" /><Relationship Id="rId1050" Type="http://schemas.openxmlformats.org/officeDocument/2006/relationships/footer" Target="footer139.xml" /><Relationship Id="rId1051" Type="http://schemas.openxmlformats.org/officeDocument/2006/relationships/footer" Target="footer140.xml" /><Relationship Id="rId1052" Type="http://schemas.openxmlformats.org/officeDocument/2006/relationships/header" Target="header141.xml" /><Relationship Id="rId1053" Type="http://schemas.openxmlformats.org/officeDocument/2006/relationships/footer" Target="footer141.xml" /><Relationship Id="rId1054" Type="http://schemas.openxmlformats.org/officeDocument/2006/relationships/hyperlink" Target="https://advance.lexis.com/api/document?collection=cases-ca&amp;id=urn:contentItem:5XB5-SP81-JP9P-G17M-00000-00&amp;context=" TargetMode="External" /><Relationship Id="rId1055" Type="http://schemas.openxmlformats.org/officeDocument/2006/relationships/hyperlink" Target="https://advance.lexis.com/api/document?collection=cases-ca&amp;id=urn:contentItem:5W4G-7M61-JB7K-2089-00000-00&amp;context=" TargetMode="External" /><Relationship Id="rId1056" Type="http://schemas.openxmlformats.org/officeDocument/2006/relationships/hyperlink" Target="https://advance.lexis.com/api/document?collection=legislation-ca&amp;id=urn:contentItem:5F41-1FJ1-JKPJ-G0P7-00000-00&amp;context=" TargetMode="External" /><Relationship Id="rId1057" Type="http://schemas.openxmlformats.org/officeDocument/2006/relationships/hyperlink" Target="https://advance.lexis.com/api/document?collection=cases-ca&amp;id=urn:contentItem:5F8T-N3V1-FC1F-M4C7-00000-00&amp;context=" TargetMode="External" /><Relationship Id="rId1058" Type="http://schemas.openxmlformats.org/officeDocument/2006/relationships/hyperlink" Target="https://advance.lexis.com/api/document?collection=cases-ca&amp;id=urn:contentItem:5F7T-S7J1-JGBH-B2HV-00000-00&amp;context=" TargetMode="External" /><Relationship Id="rId1059" Type="http://schemas.openxmlformats.org/officeDocument/2006/relationships/hyperlink" Target="https://advance.lexis.com/api/document?collection=cases-ca&amp;id=urn:contentItem:5F8T-N3V1-FC1F-M41M-00000-00&amp;context=" TargetMode="External" /><Relationship Id="rId106" Type="http://schemas.openxmlformats.org/officeDocument/2006/relationships/hyperlink" Target="https://advance.lexis.com/api/document?collection=cases-ca&amp;id=urn:contentItem:5F7T-S7N1-JGHR-M38N-00000-00&amp;context=" TargetMode="External" /><Relationship Id="rId1060" Type="http://schemas.openxmlformats.org/officeDocument/2006/relationships/hyperlink" Target="https://advance.lexis.com/api/document?collection=cases-ca&amp;id=urn:contentItem:5F8T-N3V1-JTGH-B132-00000-00&amp;context=" TargetMode="External" /><Relationship Id="rId1061" Type="http://schemas.openxmlformats.org/officeDocument/2006/relationships/hyperlink" Target="https://advance.lexis.com/api/document?collection=cases-ca&amp;id=urn:contentItem:5F7T-S771-F2TK-22YP-00000-00&amp;context=" TargetMode="External" /><Relationship Id="rId1062" Type="http://schemas.openxmlformats.org/officeDocument/2006/relationships/hyperlink" Target="https://advance.lexis.com/api/document?collection=cases-ca&amp;id=urn:contentItem:5F7T-S751-JG02-S26G-00000-00&amp;context=" TargetMode="External" /><Relationship Id="rId1063" Type="http://schemas.openxmlformats.org/officeDocument/2006/relationships/hyperlink" Target="https://advance.lexis.com/api/document?collection=cases-ca&amp;id=urn:contentItem:5F7T-S7F1-FJTD-G3KM-00000-00&amp;context=" TargetMode="External" /><Relationship Id="rId1064" Type="http://schemas.openxmlformats.org/officeDocument/2006/relationships/hyperlink" Target="https://advance.lexis.com/api/document?collection=cases-ca&amp;id=urn:contentItem:5F7T-S7C1-JSRM-60TP-00000-00&amp;context=" TargetMode="External" /><Relationship Id="rId1065" Type="http://schemas.openxmlformats.org/officeDocument/2006/relationships/hyperlink" Target="https://advance.lexis.com/api/document?collection=cases-ca&amp;id=urn:contentItem:5F7T-S7D1-FC6N-X118-00000-00&amp;context=" TargetMode="External" /><Relationship Id="rId1066" Type="http://schemas.openxmlformats.org/officeDocument/2006/relationships/hyperlink" Target="https://advance.lexis.com/api/document?collection=cases-ca&amp;id=urn:contentItem:5F7T-S751-FJDY-X3W2-00000-00&amp;context=" TargetMode="External" /><Relationship Id="rId1067" Type="http://schemas.openxmlformats.org/officeDocument/2006/relationships/hyperlink" Target="https://advance.lexis.com/api/document?collection=cases-ca&amp;id=urn:contentItem:5F8P-SDT1-F7ND-G4T5-00000-00&amp;context=" TargetMode="External" /><Relationship Id="rId1068" Type="http://schemas.openxmlformats.org/officeDocument/2006/relationships/hyperlink" Target="https://advance.lexis.com/api/document?collection=cases-ca&amp;id=urn:contentItem:5F7T-S721-JSC5-M372-00000-00&amp;context=" TargetMode="External" /><Relationship Id="rId1069" Type="http://schemas.openxmlformats.org/officeDocument/2006/relationships/header" Target="header142.xml" /><Relationship Id="rId107" Type="http://schemas.openxmlformats.org/officeDocument/2006/relationships/hyperlink" Target="https://advance.lexis.com/api/document?collection=cases-ca&amp;id=urn:contentItem:5F7T-S6Y1-FJDY-X23K-00000-00&amp;context=" TargetMode="External" /><Relationship Id="rId1070" Type="http://schemas.openxmlformats.org/officeDocument/2006/relationships/header" Target="header143.xml" /><Relationship Id="rId1071" Type="http://schemas.openxmlformats.org/officeDocument/2006/relationships/footer" Target="footer142.xml" /><Relationship Id="rId1072" Type="http://schemas.openxmlformats.org/officeDocument/2006/relationships/footer" Target="footer143.xml" /><Relationship Id="rId1073" Type="http://schemas.openxmlformats.org/officeDocument/2006/relationships/header" Target="header144.xml" /><Relationship Id="rId1074" Type="http://schemas.openxmlformats.org/officeDocument/2006/relationships/footer" Target="footer144.xml" /><Relationship Id="rId1075" Type="http://schemas.openxmlformats.org/officeDocument/2006/relationships/hyperlink" Target="https://advance.lexis.com/api/document?collection=cases-ca&amp;id=urn:contentItem:5R26-BBK1-FFMK-M34T-00000-00&amp;context=" TargetMode="External" /><Relationship Id="rId1076" Type="http://schemas.openxmlformats.org/officeDocument/2006/relationships/hyperlink" Target="https://advance.lexis.com/api/document?collection=cases-ca&amp;id=urn:contentItem:5F7T-S6W1-JYYX-61NG-00000-00&amp;context=" TargetMode="External" /><Relationship Id="rId1077" Type="http://schemas.openxmlformats.org/officeDocument/2006/relationships/hyperlink" Target="https://advance.lexis.com/api/document?collection=cases-ca&amp;id=urn:contentItem:5F7T-S721-F956-S1RF-00000-00&amp;context=" TargetMode="External" /><Relationship Id="rId1078" Type="http://schemas.openxmlformats.org/officeDocument/2006/relationships/hyperlink" Target="https://advance.lexis.com/api/document?collection=cases-ca&amp;id=urn:contentItem:5F7T-S7D1-FFFC-B1DT-00000-00&amp;context=" TargetMode="External" /><Relationship Id="rId1079" Type="http://schemas.openxmlformats.org/officeDocument/2006/relationships/hyperlink" Target="https://advance.lexis.com/api/document?collection=cases-ca&amp;id=urn:contentItem:5G77-HXG1-FCK4-G3X9-00000-00&amp;context=" TargetMode="External" /><Relationship Id="rId108" Type="http://schemas.openxmlformats.org/officeDocument/2006/relationships/hyperlink" Target="https://advance.lexis.com/api/document?collection=cases-ca&amp;id=urn:contentItem:5F7T-S6R1-JGPY-X176-00000-00&amp;context=" TargetMode="External" /><Relationship Id="rId1080" Type="http://schemas.openxmlformats.org/officeDocument/2006/relationships/hyperlink" Target="https://advance.lexis.com/api/document?collection=cases-ca&amp;id=urn:contentItem:5F7T-S731-JNJT-B20C-00000-00&amp;context=" TargetMode="External" /><Relationship Id="rId1081" Type="http://schemas.openxmlformats.org/officeDocument/2006/relationships/hyperlink" Target="https://advance.lexis.com/api/document?collection=cases-ca&amp;id=urn:contentItem:5G6C-VP51-F7VM-S0MS-00000-00&amp;context=" TargetMode="External" /><Relationship Id="rId1082" Type="http://schemas.openxmlformats.org/officeDocument/2006/relationships/hyperlink" Target="https://advance.lexis.com/api/document?collection=cases-ca&amp;id=urn:contentItem:5F7T-S751-JNS1-M1H9-00000-00&amp;context=" TargetMode="External" /><Relationship Id="rId1083" Type="http://schemas.openxmlformats.org/officeDocument/2006/relationships/hyperlink" Target="https://advance.lexis.com/api/document?collection=cases-ca&amp;id=urn:contentItem:5F7T-S7M1-DYMS-628P-00000-00&amp;context=" TargetMode="External" /><Relationship Id="rId1084" Type="http://schemas.openxmlformats.org/officeDocument/2006/relationships/hyperlink" Target="https://advance.lexis.com/api/document?collection=cases-ca&amp;id=urn:contentItem:5F7T-S6X1-K0BB-S0F0-00000-00&amp;context=" TargetMode="External" /><Relationship Id="rId1085" Type="http://schemas.openxmlformats.org/officeDocument/2006/relationships/hyperlink" Target="https://advance.lexis.com/api/document?collection=cases-ca&amp;id=urn:contentItem:5F7T-S6Y1-F4GK-M1VW-00000-00&amp;context=" TargetMode="External" /><Relationship Id="rId1086" Type="http://schemas.openxmlformats.org/officeDocument/2006/relationships/hyperlink" Target="https://advance.lexis.com/api/document?collection=cases-ca&amp;id=urn:contentItem:5F7T-S6R1-DXWW-2376-00000-00&amp;context=" TargetMode="External" /><Relationship Id="rId1087" Type="http://schemas.openxmlformats.org/officeDocument/2006/relationships/hyperlink" Target="https://advance.lexis.com/api/document?collection=cases-ca&amp;id=urn:contentItem:5F7T-S7G1-JN6B-S1C1-00000-00&amp;context=" TargetMode="External" /><Relationship Id="rId1088" Type="http://schemas.openxmlformats.org/officeDocument/2006/relationships/hyperlink" Target="https://advance.lexis.com/api/document?collection=cases-ca&amp;id=urn:contentItem:5F7T-S781-DYMS-61GK-00000-00&amp;context=" TargetMode="External" /><Relationship Id="rId1089" Type="http://schemas.openxmlformats.org/officeDocument/2006/relationships/hyperlink" Target="https://advance.lexis.com/api/document?collection=cases-ca&amp;id=urn:contentItem:5F7T-S711-F5KY-B10P-00000-00&amp;context=" TargetMode="External" /><Relationship Id="rId109" Type="http://schemas.openxmlformats.org/officeDocument/2006/relationships/hyperlink" Target="https://advance.lexis.com/api/document?collection=cases-ca&amp;id=urn:contentItem:5F7T-S7J1-FGCG-S07C-00000-00&amp;context=" TargetMode="External" /><Relationship Id="rId1090" Type="http://schemas.openxmlformats.org/officeDocument/2006/relationships/hyperlink" Target="https://advance.lexis.com/api/document?collection=cases-ca&amp;id=urn:contentItem:5F7T-S771-F81W-22JV-00000-00&amp;context=" TargetMode="External" /><Relationship Id="rId1091" Type="http://schemas.openxmlformats.org/officeDocument/2006/relationships/hyperlink" Target="https://advance.lexis.com/api/document?collection=cases-ca&amp;id=urn:contentItem:5F7T-S741-FJM6-61FN-00000-00&amp;context=" TargetMode="External" /><Relationship Id="rId1092" Type="http://schemas.openxmlformats.org/officeDocument/2006/relationships/hyperlink" Target="https://advance.lexis.com/api/document?collection=cases-ca&amp;id=urn:contentItem:5F7T-S7C1-JXG3-X0GS-00000-00&amp;context=" TargetMode="External" /><Relationship Id="rId1093" Type="http://schemas.openxmlformats.org/officeDocument/2006/relationships/hyperlink" Target="https://advance.lexis.com/api/document?collection=cases-ca&amp;id=urn:contentItem:5F8T-N3T1-JJSF-234B-00000-00&amp;context=" TargetMode="External" /><Relationship Id="rId1094" Type="http://schemas.openxmlformats.org/officeDocument/2006/relationships/hyperlink" Target="https://advance.lexis.com/api/document?collection=cases-ca&amp;id=urn:contentItem:5F7T-S6X1-F7ND-G3GD-00000-00&amp;context=" TargetMode="External" /><Relationship Id="rId1095" Type="http://schemas.openxmlformats.org/officeDocument/2006/relationships/hyperlink" Target="https://advance.lexis.com/api/document?collection=cases-ca&amp;id=urn:contentItem:5F7T-S771-JJD0-G1F2-00000-00&amp;context=" TargetMode="External" /><Relationship Id="rId1096" Type="http://schemas.openxmlformats.org/officeDocument/2006/relationships/hyperlink" Target="https://advance.lexis.com/api/document?collection=cases-ca&amp;id=urn:contentItem:5F7T-S6T1-F528-G12R-00000-00&amp;context=" TargetMode="External" /><Relationship Id="rId1097" Type="http://schemas.openxmlformats.org/officeDocument/2006/relationships/hyperlink" Target="https://advance.lexis.com/api/document?collection=cases-ca&amp;id=urn:contentItem:5F7T-S7H1-JFKM-62DC-00000-00&amp;context=" TargetMode="External" /><Relationship Id="rId1098" Type="http://schemas.openxmlformats.org/officeDocument/2006/relationships/hyperlink" Target="https://advance.lexis.com/api/document?collection=cases-ca&amp;id=urn:contentItem:5F7T-S6W1-F5T5-M1XG-00000-00&amp;context=" TargetMode="External" /><Relationship Id="rId1099" Type="http://schemas.openxmlformats.org/officeDocument/2006/relationships/hyperlink" Target="https://advance.lexis.com/api/document?collection=cases-ca&amp;id=urn:contentItem:5F7T-S741-FJM6-61JD-00000-00&amp;context=" TargetMode="External" /><Relationship Id="rId11" Type="http://schemas.openxmlformats.org/officeDocument/2006/relationships/header" Target="header4.xml" /><Relationship Id="rId110" Type="http://schemas.openxmlformats.org/officeDocument/2006/relationships/hyperlink" Target="https://advance.lexis.com/api/document?collection=cases-ca&amp;id=urn:contentItem:5F82-1SJ1-JCRC-B012-00000-00&amp;context=" TargetMode="External" /><Relationship Id="rId1100" Type="http://schemas.openxmlformats.org/officeDocument/2006/relationships/hyperlink" Target="https://advance.lexis.com/api/document?collection=cases-ca&amp;id=urn:contentItem:5F8T-N3V1-FC1F-M428-00000-00&amp;context=" TargetMode="External" /><Relationship Id="rId1101" Type="http://schemas.openxmlformats.org/officeDocument/2006/relationships/header" Target="header145.xml" /><Relationship Id="rId1102" Type="http://schemas.openxmlformats.org/officeDocument/2006/relationships/header" Target="header146.xml" /><Relationship Id="rId1103" Type="http://schemas.openxmlformats.org/officeDocument/2006/relationships/footer" Target="footer145.xml" /><Relationship Id="rId1104" Type="http://schemas.openxmlformats.org/officeDocument/2006/relationships/footer" Target="footer146.xml" /><Relationship Id="rId1105" Type="http://schemas.openxmlformats.org/officeDocument/2006/relationships/header" Target="header147.xml" /><Relationship Id="rId1106" Type="http://schemas.openxmlformats.org/officeDocument/2006/relationships/footer" Target="footer147.xml" /><Relationship Id="rId1107" Type="http://schemas.openxmlformats.org/officeDocument/2006/relationships/hyperlink" Target="https://advance.lexis.com/api/document?collection=cases-ca&amp;id=urn:contentItem:5F7T-S7H1-JS5Y-B37W-00000-00&amp;context=" TargetMode="External" /><Relationship Id="rId1108" Type="http://schemas.openxmlformats.org/officeDocument/2006/relationships/header" Target="header148.xml" /><Relationship Id="rId1109" Type="http://schemas.openxmlformats.org/officeDocument/2006/relationships/header" Target="header149.xml" /><Relationship Id="rId111" Type="http://schemas.openxmlformats.org/officeDocument/2006/relationships/hyperlink" Target="https://advance.lexis.com/api/document?collection=cases-ca&amp;id=urn:contentItem:5F7T-S7M1-JPP5-2288-00000-00&amp;context=" TargetMode="External" /><Relationship Id="rId1110" Type="http://schemas.openxmlformats.org/officeDocument/2006/relationships/footer" Target="footer148.xml" /><Relationship Id="rId1111" Type="http://schemas.openxmlformats.org/officeDocument/2006/relationships/footer" Target="footer149.xml" /><Relationship Id="rId1112" Type="http://schemas.openxmlformats.org/officeDocument/2006/relationships/header" Target="header150.xml" /><Relationship Id="rId1113" Type="http://schemas.openxmlformats.org/officeDocument/2006/relationships/footer" Target="footer150.xml" /><Relationship Id="rId1114" Type="http://schemas.openxmlformats.org/officeDocument/2006/relationships/hyperlink" Target="https://advance.lexis.com/api/document?collection=cases-ca&amp;id=urn:contentItem:5F7T-S7B1-JSRM-60G5-00000-00&amp;context=" TargetMode="External" /><Relationship Id="rId1115" Type="http://schemas.openxmlformats.org/officeDocument/2006/relationships/hyperlink" Target="https://advance.lexis.com/api/document?collection=legislation-ca&amp;id=urn:contentItem:5F41-1FM1-JCBX-S1FN-00000-00&amp;context=" TargetMode="External" /><Relationship Id="rId1116" Type="http://schemas.openxmlformats.org/officeDocument/2006/relationships/hyperlink" Target="https://advance.lexis.com/api/document?collection=cases-ca&amp;id=urn:contentItem:5F7T-S6X1-F06F-22K3-00000-00&amp;context=" TargetMode="External" /><Relationship Id="rId1117" Type="http://schemas.openxmlformats.org/officeDocument/2006/relationships/hyperlink" Target="https://advance.lexis.com/api/document?collection=cases-ca&amp;id=urn:contentItem:5F7T-S731-F60C-X11C-00000-00&amp;context=" TargetMode="External" /><Relationship Id="rId1118" Type="http://schemas.openxmlformats.org/officeDocument/2006/relationships/hyperlink" Target="https://advance.lexis.com/api/document?collection=cases-ca&amp;id=urn:contentItem:5F81-YGM1-F5KY-B508-00000-00&amp;context=" TargetMode="External" /><Relationship Id="rId1119" Type="http://schemas.openxmlformats.org/officeDocument/2006/relationships/hyperlink" Target="https://advance.lexis.com/api/document?collection=cases-ca&amp;id=urn:contentItem:5F7V-3DK1-JJD0-G24F-00000-00&amp;context=" TargetMode="External" /><Relationship Id="rId112" Type="http://schemas.openxmlformats.org/officeDocument/2006/relationships/hyperlink" Target="https://advance.lexis.com/api/document?collection=cases-ca&amp;id=urn:contentItem:5F7T-S6R1-JSXV-G10F-00000-00&amp;context=" TargetMode="External" /><Relationship Id="rId1120" Type="http://schemas.openxmlformats.org/officeDocument/2006/relationships/hyperlink" Target="https://advance.lexis.com/api/document?collection=cases-ca&amp;id=urn:contentItem:5F8T-N3T1-JGHR-M24K-00000-00&amp;context=" TargetMode="External" /><Relationship Id="rId1121" Type="http://schemas.openxmlformats.org/officeDocument/2006/relationships/hyperlink" Target="https://advance.lexis.com/api/document?collection=cases-ca&amp;id=urn:contentItem:5F7T-S731-F016-S3GR-00000-00&amp;context=" TargetMode="External" /><Relationship Id="rId1122" Type="http://schemas.openxmlformats.org/officeDocument/2006/relationships/hyperlink" Target="https://advance.lexis.com/api/document?collection=cases-ca&amp;id=urn:contentItem:5F8T-N3T1-JGHR-M27Y-00000-00&amp;context=" TargetMode="External" /><Relationship Id="rId1123" Type="http://schemas.openxmlformats.org/officeDocument/2006/relationships/hyperlink" Target="https://advance.lexis.com/api/document?collection=cases-ca&amp;id=urn:contentItem:5F81-VJX1-JYYX-60KF-00000-00&amp;context=" TargetMode="External" /><Relationship Id="rId1124" Type="http://schemas.openxmlformats.org/officeDocument/2006/relationships/hyperlink" Target="https://advance.lexis.com/api/document?collection=cases-ca&amp;id=urn:contentItem:5F7T-S761-JS5Y-B1BM-00000-00&amp;context=" TargetMode="External" /><Relationship Id="rId1125" Type="http://schemas.openxmlformats.org/officeDocument/2006/relationships/numbering" Target="numbering.xml" /><Relationship Id="rId1126" Type="http://schemas.openxmlformats.org/officeDocument/2006/relationships/styles" Target="styles.xml" /><Relationship Id="rId113" Type="http://schemas.openxmlformats.org/officeDocument/2006/relationships/hyperlink" Target="https://advance.lexis.com/api/document?collection=cases-ca&amp;id=urn:contentItem:5F7T-S711-F5KY-B14K-00000-00&amp;context=" TargetMode="External" /><Relationship Id="rId114" Type="http://schemas.openxmlformats.org/officeDocument/2006/relationships/hyperlink" Target="https://advance.lexis.com/api/document?collection=cases-ca&amp;id=urn:contentItem:5F7T-S7K1-DY33-B1PS-00000-00&amp;context=" TargetMode="External" /><Relationship Id="rId115" Type="http://schemas.openxmlformats.org/officeDocument/2006/relationships/hyperlink" Target="https://advance.lexis.com/api/document?collection=cases-ca&amp;id=urn:contentItem:5JM8-YV01-F22N-X0SN-00000-00&amp;context=" TargetMode="External" /><Relationship Id="rId116" Type="http://schemas.openxmlformats.org/officeDocument/2006/relationships/hyperlink" Target="https://advance.lexis.com/api/document?collection=cases-ca&amp;id=urn:contentItem:5F7T-S7K1-JKHB-62YK-00000-00&amp;context=" TargetMode="External" /><Relationship Id="rId117" Type="http://schemas.openxmlformats.org/officeDocument/2006/relationships/hyperlink" Target="https://advance.lexis.com/api/document?collection=cases-ca&amp;id=urn:contentItem:5F7T-S7M1-JJK6-S1V4-00000-00&amp;context=" TargetMode="External" /><Relationship Id="rId118" Type="http://schemas.openxmlformats.org/officeDocument/2006/relationships/hyperlink" Target="https://advance.lexis.com/api/document?collection=cases-ca&amp;id=urn:contentItem:5F8T-N3T1-JGHR-M26M-00000-00&amp;context=" TargetMode="External" /><Relationship Id="rId119" Type="http://schemas.openxmlformats.org/officeDocument/2006/relationships/hyperlink" Target="https://advance.lexis.com/api/document?collection=cases-ca&amp;id=urn:contentItem:5F7T-S7N1-JW09-M0VV-00000-00&amp;context=" TargetMode="External" /><Relationship Id="rId12" Type="http://schemas.openxmlformats.org/officeDocument/2006/relationships/header" Target="header5.xml" /><Relationship Id="rId120" Type="http://schemas.openxmlformats.org/officeDocument/2006/relationships/hyperlink" Target="https://advance.lexis.com/api/document?collection=cases-ca&amp;id=urn:contentItem:5F8T-N3V1-FC1F-M3WJ-00000-00&amp;context=" TargetMode="External" /><Relationship Id="rId121" Type="http://schemas.openxmlformats.org/officeDocument/2006/relationships/hyperlink" Target="https://advance.lexis.com/api/document?collection=cases-ca&amp;id=urn:contentItem:5F7T-S741-DY89-M3FJ-00000-00&amp;context=" TargetMode="External" /><Relationship Id="rId122" Type="http://schemas.openxmlformats.org/officeDocument/2006/relationships/hyperlink" Target="https://advance.lexis.com/api/document?collection=cases-ca&amp;id=urn:contentItem:5F8T-N3R1-FBV7-B04P-00000-00&amp;context=" TargetMode="External" /><Relationship Id="rId123" Type="http://schemas.openxmlformats.org/officeDocument/2006/relationships/hyperlink" Target="https://advance.lexis.com/api/document?collection=cases-ca&amp;id=urn:contentItem:5N6J-VY71-F65M-614N-00000-00&amp;context=" TargetMode="External" /><Relationship Id="rId124" Type="http://schemas.openxmlformats.org/officeDocument/2006/relationships/hyperlink" Target="https://advance.lexis.com/api/document?collection=cases-ca&amp;id=urn:contentItem:5F8P-SCG1-JC0G-653B-00000-00&amp;context=" TargetMode="External" /><Relationship Id="rId125" Type="http://schemas.openxmlformats.org/officeDocument/2006/relationships/hyperlink" Target="https://advance.lexis.com/api/document?collection=cases-ca&amp;id=urn:contentItem:5F8T-N3V1-FH4C-X20M-00000-00&amp;context=" TargetMode="External" /><Relationship Id="rId126" Type="http://schemas.openxmlformats.org/officeDocument/2006/relationships/header" Target="header25.xml" /><Relationship Id="rId127" Type="http://schemas.openxmlformats.org/officeDocument/2006/relationships/header" Target="header26.xml" /><Relationship Id="rId128" Type="http://schemas.openxmlformats.org/officeDocument/2006/relationships/footer" Target="footer25.xml" /><Relationship Id="rId129" Type="http://schemas.openxmlformats.org/officeDocument/2006/relationships/footer" Target="footer26.xml" /><Relationship Id="rId13" Type="http://schemas.openxmlformats.org/officeDocument/2006/relationships/footer" Target="footer4.xml" /><Relationship Id="rId130" Type="http://schemas.openxmlformats.org/officeDocument/2006/relationships/header" Target="header27.xml" /><Relationship Id="rId131" Type="http://schemas.openxmlformats.org/officeDocument/2006/relationships/footer" Target="footer27.xml" /><Relationship Id="rId132" Type="http://schemas.openxmlformats.org/officeDocument/2006/relationships/hyperlink" Target="https://advance.lexis.com/api/document?collection=cases-ca&amp;id=urn:contentItem:5GKS-NM31-FGY5-M29D-00000-00&amp;context=" TargetMode="External" /><Relationship Id="rId133" Type="http://schemas.openxmlformats.org/officeDocument/2006/relationships/hyperlink" Target="https://advance.lexis.com/api/document?collection=cases-ca&amp;id=urn:contentItem:5F7T-S711-FJDY-X352-00000-00&amp;context=" TargetMode="External" /><Relationship Id="rId134" Type="http://schemas.openxmlformats.org/officeDocument/2006/relationships/hyperlink" Target="https://advance.lexis.com/api/document?collection=cases-ca&amp;id=urn:contentItem:5F7T-S741-F8D9-M1KT-00000-00&amp;context=" TargetMode="External" /><Relationship Id="rId135" Type="http://schemas.openxmlformats.org/officeDocument/2006/relationships/hyperlink" Target="https://advance.lexis.com/api/document?collection=cases-ca&amp;id=urn:contentItem:5F7T-S781-JC5P-G1JG-00000-00&amp;context=" TargetMode="External" /><Relationship Id="rId136" Type="http://schemas.openxmlformats.org/officeDocument/2006/relationships/hyperlink" Target="https://advance.lexis.com/api/document?collection=cases-ca&amp;id=urn:contentItem:5F7T-S7J1-JGBH-B2H4-00000-00&amp;context=" TargetMode="External" /><Relationship Id="rId137" Type="http://schemas.openxmlformats.org/officeDocument/2006/relationships/hyperlink" Target="https://advance.lexis.com/api/document?collection=cases-ca&amp;id=urn:contentItem:5F8T-N3V1-JTGH-B1H3-00000-00&amp;context=" TargetMode="External" /><Relationship Id="rId138" Type="http://schemas.openxmlformats.org/officeDocument/2006/relationships/hyperlink" Target="https://advance.lexis.com/api/document?collection=cases-ca&amp;id=urn:contentItem:5F8T-N3T1-JJSF-23NF-00000-00&amp;context=" TargetMode="External" /><Relationship Id="rId139" Type="http://schemas.openxmlformats.org/officeDocument/2006/relationships/hyperlink" Target="https://advance.lexis.com/api/document?collection=cases-ca&amp;id=urn:contentItem:5F7T-S7J1-FGCG-S05B-00000-00&amp;context=" TargetMode="External" /><Relationship Id="rId14" Type="http://schemas.openxmlformats.org/officeDocument/2006/relationships/footer" Target="footer5.xml" /><Relationship Id="rId140" Type="http://schemas.openxmlformats.org/officeDocument/2006/relationships/hyperlink" Target="https://advance.lexis.com/api/document?collection=cases-ca&amp;id=urn:contentItem:5F7T-S6Y1-JTNR-M4B7-00000-00&amp;context=" TargetMode="External" /><Relationship Id="rId141" Type="http://schemas.openxmlformats.org/officeDocument/2006/relationships/hyperlink" Target="https://advance.lexis.com/api/document?collection=cases-ca&amp;id=urn:contentItem:5F7T-S7M1-F4W2-6297-00000-00&amp;context=" TargetMode="External" /><Relationship Id="rId142" Type="http://schemas.openxmlformats.org/officeDocument/2006/relationships/hyperlink" Target="https://advance.lexis.com/api/document?collection=cases-ca&amp;id=urn:contentItem:5F7T-S7H1-K054-G2BW-00000-00&amp;context=" TargetMode="External" /><Relationship Id="rId143" Type="http://schemas.openxmlformats.org/officeDocument/2006/relationships/hyperlink" Target="https://advance.lexis.com/api/document?collection=cases-ca&amp;id=urn:contentItem:5F7T-S7G1-JWR6-S1G6-00000-00&amp;context=" TargetMode="External" /><Relationship Id="rId144" Type="http://schemas.openxmlformats.org/officeDocument/2006/relationships/hyperlink" Target="https://advance.lexis.com/api/document?collection=cases-ca&amp;id=urn:contentItem:5F8T-N3R1-FJDY-X35F-00000-00&amp;context=" TargetMode="External" /><Relationship Id="rId145" Type="http://schemas.openxmlformats.org/officeDocument/2006/relationships/hyperlink" Target="https://advance.lexis.com/api/document?collection=cases-ca&amp;id=urn:contentItem:5F8T-N3V1-JFKM-60C8-00000-00&amp;context=" TargetMode="External" /><Relationship Id="rId146" Type="http://schemas.openxmlformats.org/officeDocument/2006/relationships/hyperlink" Target="https://advance.lexis.com/api/document?collection=cases-ca&amp;id=urn:contentItem:5F8P-SFB1-JJYN-B3N6-00000-00&amp;context=" TargetMode="External" /><Relationship Id="rId147" Type="http://schemas.openxmlformats.org/officeDocument/2006/relationships/hyperlink" Target="https://advance.lexis.com/api/document?collection=cases-ca&amp;id=urn:contentItem:5F16-9361-FG68-G4P5-00000-00&amp;context=" TargetMode="External" /><Relationship Id="rId148" Type="http://schemas.openxmlformats.org/officeDocument/2006/relationships/hyperlink" Target="https://advance.lexis.com/api/document?collection=cases-ca&amp;id=urn:contentItem:5F16-93C1-JKHB-63P4-00000-00&amp;context=" TargetMode="External" /><Relationship Id="rId149" Type="http://schemas.openxmlformats.org/officeDocument/2006/relationships/hyperlink" Target="https://advance.lexis.com/api/document?collection=cases-ca&amp;id=urn:contentItem:5F8P-SF81-JTGH-B4M2-00000-00&amp;context=" TargetMode="External" /><Relationship Id="rId15" Type="http://schemas.openxmlformats.org/officeDocument/2006/relationships/header" Target="header6.xml" /><Relationship Id="rId150" Type="http://schemas.openxmlformats.org/officeDocument/2006/relationships/hyperlink" Target="https://advance.lexis.com/api/document?collection=cases-ca&amp;id=urn:contentItem:5F7T-S6V1-FJTD-G258-00000-00&amp;context=" TargetMode="External" /><Relationship Id="rId151" Type="http://schemas.openxmlformats.org/officeDocument/2006/relationships/hyperlink" Target="https://advance.lexis.com/api/document?collection=cases-ca&amp;id=urn:contentItem:5F8P-SD91-FC1F-M2H2-00000-00&amp;context=" TargetMode="External" /><Relationship Id="rId152" Type="http://schemas.openxmlformats.org/officeDocument/2006/relationships/hyperlink" Target="https://advance.lexis.com/api/document?collection=cases-ca&amp;id=urn:contentItem:5F7T-S741-DY89-M3MJ-00000-00&amp;context=" TargetMode="External" /><Relationship Id="rId153" Type="http://schemas.openxmlformats.org/officeDocument/2006/relationships/hyperlink" Target="https://advance.lexis.com/api/document?collection=cases-ca&amp;id=urn:contentItem:5F7T-S6T1-JJ1H-X26N-00000-00&amp;context=" TargetMode="External" /><Relationship Id="rId154" Type="http://schemas.openxmlformats.org/officeDocument/2006/relationships/header" Target="header28.xml" /><Relationship Id="rId155" Type="http://schemas.openxmlformats.org/officeDocument/2006/relationships/header" Target="header29.xml" /><Relationship Id="rId156" Type="http://schemas.openxmlformats.org/officeDocument/2006/relationships/footer" Target="footer28.xml" /><Relationship Id="rId157" Type="http://schemas.openxmlformats.org/officeDocument/2006/relationships/footer" Target="footer29.xml" /><Relationship Id="rId158" Type="http://schemas.openxmlformats.org/officeDocument/2006/relationships/header" Target="header30.xml" /><Relationship Id="rId159" Type="http://schemas.openxmlformats.org/officeDocument/2006/relationships/footer" Target="footer30.xml" /><Relationship Id="rId16" Type="http://schemas.openxmlformats.org/officeDocument/2006/relationships/footer" Target="footer6.xml" /><Relationship Id="rId160" Type="http://schemas.openxmlformats.org/officeDocument/2006/relationships/hyperlink" Target="https://advance.lexis.com/api/document?collection=cases-ca&amp;id=urn:contentItem:5YCT-N0M1-F1H1-2189-00000-00&amp;context=" TargetMode="External" /><Relationship Id="rId161" Type="http://schemas.openxmlformats.org/officeDocument/2006/relationships/hyperlink" Target="https://advance.lexis.com/api/document?collection=cases-ca&amp;id=urn:contentItem:5F7T-S7N1-JWR6-S26B-00000-00&amp;context=" TargetMode="External" /><Relationship Id="rId162" Type="http://schemas.openxmlformats.org/officeDocument/2006/relationships/hyperlink" Target="https://advance.lexis.com/api/document?collection=cases-ca&amp;id=urn:contentItem:5F7T-S6Y1-JP9P-G1VH-00000-00&amp;context=" TargetMode="External" /><Relationship Id="rId163" Type="http://schemas.openxmlformats.org/officeDocument/2006/relationships/hyperlink" Target="https://advance.lexis.com/api/document?collection=cases-ca&amp;id=urn:contentItem:5JH9-BW81-F22N-X485-00000-00&amp;context=" TargetMode="External" /><Relationship Id="rId164" Type="http://schemas.openxmlformats.org/officeDocument/2006/relationships/hyperlink" Target="https://advance.lexis.com/api/document?collection=cases-ca&amp;id=urn:contentItem:5F7T-S751-JBM1-M2CY-00000-00&amp;context=" TargetMode="External" /><Relationship Id="rId165" Type="http://schemas.openxmlformats.org/officeDocument/2006/relationships/hyperlink" Target="https://advance.lexis.com/api/document?collection=cases-ca&amp;id=urn:contentItem:5HBF-Y861-FGRY-B2CW-00000-00&amp;context=" TargetMode="External" /><Relationship Id="rId166" Type="http://schemas.openxmlformats.org/officeDocument/2006/relationships/header" Target="header31.xml" /><Relationship Id="rId167" Type="http://schemas.openxmlformats.org/officeDocument/2006/relationships/header" Target="header32.xml" /><Relationship Id="rId168" Type="http://schemas.openxmlformats.org/officeDocument/2006/relationships/footer" Target="footer31.xml" /><Relationship Id="rId169" Type="http://schemas.openxmlformats.org/officeDocument/2006/relationships/footer" Target="footer32.xml" /><Relationship Id="rId17" Type="http://schemas.openxmlformats.org/officeDocument/2006/relationships/hyperlink" Target="https://advance.lexis.com/api/document?collection=cases-ca&amp;id=urn:contentItem:5F7T-S7F1-DXWW-23RN-00000-00&amp;context=" TargetMode="External" /><Relationship Id="rId170" Type="http://schemas.openxmlformats.org/officeDocument/2006/relationships/header" Target="header33.xml" /><Relationship Id="rId171" Type="http://schemas.openxmlformats.org/officeDocument/2006/relationships/footer" Target="footer33.xml" /><Relationship Id="rId172" Type="http://schemas.openxmlformats.org/officeDocument/2006/relationships/hyperlink" Target="https://advance.lexis.com/api/document?collection=cases-ca&amp;id=urn:contentItem:5Y03-F131-F8SS-61K7-00000-00&amp;context=" TargetMode="External" /><Relationship Id="rId173" Type="http://schemas.openxmlformats.org/officeDocument/2006/relationships/hyperlink" Target="https://advance.lexis.com/api/document?collection=cases-ca&amp;id=urn:contentItem:5F8T-N3V1-JTGH-B1C7-00000-00&amp;context=" TargetMode="External" /><Relationship Id="rId174" Type="http://schemas.openxmlformats.org/officeDocument/2006/relationships/hyperlink" Target="https://advance.lexis.com/api/document?collection=cases-ca&amp;id=urn:contentItem:5F7T-S7K1-JKHB-62YV-00000-00&amp;context=" TargetMode="External" /><Relationship Id="rId175" Type="http://schemas.openxmlformats.org/officeDocument/2006/relationships/hyperlink" Target="https://advance.lexis.com/api/document?collection=cases-ca&amp;id=urn:contentItem:5F7T-S7H1-JCRC-B0WC-00000-00&amp;context=" TargetMode="External" /><Relationship Id="rId176" Type="http://schemas.openxmlformats.org/officeDocument/2006/relationships/hyperlink" Target="https://advance.lexis.com/api/document?collection=cases-ca&amp;id=urn:contentItem:5F7T-S721-F956-S1MY-00000-00&amp;context=" TargetMode="External" /><Relationship Id="rId177" Type="http://schemas.openxmlformats.org/officeDocument/2006/relationships/hyperlink" Target="https://advance.lexis.com/api/document?collection=cases-ca&amp;id=urn:contentItem:5F8T-N3V1-FC1F-M41J-00000-00&amp;context=" TargetMode="External" /><Relationship Id="rId178" Type="http://schemas.openxmlformats.org/officeDocument/2006/relationships/hyperlink" Target="https://advance.lexis.com/api/document?collection=cases-ca&amp;id=urn:contentItem:5F7T-S7D1-FBFS-S1S7-00000-00&amp;context=" TargetMode="External" /><Relationship Id="rId179" Type="http://schemas.openxmlformats.org/officeDocument/2006/relationships/hyperlink" Target="https://advance.lexis.com/api/document?collection=cases-ca&amp;id=urn:contentItem:5GCC-XVB1-JGHR-M4HJ-00000-00&amp;context=" TargetMode="External" /><Relationship Id="rId18" Type="http://schemas.openxmlformats.org/officeDocument/2006/relationships/hyperlink" Target="https://advance.lexis.com/api/document?collection=cases-ca&amp;id=urn:contentItem:5F7T-S7D1-JN6B-S18N-00000-00&amp;context=" TargetMode="External" /><Relationship Id="rId180" Type="http://schemas.openxmlformats.org/officeDocument/2006/relationships/hyperlink" Target="https://advance.lexis.com/api/document?collection=cases-ca&amp;id=urn:contentItem:5F7T-S731-F60C-X178-00000-00&amp;context=" TargetMode="External" /><Relationship Id="rId181" Type="http://schemas.openxmlformats.org/officeDocument/2006/relationships/hyperlink" Target="https://advance.lexis.com/api/document?collection=cases-ca&amp;id=urn:contentItem:5F8T-N3V1-JF75-M3S6-00000-00&amp;context=" TargetMode="External" /><Relationship Id="rId182" Type="http://schemas.openxmlformats.org/officeDocument/2006/relationships/hyperlink" Target="https://advance.lexis.com/api/document?collection=cases-ca&amp;id=urn:contentItem:5M37-6RB1-FJDY-X090-00000-00&amp;context=" TargetMode="External" /><Relationship Id="rId183" Type="http://schemas.openxmlformats.org/officeDocument/2006/relationships/hyperlink" Target="https://advance.lexis.com/api/document?collection=cases-ca&amp;id=urn:contentItem:5F7T-S7J1-JYYX-621R-00000-00&amp;context=" TargetMode="External" /><Relationship Id="rId184" Type="http://schemas.openxmlformats.org/officeDocument/2006/relationships/hyperlink" Target="https://advance.lexis.com/api/document?collection=cases-ca&amp;id=urn:contentItem:5PMN-R051-JJD0-G16C-00000-00&amp;context=" TargetMode="External" /><Relationship Id="rId185" Type="http://schemas.openxmlformats.org/officeDocument/2006/relationships/hyperlink" Target="https://advance.lexis.com/api/document?collection=cases-ca&amp;id=urn:contentItem:5F7V-3DD1-JFKM-64FV-00000-00&amp;context=" TargetMode="External" /><Relationship Id="rId186" Type="http://schemas.openxmlformats.org/officeDocument/2006/relationships/hyperlink" Target="https://advance.lexis.com/api/document?collection=cases-ca&amp;id=urn:contentItem:5H0W-CYB1-JW5H-X0V3-00000-00&amp;context=" TargetMode="External" /><Relationship Id="rId187" Type="http://schemas.openxmlformats.org/officeDocument/2006/relationships/hyperlink" Target="https://advance.lexis.com/api/document?collection=cases-ca&amp;id=urn:contentItem:5JYW-JPX1-JC0G-61MS-00000-00&amp;context=" TargetMode="External" /><Relationship Id="rId188" Type="http://schemas.openxmlformats.org/officeDocument/2006/relationships/hyperlink" Target="https://advance.lexis.com/api/document?collection=cases-ca&amp;id=urn:contentItem:5F8T-N3V1-FC1F-M3WV-00000-00&amp;context=" TargetMode="External" /><Relationship Id="rId189" Type="http://schemas.openxmlformats.org/officeDocument/2006/relationships/hyperlink" Target="https://advance.lexis.com/api/document?collection=cases-ca&amp;id=urn:contentItem:5F7T-S7F1-FFFC-B22D-00000-00&amp;context=" TargetMode="External" /><Relationship Id="rId19" Type="http://schemas.openxmlformats.org/officeDocument/2006/relationships/hyperlink" Target="https://advance.lexis.com/api/document?collection=cases-ca&amp;id=urn:contentItem:5F7T-S7D1-FFFC-B1CP-00000-00&amp;context=" TargetMode="External" /><Relationship Id="rId190" Type="http://schemas.openxmlformats.org/officeDocument/2006/relationships/hyperlink" Target="https://advance.lexis.com/api/document?collection=cases-ca&amp;id=urn:contentItem:5F7T-S7F1-FBN1-21S2-00000-00&amp;context=" TargetMode="External" /><Relationship Id="rId191" Type="http://schemas.openxmlformats.org/officeDocument/2006/relationships/hyperlink" Target="https://advance.lexis.com/api/document?collection=cases-ca&amp;id=urn:contentItem:5F8T-N3T1-JFKM-652N-00000-00&amp;context=" TargetMode="External" /><Relationship Id="rId192" Type="http://schemas.openxmlformats.org/officeDocument/2006/relationships/hyperlink" Target="https://advance.lexis.com/api/document?collection=cases-ca&amp;id=urn:contentItem:5F7T-S7F1-JFKM-622N-00000-00&amp;context=" TargetMode="External" /><Relationship Id="rId193" Type="http://schemas.openxmlformats.org/officeDocument/2006/relationships/hyperlink" Target="https://advance.lexis.com/api/document?collection=cases-ca&amp;id=urn:contentItem:5F7T-S7D1-FFFC-B1B0-00000-00&amp;context=" TargetMode="External" /><Relationship Id="rId194" Type="http://schemas.openxmlformats.org/officeDocument/2006/relationships/hyperlink" Target="https://advance.lexis.com/api/document?collection=cases-ca&amp;id=urn:contentItem:5F7T-S6X1-F7ND-G3DV-00000-00&amp;context=" TargetMode="External" /><Relationship Id="rId195" Type="http://schemas.openxmlformats.org/officeDocument/2006/relationships/hyperlink" Target="https://advance.lexis.com/api/document?collection=cases-ca&amp;id=urn:contentItem:5GCC-XVB1-JGHR-M478-00000-00&amp;context=" TargetMode="External" /><Relationship Id="rId196" Type="http://schemas.openxmlformats.org/officeDocument/2006/relationships/hyperlink" Target="https://advance.lexis.com/api/document?collection=cases-ca&amp;id=urn:contentItem:5F7T-S7N1-JW09-M134-00000-00&amp;context=" TargetMode="External" /><Relationship Id="rId197" Type="http://schemas.openxmlformats.org/officeDocument/2006/relationships/hyperlink" Target="https://advance.lexis.com/api/document?collection=cases-ca&amp;id=urn:contentItem:5F7T-S741-F7VM-S34P-00000-00&amp;context=" TargetMode="External" /><Relationship Id="rId198" Type="http://schemas.openxmlformats.org/officeDocument/2006/relationships/hyperlink" Target="https://advance.lexis.com/api/document?collection=cases-ca&amp;id=urn:contentItem:5F7T-S761-JX8W-M2VH-00000-00&amp;context=" TargetMode="External" /><Relationship Id="rId199" Type="http://schemas.openxmlformats.org/officeDocument/2006/relationships/hyperlink" Target="https://advance.lexis.com/api/document?collection=cases-ca&amp;id=urn:contentItem:5F7T-S761-JX8W-M31Y-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8T-N3V1-FC1F-M4BC-00000-00&amp;context=" TargetMode="External" /><Relationship Id="rId200" Type="http://schemas.openxmlformats.org/officeDocument/2006/relationships/header" Target="header34.xml" /><Relationship Id="rId201" Type="http://schemas.openxmlformats.org/officeDocument/2006/relationships/header" Target="header35.xml" /><Relationship Id="rId202" Type="http://schemas.openxmlformats.org/officeDocument/2006/relationships/footer" Target="footer34.xml" /><Relationship Id="rId203" Type="http://schemas.openxmlformats.org/officeDocument/2006/relationships/footer" Target="footer35.xml" /><Relationship Id="rId204" Type="http://schemas.openxmlformats.org/officeDocument/2006/relationships/header" Target="header36.xml" /><Relationship Id="rId205" Type="http://schemas.openxmlformats.org/officeDocument/2006/relationships/footer" Target="footer36.xml" /><Relationship Id="rId206" Type="http://schemas.openxmlformats.org/officeDocument/2006/relationships/hyperlink" Target="https://advance.lexis.com/api/document?collection=cases-ca&amp;id=urn:contentItem:5F7T-S7C1-F30T-B273-00000-00&amp;context=" TargetMode="External" /><Relationship Id="rId207" Type="http://schemas.openxmlformats.org/officeDocument/2006/relationships/hyperlink" Target="https://advance.lexis.com/api/document?collection=cases-ca&amp;id=urn:contentItem:5F8T-N3T1-JJSF-23B6-00000-00&amp;context=" TargetMode="External" /><Relationship Id="rId208" Type="http://schemas.openxmlformats.org/officeDocument/2006/relationships/hyperlink" Target="https://advance.lexis.com/api/document?collection=cases-ca&amp;id=urn:contentItem:5F8P-T8T1-JFKM-64FB-00000-00&amp;context=" TargetMode="External" /><Relationship Id="rId209" Type="http://schemas.openxmlformats.org/officeDocument/2006/relationships/hyperlink" Target="https://advance.lexis.com/api/document?collection=cases-ca&amp;id=urn:contentItem:5F7T-XPV1-F956-S26C-00000-00&amp;context=" TargetMode="External" /><Relationship Id="rId21" Type="http://schemas.openxmlformats.org/officeDocument/2006/relationships/hyperlink" Target="https://advance.lexis.com/api/document?collection=cases-ca&amp;id=urn:contentItem:5F7T-S7C1-JS0R-22BW-00000-00&amp;context=" TargetMode="External" /><Relationship Id="rId210" Type="http://schemas.openxmlformats.org/officeDocument/2006/relationships/hyperlink" Target="https://advance.lexis.com/api/document?collection=cases-ca&amp;id=urn:contentItem:5F7T-XPW1-F1H1-2055-00000-00&amp;context=" TargetMode="External" /><Relationship Id="rId211" Type="http://schemas.openxmlformats.org/officeDocument/2006/relationships/hyperlink" Target="https://advance.lexis.com/api/document?collection=cases-ca&amp;id=urn:contentItem:5F7T-S711-F27X-60MJ-00000-00&amp;context=" TargetMode="External" /><Relationship Id="rId212" Type="http://schemas.openxmlformats.org/officeDocument/2006/relationships/hyperlink" Target="https://advance.lexis.com/api/document?collection=cases-ca&amp;id=urn:contentItem:5F81-VJW1-FGY5-M314-00000-00&amp;context=" TargetMode="External" /><Relationship Id="rId213" Type="http://schemas.openxmlformats.org/officeDocument/2006/relationships/hyperlink" Target="https://advance.lexis.com/api/document?collection=cases-ca&amp;id=urn:contentItem:5F7T-S6W1-JJK6-S1CT-00000-00&amp;context=" TargetMode="External" /><Relationship Id="rId214" Type="http://schemas.openxmlformats.org/officeDocument/2006/relationships/hyperlink" Target="https://advance.lexis.com/api/document?collection=cases-ca&amp;id=urn:contentItem:5F7F-5RG1-JT42-S013-00000-00&amp;context=" TargetMode="External" /><Relationship Id="rId215" Type="http://schemas.openxmlformats.org/officeDocument/2006/relationships/hyperlink" Target="https://advance.lexis.com/api/document?collection=cases-ca&amp;id=urn:contentItem:5F7T-S7H1-JG02-S382-00000-00&amp;context=" TargetMode="External" /><Relationship Id="rId216" Type="http://schemas.openxmlformats.org/officeDocument/2006/relationships/hyperlink" Target="https://advance.lexis.com/api/document?collection=cases-ca&amp;id=urn:contentItem:5F7T-S701-JF75-M476-00000-00&amp;context=" TargetMode="External" /><Relationship Id="rId217" Type="http://schemas.openxmlformats.org/officeDocument/2006/relationships/hyperlink" Target="https://advance.lexis.com/api/document?collection=cases-ca&amp;id=urn:contentItem:5F8T-N3V1-JF75-M3DT-00000-00&amp;context=" TargetMode="External" /><Relationship Id="rId218" Type="http://schemas.openxmlformats.org/officeDocument/2006/relationships/hyperlink" Target="https://advance.lexis.com/api/document?collection=cases-ca&amp;id=urn:contentItem:5F16-93C1-JWR6-S03H-00000-00&amp;context=" TargetMode="External" /><Relationship Id="rId219" Type="http://schemas.openxmlformats.org/officeDocument/2006/relationships/hyperlink" Target="https://advance.lexis.com/api/document?collection=cases-ca&amp;id=urn:contentItem:5F8T-N3V1-JFKM-6039-00000-00&amp;context=" TargetMode="External" /><Relationship Id="rId22" Type="http://schemas.openxmlformats.org/officeDocument/2006/relationships/hyperlink" Target="https://advance.lexis.com/api/document?collection=cases-ca&amp;id=urn:contentItem:5F7T-S701-JBT7-X216-00000-00&amp;context=" TargetMode="External" /><Relationship Id="rId220" Type="http://schemas.openxmlformats.org/officeDocument/2006/relationships/hyperlink" Target="https://advance.lexis.com/api/document?collection=cases-ca&amp;id=urn:contentItem:5F16-93F1-JCJ5-22MM-00000-00&amp;context=" TargetMode="External" /><Relationship Id="rId221" Type="http://schemas.openxmlformats.org/officeDocument/2006/relationships/hyperlink" Target="https://advance.lexis.com/api/document?collection=cases-ca&amp;id=urn:contentItem:5F8T-N3S1-JBDT-B0CK-00000-00&amp;context=" TargetMode="External" /><Relationship Id="rId222" Type="http://schemas.openxmlformats.org/officeDocument/2006/relationships/hyperlink" Target="https://advance.lexis.com/api/document?collection=cases-ca&amp;id=urn:contentItem:5XR8-3VP1-F4GK-M498-00000-00&amp;context=" TargetMode="External" /><Relationship Id="rId223" Type="http://schemas.openxmlformats.org/officeDocument/2006/relationships/hyperlink" Target="https://advance.lexis.com/api/document?collection=cases-ca&amp;id=urn:contentItem:5F8N-K6Y1-JJK6-S3SR-00000-00&amp;context=" TargetMode="External" /><Relationship Id="rId224" Type="http://schemas.openxmlformats.org/officeDocument/2006/relationships/hyperlink" Target="https://advance.lexis.com/api/document?collection=cases-ca&amp;id=urn:contentItem:5F7H-KW51-JS0R-20FY-00000-00&amp;context=" TargetMode="External" /><Relationship Id="rId225" Type="http://schemas.openxmlformats.org/officeDocument/2006/relationships/hyperlink" Target="https://advance.lexis.com/api/document?collection=cases-ca&amp;id=urn:contentItem:5F81-VJT1-JK4W-M3XD-00000-00&amp;context=" TargetMode="External" /><Relationship Id="rId226" Type="http://schemas.openxmlformats.org/officeDocument/2006/relationships/hyperlink" Target="https://advance.lexis.com/api/document?collection=cases-ca&amp;id=urn:contentItem:5F8P-SBV1-JXNB-63F8-00000-00&amp;context=" TargetMode="External" /><Relationship Id="rId227" Type="http://schemas.openxmlformats.org/officeDocument/2006/relationships/hyperlink" Target="https://advance.lexis.com/api/document?collection=cases-ca&amp;id=urn:contentItem:5F8T-N3V1-FC1F-M3WX-00000-00&amp;context=" TargetMode="External" /><Relationship Id="rId228" Type="http://schemas.openxmlformats.org/officeDocument/2006/relationships/hyperlink" Target="https://advance.lexis.com/api/document?collection=cases-ca&amp;id=urn:contentItem:5F8T-N3R1-JNS1-M122-00000-00&amp;context=" TargetMode="External" /><Relationship Id="rId229" Type="http://schemas.openxmlformats.org/officeDocument/2006/relationships/hyperlink" Target="https://advance.lexis.com/api/document?collection=cases-ca&amp;id=urn:contentItem:5F8T-N3R1-JNS1-M0W1-00000-00&amp;context=" TargetMode="External" /><Relationship Id="rId23" Type="http://schemas.openxmlformats.org/officeDocument/2006/relationships/hyperlink" Target="https://advance.lexis.com/api/document?collection=cases-ca&amp;id=urn:contentItem:5F7T-S6R1-JW09-M09C-00000-00&amp;context=" TargetMode="External" /><Relationship Id="rId230" Type="http://schemas.openxmlformats.org/officeDocument/2006/relationships/hyperlink" Target="https://advance.lexis.com/api/document?collection=cases-ca&amp;id=urn:contentItem:5F7T-S711-FJDY-X328-00000-00&amp;context=" TargetMode="External" /><Relationship Id="rId231" Type="http://schemas.openxmlformats.org/officeDocument/2006/relationships/hyperlink" Target="https://advance.lexis.com/api/document?collection=cases-ca&amp;id=urn:contentItem:5F16-9351-JN6B-S1PJ-00000-00&amp;context=" TargetMode="External" /><Relationship Id="rId232" Type="http://schemas.openxmlformats.org/officeDocument/2006/relationships/hyperlink" Target="https://advance.lexis.com/api/document?collection=cases-ca&amp;id=urn:contentItem:5F7T-S711-F4GK-M2SW-00000-00&amp;context=" TargetMode="External" /><Relationship Id="rId233" Type="http://schemas.openxmlformats.org/officeDocument/2006/relationships/hyperlink" Target="https://advance.lexis.com/api/document?collection=cases-ca&amp;id=urn:contentItem:5F8N-K6Y1-F4GK-M128-00000-00&amp;context=" TargetMode="External" /><Relationship Id="rId234" Type="http://schemas.openxmlformats.org/officeDocument/2006/relationships/hyperlink" Target="https://advance.lexis.com/api/document?collection=cases-ca&amp;id=urn:contentItem:5F8N-K6T1-JNS1-M248-00000-00&amp;context=" TargetMode="External" /><Relationship Id="rId235" Type="http://schemas.openxmlformats.org/officeDocument/2006/relationships/hyperlink" Target="https://advance.lexis.com/api/document?collection=cases-ca&amp;id=urn:contentItem:5F8T-N3V1-FC1F-M432-00000-00&amp;context=" TargetMode="External" /><Relationship Id="rId236" Type="http://schemas.openxmlformats.org/officeDocument/2006/relationships/header" Target="header37.xml" /><Relationship Id="rId237" Type="http://schemas.openxmlformats.org/officeDocument/2006/relationships/header" Target="header38.xml" /><Relationship Id="rId238" Type="http://schemas.openxmlformats.org/officeDocument/2006/relationships/footer" Target="footer37.xml" /><Relationship Id="rId239" Type="http://schemas.openxmlformats.org/officeDocument/2006/relationships/footer" Target="footer38.xml" /><Relationship Id="rId24" Type="http://schemas.openxmlformats.org/officeDocument/2006/relationships/hyperlink" Target="https://advance.lexis.com/api/document?collection=cases-ca&amp;id=urn:contentItem:5F7T-S731-F60C-X15M-00000-00&amp;context=" TargetMode="External" /><Relationship Id="rId240" Type="http://schemas.openxmlformats.org/officeDocument/2006/relationships/header" Target="header39.xml" /><Relationship Id="rId241" Type="http://schemas.openxmlformats.org/officeDocument/2006/relationships/footer" Target="footer39.xml" /><Relationship Id="rId242" Type="http://schemas.openxmlformats.org/officeDocument/2006/relationships/hyperlink" Target="https://advance.lexis.com/api/document?collection=cases-ca&amp;id=urn:contentItem:5WC3-G9C1-K0HK-24XS-00000-00&amp;context=" TargetMode="External" /><Relationship Id="rId243" Type="http://schemas.openxmlformats.org/officeDocument/2006/relationships/hyperlink" Target="https://advance.lexis.com/api/document?collection=cases-ca&amp;id=urn:contentItem:5F8T-N3V1-JF75-M3CR-00000-00&amp;context=" TargetMode="External" /><Relationship Id="rId244" Type="http://schemas.openxmlformats.org/officeDocument/2006/relationships/hyperlink" Target="https://advance.lexis.com/api/document?collection=cases-ca&amp;id=urn:contentItem:5F7T-S7H1-JS5Y-B364-00000-00&amp;context=" TargetMode="External" /><Relationship Id="rId245" Type="http://schemas.openxmlformats.org/officeDocument/2006/relationships/hyperlink" Target="https://advance.lexis.com/api/document?collection=cases-ca&amp;id=urn:contentItem:5F7T-S7H1-JCRC-B0WX-00000-00&amp;context=" TargetMode="External" /><Relationship Id="rId246" Type="http://schemas.openxmlformats.org/officeDocument/2006/relationships/hyperlink" Target="https://advance.lexis.com/api/document?collection=cases-ca&amp;id=urn:contentItem:5F7T-S731-F60C-X1K0-00000-00&amp;context=" TargetMode="External" /><Relationship Id="rId247" Type="http://schemas.openxmlformats.org/officeDocument/2006/relationships/hyperlink" Target="https://advance.lexis.com/api/document?collection=cases-ca&amp;id=urn:contentItem:5F7T-S7M1-JNCK-22C8-00000-00&amp;context=" TargetMode="External" /><Relationship Id="rId248" Type="http://schemas.openxmlformats.org/officeDocument/2006/relationships/hyperlink" Target="https://advance.lexis.com/api/document?collection=cases-ca&amp;id=urn:contentItem:5F7T-S7G1-JBT7-X3JN-00000-00&amp;context=" TargetMode="External" /><Relationship Id="rId249" Type="http://schemas.openxmlformats.org/officeDocument/2006/relationships/hyperlink" Target="https://advance.lexis.com/api/document?collection=cases-ca&amp;id=urn:contentItem:5F81-YH41-JX8W-M05P-00000-00&amp;context=" TargetMode="External" /><Relationship Id="rId25" Type="http://schemas.openxmlformats.org/officeDocument/2006/relationships/hyperlink" Target="https://advance.lexis.com/api/document?collection=cases-ca&amp;id=urn:contentItem:5F7T-S761-JX8W-M36G-00000-00&amp;context=" TargetMode="External" /><Relationship Id="rId250" Type="http://schemas.openxmlformats.org/officeDocument/2006/relationships/hyperlink" Target="https://advance.lexis.com/api/document?collection=cases-ca&amp;id=urn:contentItem:5F7T-S7F1-FBN1-21PV-00000-00&amp;context=" TargetMode="External" /><Relationship Id="rId251" Type="http://schemas.openxmlformats.org/officeDocument/2006/relationships/hyperlink" Target="https://advance.lexis.com/api/document?collection=cases-ca&amp;id=urn:contentItem:5F7T-S721-F4NT-X28J-00000-00&amp;context=" TargetMode="External" /><Relationship Id="rId252" Type="http://schemas.openxmlformats.org/officeDocument/2006/relationships/hyperlink" Target="https://advance.lexis.com/api/document?collection=cases-ca&amp;id=urn:contentItem:5F7T-S7M1-JFSV-G3KS-00000-00&amp;context=" TargetMode="External" /><Relationship Id="rId253" Type="http://schemas.openxmlformats.org/officeDocument/2006/relationships/hyperlink" Target="https://advance.lexis.com/api/document?collection=cases-ca&amp;id=urn:contentItem:5F7T-S7N1-JJ1H-X31H-00000-00&amp;context=" TargetMode="External" /><Relationship Id="rId254" Type="http://schemas.openxmlformats.org/officeDocument/2006/relationships/hyperlink" Target="https://advance.lexis.com/api/document?collection=cases-ca&amp;id=urn:contentItem:5F7T-S7H1-JFKM-62K9-00000-00&amp;context=" TargetMode="External" /><Relationship Id="rId255" Type="http://schemas.openxmlformats.org/officeDocument/2006/relationships/hyperlink" Target="https://advance.lexis.com/api/document?collection=cases-ca&amp;id=urn:contentItem:5F7T-S741-F528-G283-00000-00&amp;context=" TargetMode="External" /><Relationship Id="rId256" Type="http://schemas.openxmlformats.org/officeDocument/2006/relationships/hyperlink" Target="https://advance.lexis.com/api/document?collection=cases-ca&amp;id=urn:contentItem:5F7T-S731-DY33-B0N5-00000-00&amp;context=" TargetMode="External" /><Relationship Id="rId257" Type="http://schemas.openxmlformats.org/officeDocument/2006/relationships/hyperlink" Target="https://advance.lexis.com/api/document?collection=cases-ca&amp;id=urn:contentItem:5F7T-S7M1-JNCK-22CC-00000-00&amp;context=" TargetMode="External" /><Relationship Id="rId258" Type="http://schemas.openxmlformats.org/officeDocument/2006/relationships/hyperlink" Target="https://advance.lexis.com/api/document?collection=cases-ca&amp;id=urn:contentItem:5F8T-N3R1-JNS1-M0XH-00000-00&amp;context=" TargetMode="External" /><Relationship Id="rId259" Type="http://schemas.openxmlformats.org/officeDocument/2006/relationships/hyperlink" Target="https://advance.lexis.com/api/document?collection=cases-ca&amp;id=urn:contentItem:5F8P-SCC1-F2F4-G0B5-00000-00&amp;context=" TargetMode="External" /><Relationship Id="rId26" Type="http://schemas.openxmlformats.org/officeDocument/2006/relationships/hyperlink" Target="https://advance.lexis.com/api/document?collection=cases-ca&amp;id=urn:contentItem:5F7T-S771-JJD0-G1HF-00000-00&amp;context=" TargetMode="External" /><Relationship Id="rId260" Type="http://schemas.openxmlformats.org/officeDocument/2006/relationships/hyperlink" Target="https://advance.lexis.com/api/document?collection=cases-ca&amp;id=urn:contentItem:5F8P-SCC1-FGCG-S2B8-00000-00&amp;context=" TargetMode="External" /><Relationship Id="rId261" Type="http://schemas.openxmlformats.org/officeDocument/2006/relationships/hyperlink" Target="https://advance.lexis.com/api/document?collection=cases-ca&amp;id=urn:contentItem:5F7T-XPY1-DY33-B2CT-00000-00&amp;context=" TargetMode="External" /><Relationship Id="rId262" Type="http://schemas.openxmlformats.org/officeDocument/2006/relationships/hyperlink" Target="https://advance.lexis.com/api/document?collection=cases-ca&amp;id=urn:contentItem:5F7H-KWB1-JCJ5-21JN-00000-00&amp;context=" TargetMode="External" /><Relationship Id="rId263" Type="http://schemas.openxmlformats.org/officeDocument/2006/relationships/hyperlink" Target="https://advance.lexis.com/api/document?collection=cases-ca&amp;id=urn:contentItem:5HX7-VJ11-FCSB-S401-00000-00&amp;context=" TargetMode="External" /><Relationship Id="rId264" Type="http://schemas.openxmlformats.org/officeDocument/2006/relationships/hyperlink" Target="https://advance.lexis.com/api/document?collection=cases-ca&amp;id=urn:contentItem:5F7T-S7K1-F528-G2R4-00000-00&amp;context=" TargetMode="External" /><Relationship Id="rId265" Type="http://schemas.openxmlformats.org/officeDocument/2006/relationships/hyperlink" Target="https://advance.lexis.com/api/document?collection=cases-ca&amp;id=urn:contentItem:5T0J-H271-JFDC-X2WW-00000-00&amp;context=" TargetMode="External" /><Relationship Id="rId266" Type="http://schemas.openxmlformats.org/officeDocument/2006/relationships/hyperlink" Target="https://advance.lexis.com/api/document?collection=cases-ca&amp;id=urn:contentItem:5F8T-N3V1-FC1F-M455-00000-00&amp;context=" TargetMode="External" /><Relationship Id="rId267" Type="http://schemas.openxmlformats.org/officeDocument/2006/relationships/hyperlink" Target="https://advance.lexis.com/api/document?collection=cases-ca&amp;id=urn:contentItem:5VKJ-FFG1-JSXV-G501-00000-00&amp;context=" TargetMode="External" /><Relationship Id="rId268" Type="http://schemas.openxmlformats.org/officeDocument/2006/relationships/hyperlink" Target="https://advance.lexis.com/api/document?collection=cases-ca&amp;id=urn:contentItem:5N82-XP61-JX8W-M518-00000-00&amp;context=" TargetMode="External" /><Relationship Id="rId269" Type="http://schemas.openxmlformats.org/officeDocument/2006/relationships/hyperlink" Target="https://advance.lexis.com/api/document?collection=cases-ca&amp;id=urn:contentItem:5F16-9371-F5DR-232F-00000-00&amp;context=" TargetMode="External" /><Relationship Id="rId27" Type="http://schemas.openxmlformats.org/officeDocument/2006/relationships/hyperlink" Target="https://advance.lexis.com/api/document?collection=cases-ca&amp;id=urn:contentItem:5F7T-S781-F900-G173-00000-00&amp;context=" TargetMode="External" /><Relationship Id="rId270" Type="http://schemas.openxmlformats.org/officeDocument/2006/relationships/hyperlink" Target="https://advance.lexis.com/api/document?collection=cases-ca&amp;id=urn:contentItem:5F16-93C1-JF1Y-B4NF-00000-00&amp;context=" TargetMode="External" /><Relationship Id="rId271" Type="http://schemas.openxmlformats.org/officeDocument/2006/relationships/hyperlink" Target="https://advance.lexis.com/api/document?collection=cases-ca&amp;id=urn:contentItem:5R6N-V6G1-FGY5-M516-00000-00&amp;context=" TargetMode="External" /><Relationship Id="rId272" Type="http://schemas.openxmlformats.org/officeDocument/2006/relationships/header" Target="header40.xml" /><Relationship Id="rId273" Type="http://schemas.openxmlformats.org/officeDocument/2006/relationships/header" Target="header41.xml" /><Relationship Id="rId274" Type="http://schemas.openxmlformats.org/officeDocument/2006/relationships/footer" Target="footer40.xml" /><Relationship Id="rId275" Type="http://schemas.openxmlformats.org/officeDocument/2006/relationships/footer" Target="footer41.xml" /><Relationship Id="rId276" Type="http://schemas.openxmlformats.org/officeDocument/2006/relationships/header" Target="header42.xml" /><Relationship Id="rId277" Type="http://schemas.openxmlformats.org/officeDocument/2006/relationships/footer" Target="footer42.xml" /><Relationship Id="rId278" Type="http://schemas.openxmlformats.org/officeDocument/2006/relationships/hyperlink" Target="https://advance.lexis.com/api/document?collection=cases-ca&amp;id=urn:contentItem:5F7T-S7P1-JBDT-B0YM-00000-00&amp;context=" TargetMode="External" /><Relationship Id="rId279" Type="http://schemas.openxmlformats.org/officeDocument/2006/relationships/hyperlink" Target="https://advance.lexis.com/api/document?collection=cases-ca&amp;id=urn:contentItem:5F7T-S6W1-JXNB-6262-00000-00&amp;context=" TargetMode="External" /><Relationship Id="rId28" Type="http://schemas.openxmlformats.org/officeDocument/2006/relationships/hyperlink" Target="https://advance.lexis.com/api/document?collection=cases-ca&amp;id=urn:contentItem:5F7T-S6W1-JB7K-21G7-00000-00&amp;context=" TargetMode="External" /><Relationship Id="rId280" Type="http://schemas.openxmlformats.org/officeDocument/2006/relationships/hyperlink" Target="https://advance.lexis.com/api/document?collection=cases-ca&amp;id=urn:contentItem:5F8T-N3P1-FC6N-X1MN-00000-00&amp;context=" TargetMode="External" /><Relationship Id="rId281" Type="http://schemas.openxmlformats.org/officeDocument/2006/relationships/hyperlink" Target="https://advance.lexis.com/api/document?collection=cases-ca&amp;id=urn:contentItem:5F7T-S7M1-F4W2-6247-00000-00&amp;context=" TargetMode="External" /><Relationship Id="rId282" Type="http://schemas.openxmlformats.org/officeDocument/2006/relationships/hyperlink" Target="https://advance.lexis.com/api/document?collection=cases-ca&amp;id=urn:contentItem:5F7T-S761-FGJR-22SB-00000-00&amp;context=" TargetMode="External" /><Relationship Id="rId283" Type="http://schemas.openxmlformats.org/officeDocument/2006/relationships/hyperlink" Target="https://advance.lexis.com/api/document?collection=cases-ca&amp;id=urn:contentItem:5F7T-S7J1-JYYX-623B-00000-00&amp;context=" TargetMode="External" /><Relationship Id="rId284" Type="http://schemas.openxmlformats.org/officeDocument/2006/relationships/hyperlink" Target="https://advance.lexis.com/api/document?collection=cases-ca&amp;id=urn:contentItem:5F7T-S6Y1-JTNR-M4F9-00000-00&amp;context=" TargetMode="External" /><Relationship Id="rId285" Type="http://schemas.openxmlformats.org/officeDocument/2006/relationships/hyperlink" Target="https://advance.lexis.com/api/document?collection=cases-ca&amp;id=urn:contentItem:5F7T-S7N1-JJ1H-X31K-00000-00&amp;context=" TargetMode="External" /><Relationship Id="rId286" Type="http://schemas.openxmlformats.org/officeDocument/2006/relationships/hyperlink" Target="https://advance.lexis.com/api/document?collection=cases-ca&amp;id=urn:contentItem:5F7T-S7G1-JPP5-21NY-00000-00&amp;context=" TargetMode="External" /><Relationship Id="rId287" Type="http://schemas.openxmlformats.org/officeDocument/2006/relationships/hyperlink" Target="https://advance.lexis.com/api/document?collection=cases-ca&amp;id=urn:contentItem:5F7T-S781-FH4C-X2V6-00000-00&amp;context=" TargetMode="External" /><Relationship Id="rId288" Type="http://schemas.openxmlformats.org/officeDocument/2006/relationships/hyperlink" Target="https://advance.lexis.com/api/document?collection=cases-ca&amp;id=urn:contentItem:5F7T-S7D1-FBFS-S1M7-00000-00&amp;context=" TargetMode="External" /><Relationship Id="rId289" Type="http://schemas.openxmlformats.org/officeDocument/2006/relationships/hyperlink" Target="https://advance.lexis.com/api/document?collection=cases-ca&amp;id=urn:contentItem:5F7T-S7D1-JN6B-S131-00000-00&amp;context=" TargetMode="External" /><Relationship Id="rId29" Type="http://schemas.openxmlformats.org/officeDocument/2006/relationships/hyperlink" Target="https://advance.lexis.com/api/document?collection=cases-ca&amp;id=urn:contentItem:5F7T-S7C1-JXG3-X030-00000-00&amp;context=" TargetMode="External" /><Relationship Id="rId290" Type="http://schemas.openxmlformats.org/officeDocument/2006/relationships/hyperlink" Target="https://advance.lexis.com/api/document?collection=cases-ca&amp;id=urn:contentItem:5F7T-S7P1-JG02-S4CG-00000-00&amp;context=" TargetMode="External" /><Relationship Id="rId291" Type="http://schemas.openxmlformats.org/officeDocument/2006/relationships/hyperlink" Target="https://advance.lexis.com/api/document?collection=cases-ca&amp;id=urn:contentItem:5F7T-S7J1-FGCG-S05H-00000-00&amp;context=" TargetMode="External" /><Relationship Id="rId292" Type="http://schemas.openxmlformats.org/officeDocument/2006/relationships/hyperlink" Target="https://advance.lexis.com/api/document?collection=cases-ca&amp;id=urn:contentItem:5F7T-S7J1-JNS1-M2J2-00000-00&amp;context=" TargetMode="External" /><Relationship Id="rId293" Type="http://schemas.openxmlformats.org/officeDocument/2006/relationships/hyperlink" Target="https://advance.lexis.com/api/document?collection=cases-ca&amp;id=urn:contentItem:5F7T-S7D1-FFFC-B1C4-00000-00&amp;context=" TargetMode="External" /><Relationship Id="rId294" Type="http://schemas.openxmlformats.org/officeDocument/2006/relationships/hyperlink" Target="https://advance.lexis.com/api/document?collection=cases-ca&amp;id=urn:contentItem:5F7T-S7M1-JFSV-G3S3-00000-00&amp;context=" TargetMode="External" /><Relationship Id="rId295" Type="http://schemas.openxmlformats.org/officeDocument/2006/relationships/hyperlink" Target="https://advance.lexis.com/api/document?collection=cases-ca&amp;id=urn:contentItem:5F7T-S7F1-JBT7-X327-00000-00&amp;context=" TargetMode="External" /><Relationship Id="rId296" Type="http://schemas.openxmlformats.org/officeDocument/2006/relationships/hyperlink" Target="https://advance.lexis.com/api/document?collection=cases-ca&amp;id=urn:contentItem:5F7T-S7F1-F7VM-S41J-00000-00&amp;context=" TargetMode="External" /><Relationship Id="rId297" Type="http://schemas.openxmlformats.org/officeDocument/2006/relationships/hyperlink" Target="https://advance.lexis.com/api/document?collection=cases-ca&amp;id=urn:contentItem:5F7T-S7G1-JWR6-S1SN-00000-00&amp;context=" TargetMode="External" /><Relationship Id="rId298" Type="http://schemas.openxmlformats.org/officeDocument/2006/relationships/hyperlink" Target="https://advance.lexis.com/api/document?collection=cases-ca&amp;id=urn:contentItem:5F7T-S7G1-JPP5-21MF-00000-00&amp;context=" TargetMode="External" /><Relationship Id="rId299" Type="http://schemas.openxmlformats.org/officeDocument/2006/relationships/hyperlink" Target="https://advance.lexis.com/api/document?collection=cases-ca&amp;id=urn:contentItem:5F7T-S7N1-DXWW-20KV-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51-JP4G-6179-00000-00&amp;context=" TargetMode="External" /><Relationship Id="rId300" Type="http://schemas.openxmlformats.org/officeDocument/2006/relationships/hyperlink" Target="https://advance.lexis.com/api/document?collection=cases-ca&amp;id=urn:contentItem:5F8P-SCK1-JCJ5-22YM-00000-00&amp;context=" TargetMode="External" /><Relationship Id="rId301" Type="http://schemas.openxmlformats.org/officeDocument/2006/relationships/hyperlink" Target="https://advance.lexis.com/api/document?collection=cases-ca&amp;id=urn:contentItem:5F7T-S6Y1-JPP5-2189-00000-00&amp;context=" TargetMode="External" /><Relationship Id="rId302" Type="http://schemas.openxmlformats.org/officeDocument/2006/relationships/hyperlink" Target="https://advance.lexis.com/api/document?collection=cases-ca&amp;id=urn:contentItem:5F7T-S7J1-JYYX-622Y-00000-00&amp;context=" TargetMode="External" /><Relationship Id="rId303" Type="http://schemas.openxmlformats.org/officeDocument/2006/relationships/hyperlink" Target="https://advance.lexis.com/api/document?collection=cases-ca&amp;id=urn:contentItem:5F7T-S7K1-JSJC-X168-00000-00&amp;context=" TargetMode="External" /><Relationship Id="rId304" Type="http://schemas.openxmlformats.org/officeDocument/2006/relationships/hyperlink" Target="https://advance.lexis.com/api/document?collection=cases-ca&amp;id=urn:contentItem:5F7T-S7F1-F7VM-S475-00000-00&amp;context=" TargetMode="External" /><Relationship Id="rId305" Type="http://schemas.openxmlformats.org/officeDocument/2006/relationships/hyperlink" Target="https://advance.lexis.com/api/document?collection=cases-ca&amp;id=urn:contentItem:5F7T-S7G1-FCYK-207V-00000-00&amp;context=" TargetMode="External" /><Relationship Id="rId306" Type="http://schemas.openxmlformats.org/officeDocument/2006/relationships/hyperlink" Target="https://advance.lexis.com/api/document?collection=cases-ca&amp;id=urn:contentItem:5F7T-S7K1-JSJC-X0R5-00000-00&amp;context=" TargetMode="External" /><Relationship Id="rId307" Type="http://schemas.openxmlformats.org/officeDocument/2006/relationships/hyperlink" Target="https://advance.lexis.com/api/document?collection=cases-ca&amp;id=urn:contentItem:5F7T-S701-JF75-M4N2-00000-00&amp;context=" TargetMode="External" /><Relationship Id="rId308" Type="http://schemas.openxmlformats.org/officeDocument/2006/relationships/hyperlink" Target="https://advance.lexis.com/api/document?collection=cases-ca&amp;id=urn:contentItem:5F7T-S6W1-JYYX-61TX-00000-00&amp;context=" TargetMode="External" /><Relationship Id="rId309" Type="http://schemas.openxmlformats.org/officeDocument/2006/relationships/hyperlink" Target="https://advance.lexis.com/api/document?collection=cases-ca&amp;id=urn:contentItem:5F7T-S731-FFFC-B0K2-00000-00&amp;context=" TargetMode="External" /><Relationship Id="rId31" Type="http://schemas.openxmlformats.org/officeDocument/2006/relationships/hyperlink" Target="https://advance.lexis.com/api/document?collection=cases-ca&amp;id=urn:contentItem:5F7T-S721-FD4T-B0X1-00000-00&amp;context=" TargetMode="External" /><Relationship Id="rId310" Type="http://schemas.openxmlformats.org/officeDocument/2006/relationships/hyperlink" Target="https://advance.lexis.com/api/document?collection=cases-ca&amp;id=urn:contentItem:5F7T-S761-F81W-21RK-00000-00&amp;context=" TargetMode="External" /><Relationship Id="rId311" Type="http://schemas.openxmlformats.org/officeDocument/2006/relationships/hyperlink" Target="https://advance.lexis.com/api/document?collection=cases-ca&amp;id=urn:contentItem:5F7T-S7N1-F57G-S2D4-00000-00&amp;context=" TargetMode="External" /><Relationship Id="rId312" Type="http://schemas.openxmlformats.org/officeDocument/2006/relationships/hyperlink" Target="https://advance.lexis.com/api/document?collection=cases-ca&amp;id=urn:contentItem:5F7T-S6W1-JB7K-21F4-00000-00&amp;context=" TargetMode="External" /><Relationship Id="rId313" Type="http://schemas.openxmlformats.org/officeDocument/2006/relationships/hyperlink" Target="https://advance.lexis.com/api/document?collection=cases-ca&amp;id=urn:contentItem:5F7T-S7H1-FCSB-S3RY-00000-00&amp;context=" TargetMode="External" /><Relationship Id="rId314" Type="http://schemas.openxmlformats.org/officeDocument/2006/relationships/hyperlink" Target="https://advance.lexis.com/api/document?collection=cases-ca&amp;id=urn:contentItem:5F7T-S7N1-JC5P-G2DS-00000-00&amp;context=" TargetMode="External" /><Relationship Id="rId315" Type="http://schemas.openxmlformats.org/officeDocument/2006/relationships/hyperlink" Target="https://advance.lexis.com/api/document?collection=cases-ca&amp;id=urn:contentItem:5F7T-S7M1-DYMS-6290-00000-00&amp;context=" TargetMode="External" /><Relationship Id="rId316" Type="http://schemas.openxmlformats.org/officeDocument/2006/relationships/header" Target="header43.xml" /><Relationship Id="rId317" Type="http://schemas.openxmlformats.org/officeDocument/2006/relationships/header" Target="header44.xml" /><Relationship Id="rId318" Type="http://schemas.openxmlformats.org/officeDocument/2006/relationships/footer" Target="footer43.xml" /><Relationship Id="rId319" Type="http://schemas.openxmlformats.org/officeDocument/2006/relationships/footer" Target="footer44.xml" /><Relationship Id="rId32" Type="http://schemas.openxmlformats.org/officeDocument/2006/relationships/hyperlink" Target="https://advance.lexis.com/api/document?collection=cases-ca&amp;id=urn:contentItem:5F7T-S6T1-JJ1H-X22G-00000-00&amp;context=" TargetMode="External" /><Relationship Id="rId320" Type="http://schemas.openxmlformats.org/officeDocument/2006/relationships/header" Target="header45.xml" /><Relationship Id="rId321" Type="http://schemas.openxmlformats.org/officeDocument/2006/relationships/footer" Target="footer45.xml" /><Relationship Id="rId322" Type="http://schemas.openxmlformats.org/officeDocument/2006/relationships/hyperlink" Target="https://advance.lexis.com/api/document?collection=cases-ca&amp;id=urn:contentItem:5F7T-S7C1-F4NT-X3M2-00000-00&amp;context=" TargetMode="External" /><Relationship Id="rId323" Type="http://schemas.openxmlformats.org/officeDocument/2006/relationships/hyperlink" Target="https://advance.lexis.com/api/document?collection=legislation-ca&amp;id=urn:contentItem:5F41-1FJ1-JBDT-B069-00000-00&amp;context=" TargetMode="External" /><Relationship Id="rId324" Type="http://schemas.openxmlformats.org/officeDocument/2006/relationships/hyperlink" Target="https://advance.lexis.com/api/document?collection=cases-ca&amp;id=urn:contentItem:5F7T-S751-F361-M0RW-00000-00&amp;context=" TargetMode="External" /><Relationship Id="rId325" Type="http://schemas.openxmlformats.org/officeDocument/2006/relationships/hyperlink" Target="https://advance.lexis.com/api/document?collection=cases-ca&amp;id=urn:contentItem:5F7T-S7C1-JSRM-60RY-00000-00&amp;context=" TargetMode="External" /><Relationship Id="rId326" Type="http://schemas.openxmlformats.org/officeDocument/2006/relationships/hyperlink" Target="https://advance.lexis.com/api/document?collection=cases-ca&amp;id=urn:contentItem:5F7T-S771-JN14-G279-00000-00&amp;context=" TargetMode="External" /><Relationship Id="rId327" Type="http://schemas.openxmlformats.org/officeDocument/2006/relationships/header" Target="header46.xml" /><Relationship Id="rId328" Type="http://schemas.openxmlformats.org/officeDocument/2006/relationships/header" Target="header47.xml" /><Relationship Id="rId329" Type="http://schemas.openxmlformats.org/officeDocument/2006/relationships/footer" Target="footer46.xml" /><Relationship Id="rId33" Type="http://schemas.openxmlformats.org/officeDocument/2006/relationships/hyperlink" Target="https://advance.lexis.com/api/document?collection=cases-ca&amp;id=urn:contentItem:5F7T-S761-JS5Y-B1T6-00000-00&amp;context=" TargetMode="External" /><Relationship Id="rId330" Type="http://schemas.openxmlformats.org/officeDocument/2006/relationships/footer" Target="footer47.xml" /><Relationship Id="rId331" Type="http://schemas.openxmlformats.org/officeDocument/2006/relationships/header" Target="header48.xml" /><Relationship Id="rId332" Type="http://schemas.openxmlformats.org/officeDocument/2006/relationships/footer" Target="footer48.xml" /><Relationship Id="rId333" Type="http://schemas.openxmlformats.org/officeDocument/2006/relationships/hyperlink" Target="https://advance.lexis.com/api/document?collection=cases-ca&amp;id=urn:contentItem:5Y2W-3BC1-JB7K-20X6-00000-00&amp;context=" TargetMode="External" /><Relationship Id="rId334" Type="http://schemas.openxmlformats.org/officeDocument/2006/relationships/hyperlink" Target="https://advance.lexis.com/api/document?collection=cases-ca&amp;id=urn:contentItem:5XM3-CN81-DYMS-61RV-00000-00&amp;context=" TargetMode="External" /><Relationship Id="rId335" Type="http://schemas.openxmlformats.org/officeDocument/2006/relationships/hyperlink" Target="https://advance.lexis.com/api/document?collection=legislation-ca&amp;id=urn:contentItem:5F41-1FJ1-JKPJ-G0P5-00000-00&amp;context=" TargetMode="External" /><Relationship Id="rId336" Type="http://schemas.openxmlformats.org/officeDocument/2006/relationships/hyperlink" Target="https://advance.lexis.com/api/document?collection=cases-ca&amp;id=urn:contentItem:5F7T-S731-FFFC-B0TP-00000-00&amp;context=" TargetMode="External" /><Relationship Id="rId337" Type="http://schemas.openxmlformats.org/officeDocument/2006/relationships/hyperlink" Target="https://advance.lexis.com/api/document?collection=cases-ca&amp;id=urn:contentItem:5GCC-XVB1-JSXV-G04Y-00000-00&amp;context=" TargetMode="External" /><Relationship Id="rId338" Type="http://schemas.openxmlformats.org/officeDocument/2006/relationships/header" Target="header49.xml" /><Relationship Id="rId339" Type="http://schemas.openxmlformats.org/officeDocument/2006/relationships/header" Target="header50.xml" /><Relationship Id="rId34" Type="http://schemas.openxmlformats.org/officeDocument/2006/relationships/hyperlink" Target="https://advance.lexis.com/api/document?collection=cases-ca&amp;id=urn:contentItem:5F7T-S6S1-F60C-X0RC-00000-00&amp;context=" TargetMode="External" /><Relationship Id="rId340" Type="http://schemas.openxmlformats.org/officeDocument/2006/relationships/footer" Target="footer49.xml" /><Relationship Id="rId341" Type="http://schemas.openxmlformats.org/officeDocument/2006/relationships/footer" Target="footer50.xml" /><Relationship Id="rId342" Type="http://schemas.openxmlformats.org/officeDocument/2006/relationships/header" Target="header51.xml" /><Relationship Id="rId343" Type="http://schemas.openxmlformats.org/officeDocument/2006/relationships/footer" Target="footer51.xml" /><Relationship Id="rId344" Type="http://schemas.openxmlformats.org/officeDocument/2006/relationships/hyperlink" Target="https://advance.lexis.com/api/document?collection=cases-ca&amp;id=urn:contentItem:5F7T-S7C1-F4NT-X425-00000-00&amp;context=" TargetMode="External" /><Relationship Id="rId345" Type="http://schemas.openxmlformats.org/officeDocument/2006/relationships/hyperlink" Target="https://advance.lexis.com/api/document?collection=cases-ca&amp;id=urn:contentItem:5F7T-S771-JW5H-X208-00000-00&amp;context=" TargetMode="External" /><Relationship Id="rId346" Type="http://schemas.openxmlformats.org/officeDocument/2006/relationships/hyperlink" Target="https://advance.lexis.com/api/document?collection=cases-ca&amp;id=urn:contentItem:5F7T-S771-JSJC-X06B-00000-00&amp;context=" TargetMode="External" /><Relationship Id="rId347" Type="http://schemas.openxmlformats.org/officeDocument/2006/relationships/hyperlink" Target="https://advance.lexis.com/api/document?collection=cases-ca&amp;id=urn:contentItem:5F7T-S761-JX8W-M32K-00000-00&amp;context=" TargetMode="External" /><Relationship Id="rId348" Type="http://schemas.openxmlformats.org/officeDocument/2006/relationships/hyperlink" Target="https://advance.lexis.com/api/document?collection=cases-ca&amp;id=urn:contentItem:5F7T-S761-FGJR-22FN-00000-00&amp;context=" TargetMode="External" /><Relationship Id="rId349" Type="http://schemas.openxmlformats.org/officeDocument/2006/relationships/hyperlink" Target="https://advance.lexis.com/api/document?collection=cases-ca&amp;id=urn:contentItem:5F7T-S771-JW5H-X22R-00000-00&amp;context=" TargetMode="External" /><Relationship Id="rId35" Type="http://schemas.openxmlformats.org/officeDocument/2006/relationships/hyperlink" Target="https://advance.lexis.com/api/document?collection=cases-ca&amp;id=urn:contentItem:5F7T-S751-JP4G-610Y-00000-00&amp;context=" TargetMode="External" /><Relationship Id="rId350" Type="http://schemas.openxmlformats.org/officeDocument/2006/relationships/hyperlink" Target="https://advance.lexis.com/api/document?collection=cases-ca&amp;id=urn:contentItem:5F7T-S741-FJM6-61NM-00000-00&amp;context=" TargetMode="External" /><Relationship Id="rId351" Type="http://schemas.openxmlformats.org/officeDocument/2006/relationships/hyperlink" Target="https://advance.lexis.com/api/document?collection=cases-ca&amp;id=urn:contentItem:5F7T-S761-F7ND-G4FM-00000-00&amp;context=" TargetMode="External" /><Relationship Id="rId352" Type="http://schemas.openxmlformats.org/officeDocument/2006/relationships/hyperlink" Target="https://advance.lexis.com/api/document?collection=cases-ca&amp;id=urn:contentItem:5F7T-S761-F81W-21V0-00000-00&amp;context=" TargetMode="External" /><Relationship Id="rId353" Type="http://schemas.openxmlformats.org/officeDocument/2006/relationships/header" Target="header52.xml" /><Relationship Id="rId354" Type="http://schemas.openxmlformats.org/officeDocument/2006/relationships/header" Target="header53.xml" /><Relationship Id="rId355" Type="http://schemas.openxmlformats.org/officeDocument/2006/relationships/footer" Target="footer52.xml" /><Relationship Id="rId356" Type="http://schemas.openxmlformats.org/officeDocument/2006/relationships/footer" Target="footer53.xml" /><Relationship Id="rId357" Type="http://schemas.openxmlformats.org/officeDocument/2006/relationships/header" Target="header54.xml" /><Relationship Id="rId358" Type="http://schemas.openxmlformats.org/officeDocument/2006/relationships/footer" Target="footer54.xml" /><Relationship Id="rId359" Type="http://schemas.openxmlformats.org/officeDocument/2006/relationships/hyperlink" Target="https://advance.lexis.com/api/document?collection=cases-ca&amp;id=urn:contentItem:5Y3H-2X41-F8D9-M4CJ-00000-00&amp;context=" TargetMode="External" /><Relationship Id="rId36" Type="http://schemas.openxmlformats.org/officeDocument/2006/relationships/hyperlink" Target="https://advance.lexis.com/api/document?collection=cases-ca&amp;id=urn:contentItem:5F7T-S711-JG02-S1HG-00000-00&amp;context=" TargetMode="External" /><Relationship Id="rId360" Type="http://schemas.openxmlformats.org/officeDocument/2006/relationships/hyperlink" Target="https://advance.lexis.com/api/document?collection=cases-ca&amp;id=urn:contentItem:5Y1C-F2W1-JTGH-B08N-00000-00&amp;context=" TargetMode="External" /><Relationship Id="rId361" Type="http://schemas.openxmlformats.org/officeDocument/2006/relationships/hyperlink" Target="https://advance.lexis.com/api/document?collection=cases-ca&amp;id=urn:contentItem:5F8T-N3P1-F7ND-G14C-00000-00&amp;context=" TargetMode="External" /><Relationship Id="rId362" Type="http://schemas.openxmlformats.org/officeDocument/2006/relationships/hyperlink" Target="https://advance.lexis.com/api/document?collection=cases-ca&amp;id=urn:contentItem:5F81-YGW1-DYFH-X025-00000-00&amp;context=" TargetMode="External" /><Relationship Id="rId363" Type="http://schemas.openxmlformats.org/officeDocument/2006/relationships/hyperlink" Target="https://advance.lexis.com/api/document?collection=cases-ca&amp;id=urn:contentItem:5F8P-SC71-JK4W-M2MK-00000-00&amp;context=" TargetMode="External" /><Relationship Id="rId364" Type="http://schemas.openxmlformats.org/officeDocument/2006/relationships/hyperlink" Target="https://advance.lexis.com/api/document?collection=cases-ca&amp;id=urn:contentItem:5F7T-S7G1-JBT7-X40C-00000-00&amp;context=" TargetMode="External" /><Relationship Id="rId365" Type="http://schemas.openxmlformats.org/officeDocument/2006/relationships/hyperlink" Target="https://advance.lexis.com/api/document?collection=cases-ca&amp;id=urn:contentItem:5F8T-N3V1-JF75-M3WX-00000-00&amp;context=" TargetMode="External" /><Relationship Id="rId366" Type="http://schemas.openxmlformats.org/officeDocument/2006/relationships/header" Target="header55.xml" /><Relationship Id="rId367" Type="http://schemas.openxmlformats.org/officeDocument/2006/relationships/header" Target="header56.xml" /><Relationship Id="rId368" Type="http://schemas.openxmlformats.org/officeDocument/2006/relationships/footer" Target="footer55.xml" /><Relationship Id="rId369" Type="http://schemas.openxmlformats.org/officeDocument/2006/relationships/footer" Target="footer56.xml" /><Relationship Id="rId37" Type="http://schemas.openxmlformats.org/officeDocument/2006/relationships/hyperlink" Target="https://advance.lexis.com/api/document?collection=cases-ca&amp;id=urn:contentItem:5F7T-S771-JWBS-61F8-00000-00&amp;context=" TargetMode="External" /><Relationship Id="rId370" Type="http://schemas.openxmlformats.org/officeDocument/2006/relationships/header" Target="header57.xml" /><Relationship Id="rId371" Type="http://schemas.openxmlformats.org/officeDocument/2006/relationships/footer" Target="footer57.xml" /><Relationship Id="rId372" Type="http://schemas.openxmlformats.org/officeDocument/2006/relationships/hyperlink" Target="https://advance.lexis.com/api/document?collection=cases-ca&amp;id=urn:contentItem:5F7T-S7C1-JSRM-60XK-00000-00&amp;context=" TargetMode="External" /><Relationship Id="rId373" Type="http://schemas.openxmlformats.org/officeDocument/2006/relationships/header" Target="header58.xml" /><Relationship Id="rId374" Type="http://schemas.openxmlformats.org/officeDocument/2006/relationships/header" Target="header59.xml" /><Relationship Id="rId375" Type="http://schemas.openxmlformats.org/officeDocument/2006/relationships/footer" Target="footer58.xml" /><Relationship Id="rId376" Type="http://schemas.openxmlformats.org/officeDocument/2006/relationships/footer" Target="footer59.xml" /><Relationship Id="rId377" Type="http://schemas.openxmlformats.org/officeDocument/2006/relationships/header" Target="header60.xml" /><Relationship Id="rId378" Type="http://schemas.openxmlformats.org/officeDocument/2006/relationships/footer" Target="footer60.xml" /><Relationship Id="rId379" Type="http://schemas.openxmlformats.org/officeDocument/2006/relationships/hyperlink" Target="https://advance.lexis.com/api/document?collection=cases-ca&amp;id=urn:contentItem:5F7T-S7B1-F7ND-G4W3-00000-00&amp;context=" TargetMode="External" /><Relationship Id="rId38" Type="http://schemas.openxmlformats.org/officeDocument/2006/relationships/hyperlink" Target="https://advance.lexis.com/api/document?collection=cases-ca&amp;id=urn:contentItem:5F81-VJV1-F60C-X32Y-00000-00&amp;context=" TargetMode="External" /><Relationship Id="rId380" Type="http://schemas.openxmlformats.org/officeDocument/2006/relationships/hyperlink" Target="https://advance.lexis.com/api/document?collection=cases-ca&amp;id=urn:contentItem:5F7T-S7C1-JSRM-6175-00000-00&amp;context=" TargetMode="External" /><Relationship Id="rId381" Type="http://schemas.openxmlformats.org/officeDocument/2006/relationships/header" Target="header61.xml" /><Relationship Id="rId382" Type="http://schemas.openxmlformats.org/officeDocument/2006/relationships/header" Target="header62.xml" /><Relationship Id="rId383" Type="http://schemas.openxmlformats.org/officeDocument/2006/relationships/footer" Target="footer61.xml" /><Relationship Id="rId384" Type="http://schemas.openxmlformats.org/officeDocument/2006/relationships/footer" Target="footer62.xml" /><Relationship Id="rId385" Type="http://schemas.openxmlformats.org/officeDocument/2006/relationships/header" Target="header63.xml" /><Relationship Id="rId386" Type="http://schemas.openxmlformats.org/officeDocument/2006/relationships/footer" Target="footer63.xml" /><Relationship Id="rId387" Type="http://schemas.openxmlformats.org/officeDocument/2006/relationships/hyperlink" Target="https://advance.lexis.com/api/document?collection=cases-ca&amp;id=urn:contentItem:5VN2-23P1-DY89-M2PH-00000-00&amp;context=" TargetMode="External" /><Relationship Id="rId388" Type="http://schemas.openxmlformats.org/officeDocument/2006/relationships/hyperlink" Target="https://advance.lexis.com/api/document?collection=cases-ca&amp;id=urn:contentItem:5X52-TFX1-JXNB-609V-00000-00&amp;context=" TargetMode="External" /><Relationship Id="rId389" Type="http://schemas.openxmlformats.org/officeDocument/2006/relationships/hyperlink" Target="https://advance.lexis.com/api/document?collection=cases-ca&amp;id=urn:contentItem:5GXH-CVG1-F2F4-G0MJ-00000-00&amp;context=" TargetMode="External" /><Relationship Id="rId39" Type="http://schemas.openxmlformats.org/officeDocument/2006/relationships/hyperlink" Target="https://advance.lexis.com/api/document?collection=cases-ca&amp;id=urn:contentItem:5F7T-S7D1-FC6N-X0DR-00000-00&amp;context=" TargetMode="External" /><Relationship Id="rId390" Type="http://schemas.openxmlformats.org/officeDocument/2006/relationships/hyperlink" Target="https://advance.lexis.com/api/document?collection=cases-ca&amp;id=urn:contentItem:5J17-BK31-F5T5-M244-00000-00&amp;context=" TargetMode="External" /><Relationship Id="rId391" Type="http://schemas.openxmlformats.org/officeDocument/2006/relationships/hyperlink" Target="https://advance.lexis.com/api/document?collection=cases-ca&amp;id=urn:contentItem:5NBM-9KY1-JCRC-B3Y8-00000-00&amp;context=" TargetMode="External" /><Relationship Id="rId392" Type="http://schemas.openxmlformats.org/officeDocument/2006/relationships/hyperlink" Target="https://advance.lexis.com/api/document?collection=cases-ca&amp;id=urn:contentItem:5F7T-S7K1-JX3N-B2V4-00000-00&amp;context=" TargetMode="External" /><Relationship Id="rId393" Type="http://schemas.openxmlformats.org/officeDocument/2006/relationships/hyperlink" Target="https://advance.lexis.com/api/document?collection=cases-ca&amp;id=urn:contentItem:5F7T-S7N1-F06F-24KX-00000-00&amp;context=" TargetMode="External" /><Relationship Id="rId394" Type="http://schemas.openxmlformats.org/officeDocument/2006/relationships/hyperlink" Target="https://advance.lexis.com/api/document?collection=cases-ca&amp;id=urn:contentItem:5F7T-S7M1-JNCK-22RP-00000-00&amp;context=" TargetMode="External" /><Relationship Id="rId395" Type="http://schemas.openxmlformats.org/officeDocument/2006/relationships/hyperlink" Target="https://advance.lexis.com/api/document?collection=cases-ca&amp;id=urn:contentItem:5F8T-N3V1-JTGH-B153-00000-00&amp;context=" TargetMode="External" /><Relationship Id="rId396" Type="http://schemas.openxmlformats.org/officeDocument/2006/relationships/hyperlink" Target="https://advance.lexis.com/api/document?collection=cases-ca&amp;id=urn:contentItem:5F8T-N3T1-JFKM-655K-00000-00&amp;context=" TargetMode="External" /><Relationship Id="rId397" Type="http://schemas.openxmlformats.org/officeDocument/2006/relationships/hyperlink" Target="https://advance.lexis.com/api/document?collection=cases-ca&amp;id=urn:contentItem:5F8T-N3V1-JTGH-B18F-00000-00&amp;context=" TargetMode="External" /><Relationship Id="rId398" Type="http://schemas.openxmlformats.org/officeDocument/2006/relationships/hyperlink" Target="https://advance.lexis.com/api/document?collection=cases-ca&amp;id=urn:contentItem:5F7T-S7K1-JWXF-2115-00000-00&amp;context=" TargetMode="External" /><Relationship Id="rId399" Type="http://schemas.openxmlformats.org/officeDocument/2006/relationships/hyperlink" Target="https://advance.lexis.com/api/document?collection=cases-ca&amp;id=urn:contentItem:5F7T-S7M1-DYMS-62FG-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8T-N3V1-JTGH-B10G-00000-00&amp;context=" TargetMode="External" /><Relationship Id="rId400" Type="http://schemas.openxmlformats.org/officeDocument/2006/relationships/hyperlink" Target="https://advance.lexis.com/api/document?collection=cases-ca&amp;id=urn:contentItem:5F7T-S7B1-FH4C-X381-00000-00&amp;context=" TargetMode="External" /><Relationship Id="rId401" Type="http://schemas.openxmlformats.org/officeDocument/2006/relationships/hyperlink" Target="https://advance.lexis.com/api/document?collection=cases-ca&amp;id=urn:contentItem:5F7T-S7M1-F4W2-626S-00000-00&amp;context=" TargetMode="External" /><Relationship Id="rId402" Type="http://schemas.openxmlformats.org/officeDocument/2006/relationships/hyperlink" Target="https://advance.lexis.com/api/document?collection=cases-ca&amp;id=urn:contentItem:5F7T-S7N1-JW09-M12P-00000-00&amp;context=" TargetMode="External" /><Relationship Id="rId403" Type="http://schemas.openxmlformats.org/officeDocument/2006/relationships/hyperlink" Target="https://advance.lexis.com/api/document?collection=cases-ca&amp;id=urn:contentItem:5F7T-S7K1-F1H1-22C1-00000-00&amp;context=" TargetMode="External" /><Relationship Id="rId404" Type="http://schemas.openxmlformats.org/officeDocument/2006/relationships/hyperlink" Target="https://advance.lexis.com/api/document?collection=cases-ca&amp;id=urn:contentItem:5F7T-S7C1-F7VM-S3T7-00000-00&amp;context=" TargetMode="External" /><Relationship Id="rId405" Type="http://schemas.openxmlformats.org/officeDocument/2006/relationships/hyperlink" Target="https://advance.lexis.com/api/document?collection=cases-ca&amp;id=urn:contentItem:5F7T-S7D1-JN6B-S13K-00000-00&amp;context=" TargetMode="External" /><Relationship Id="rId406" Type="http://schemas.openxmlformats.org/officeDocument/2006/relationships/hyperlink" Target="https://advance.lexis.com/api/document?collection=cases-ca&amp;id=urn:contentItem:5K0Y-G9P1-DYMS-61NV-00000-00&amp;context=" TargetMode="External" /><Relationship Id="rId407" Type="http://schemas.openxmlformats.org/officeDocument/2006/relationships/hyperlink" Target="https://advance.lexis.com/api/document?collection=cases-ca&amp;id=urn:contentItem:5HX7-VJ11-FCSB-S3Y4-00000-00&amp;context=" TargetMode="External" /><Relationship Id="rId408" Type="http://schemas.openxmlformats.org/officeDocument/2006/relationships/hyperlink" Target="https://advance.lexis.com/api/document?collection=cases-ca&amp;id=urn:contentItem:5F7T-S7D1-DY89-M463-00000-00&amp;context=" TargetMode="External" /><Relationship Id="rId409" Type="http://schemas.openxmlformats.org/officeDocument/2006/relationships/hyperlink" Target="https://advance.lexis.com/api/document?collection=cases-ca&amp;id=urn:contentItem:5F8T-N3V1-JTGH-B0YB-00000-00&amp;context=" TargetMode="External" /><Relationship Id="rId41" Type="http://schemas.openxmlformats.org/officeDocument/2006/relationships/hyperlink" Target="https://advance.lexis.com/api/document?collection=cases-ca&amp;id=urn:contentItem:5F8T-N3S1-JT99-250W-00000-00&amp;context=" TargetMode="External" /><Relationship Id="rId410" Type="http://schemas.openxmlformats.org/officeDocument/2006/relationships/hyperlink" Target="https://advance.lexis.com/api/document?collection=cases-ca&amp;id=urn:contentItem:5F7T-S7H1-F016-S3X8-00000-00&amp;context=" TargetMode="External" /><Relationship Id="rId411" Type="http://schemas.openxmlformats.org/officeDocument/2006/relationships/hyperlink" Target="https://advance.lexis.com/api/document?collection=cases-ca&amp;id=urn:contentItem:5F7T-S7M1-JCRC-B1TW-00000-00&amp;context=" TargetMode="External" /><Relationship Id="rId412" Type="http://schemas.openxmlformats.org/officeDocument/2006/relationships/hyperlink" Target="https://advance.lexis.com/api/document?collection=cases-ca&amp;id=urn:contentItem:5NDB-4M41-F956-S0BN-00000-00&amp;context=" TargetMode="External" /><Relationship Id="rId413" Type="http://schemas.openxmlformats.org/officeDocument/2006/relationships/hyperlink" Target="https://advance.lexis.com/api/document?collection=cases-ca&amp;id=urn:contentItem:5F7T-S701-JBT7-X23F-00000-00&amp;context=" TargetMode="External" /><Relationship Id="rId414" Type="http://schemas.openxmlformats.org/officeDocument/2006/relationships/hyperlink" Target="https://advance.lexis.com/api/document?collection=cases-ca&amp;id=urn:contentItem:5F7T-S7J1-JNS1-M2G2-00000-00&amp;context=" TargetMode="External" /><Relationship Id="rId415" Type="http://schemas.openxmlformats.org/officeDocument/2006/relationships/hyperlink" Target="https://advance.lexis.com/api/document?collection=cases-ca&amp;id=urn:contentItem:5F7T-S771-JN14-G2PR-00000-00&amp;context=" TargetMode="External" /><Relationship Id="rId416" Type="http://schemas.openxmlformats.org/officeDocument/2006/relationships/hyperlink" Target="https://advance.lexis.com/api/document?collection=cases-ca&amp;id=urn:contentItem:5F7T-S7K1-DY33-B1K8-00000-00&amp;context=" TargetMode="External" /><Relationship Id="rId417" Type="http://schemas.openxmlformats.org/officeDocument/2006/relationships/hyperlink" Target="https://advance.lexis.com/api/document?collection=cases-ca&amp;id=urn:contentItem:5F7T-S7P1-JSJC-X1VR-00000-00&amp;context=" TargetMode="External" /><Relationship Id="rId418" Type="http://schemas.openxmlformats.org/officeDocument/2006/relationships/hyperlink" Target="https://advance.lexis.com/api/document?collection=cases-ca&amp;id=urn:contentItem:5F7T-S7B1-F7ND-G50F-00000-00&amp;context=" TargetMode="External" /><Relationship Id="rId419" Type="http://schemas.openxmlformats.org/officeDocument/2006/relationships/hyperlink" Target="https://advance.lexis.com/api/document?collection=cases-ca&amp;id=urn:contentItem:5F7T-S731-F1WF-M2HD-00000-00&amp;context=" TargetMode="External" /><Relationship Id="rId42" Type="http://schemas.openxmlformats.org/officeDocument/2006/relationships/header" Target="header7.xml" /><Relationship Id="rId420" Type="http://schemas.openxmlformats.org/officeDocument/2006/relationships/hyperlink" Target="https://advance.lexis.com/api/document?collection=cases-ca&amp;id=urn:contentItem:5F7T-S731-DY33-B0YN-00000-00&amp;context=" TargetMode="External" /><Relationship Id="rId421" Type="http://schemas.openxmlformats.org/officeDocument/2006/relationships/hyperlink" Target="https://advance.lexis.com/api/document?collection=cases-ca&amp;id=urn:contentItem:5F7T-S7B1-FH4C-X3BS-00000-00&amp;context=" TargetMode="External" /><Relationship Id="rId422" Type="http://schemas.openxmlformats.org/officeDocument/2006/relationships/hyperlink" Target="https://advance.lexis.com/api/document?collection=cases-ca&amp;id=urn:contentItem:5F7T-S7N1-F06F-24BC-00000-00&amp;context=" TargetMode="External" /><Relationship Id="rId423" Type="http://schemas.openxmlformats.org/officeDocument/2006/relationships/hyperlink" Target="https://advance.lexis.com/api/document?collection=cases-ca&amp;id=urn:contentItem:5NDS-2931-F4GK-M0BP-00000-00&amp;context=" TargetMode="External" /><Relationship Id="rId424" Type="http://schemas.openxmlformats.org/officeDocument/2006/relationships/hyperlink" Target="https://advance.lexis.com/api/document?collection=cases-ca&amp;id=urn:contentItem:5F7T-S7F1-JX3N-B19D-00000-00&amp;context=" TargetMode="External" /><Relationship Id="rId425" Type="http://schemas.openxmlformats.org/officeDocument/2006/relationships/hyperlink" Target="https://advance.lexis.com/api/document?collection=cases-ca&amp;id=urn:contentItem:5F7T-S7M1-JCRC-B1SF-00000-00&amp;context=" TargetMode="External" /><Relationship Id="rId426" Type="http://schemas.openxmlformats.org/officeDocument/2006/relationships/hyperlink" Target="https://advance.lexis.com/api/document?collection=cases-ca&amp;id=urn:contentItem:5RTY-1871-JCBX-S0TB-00000-00&amp;context=" TargetMode="External" /><Relationship Id="rId427" Type="http://schemas.openxmlformats.org/officeDocument/2006/relationships/hyperlink" Target="https://advance.lexis.com/api/document?collection=cases-ca&amp;id=urn:contentItem:5F7T-S7M1-JNCK-22MK-00000-00&amp;context=" TargetMode="External" /><Relationship Id="rId428" Type="http://schemas.openxmlformats.org/officeDocument/2006/relationships/header" Target="header64.xml" /><Relationship Id="rId429" Type="http://schemas.openxmlformats.org/officeDocument/2006/relationships/header" Target="header65.xml" /><Relationship Id="rId43" Type="http://schemas.openxmlformats.org/officeDocument/2006/relationships/header" Target="header8.xml" /><Relationship Id="rId430" Type="http://schemas.openxmlformats.org/officeDocument/2006/relationships/footer" Target="footer64.xml" /><Relationship Id="rId431" Type="http://schemas.openxmlformats.org/officeDocument/2006/relationships/footer" Target="footer65.xml" /><Relationship Id="rId432" Type="http://schemas.openxmlformats.org/officeDocument/2006/relationships/header" Target="header66.xml" /><Relationship Id="rId433" Type="http://schemas.openxmlformats.org/officeDocument/2006/relationships/footer" Target="footer66.xml" /><Relationship Id="rId434" Type="http://schemas.openxmlformats.org/officeDocument/2006/relationships/hyperlink" Target="https://advance.lexis.com/api/document?collection=cases-ca&amp;id=urn:contentItem:5VK4-SHJ1-FH4C-X3Y4-00000-00&amp;context=" TargetMode="External" /><Relationship Id="rId435" Type="http://schemas.openxmlformats.org/officeDocument/2006/relationships/hyperlink" Target="https://advance.lexis.com/api/document?collection=cases-ca&amp;id=urn:contentItem:5T9R-46S1-JGHR-M53J-00000-00&amp;context=" TargetMode="External" /><Relationship Id="rId436" Type="http://schemas.openxmlformats.org/officeDocument/2006/relationships/hyperlink" Target="https://advance.lexis.com/api/document?collection=cases-ca&amp;id=urn:contentItem:5F7T-S7M1-JFSV-G3B9-00000-00&amp;context=" TargetMode="External" /><Relationship Id="rId437" Type="http://schemas.openxmlformats.org/officeDocument/2006/relationships/hyperlink" Target="https://advance.lexis.com/api/document?collection=cases-ca&amp;id=urn:contentItem:5F7T-S6V1-JFKM-6133-00000-00&amp;context=" TargetMode="External" /><Relationship Id="rId438" Type="http://schemas.openxmlformats.org/officeDocument/2006/relationships/hyperlink" Target="https://advance.lexis.com/api/document?collection=cases-ca&amp;id=urn:contentItem:5F7T-S7K1-F528-G2XC-00000-00&amp;context=" TargetMode="External" /><Relationship Id="rId439" Type="http://schemas.openxmlformats.org/officeDocument/2006/relationships/hyperlink" Target="https://advance.lexis.com/api/document?collection=cases-ca&amp;id=urn:contentItem:5F7T-S7M1-F4W2-626V-00000-00&amp;context=" TargetMode="External" /><Relationship Id="rId44" Type="http://schemas.openxmlformats.org/officeDocument/2006/relationships/footer" Target="footer7.xml" /><Relationship Id="rId440" Type="http://schemas.openxmlformats.org/officeDocument/2006/relationships/hyperlink" Target="https://advance.lexis.com/api/document?collection=cases-ca&amp;id=urn:contentItem:5F7T-S7J1-JYYX-625B-00000-00&amp;context=" TargetMode="External" /><Relationship Id="rId441" Type="http://schemas.openxmlformats.org/officeDocument/2006/relationships/hyperlink" Target="https://advance.lexis.com/api/document?collection=cases-ca&amp;id=urn:contentItem:5F7T-S7F1-FBN1-21Y2-00000-00&amp;context=" TargetMode="External" /><Relationship Id="rId442" Type="http://schemas.openxmlformats.org/officeDocument/2006/relationships/hyperlink" Target="https://advance.lexis.com/api/document?collection=cases-ca&amp;id=urn:contentItem:5H1X-X671-JC0G-630R-00000-00&amp;context=" TargetMode="External" /><Relationship Id="rId443" Type="http://schemas.openxmlformats.org/officeDocument/2006/relationships/hyperlink" Target="https://advance.lexis.com/api/document?collection=cases-ca&amp;id=urn:contentItem:5NSB-PR71-K054-G3D4-00000-00&amp;context=" TargetMode="External" /><Relationship Id="rId444" Type="http://schemas.openxmlformats.org/officeDocument/2006/relationships/hyperlink" Target="https://advance.lexis.com/api/document?collection=cases-ca&amp;id=urn:contentItem:5R02-7JM1-F7G6-64V6-00000-00&amp;context=" TargetMode="External" /><Relationship Id="rId445" Type="http://schemas.openxmlformats.org/officeDocument/2006/relationships/hyperlink" Target="https://advance.lexis.com/api/document?collection=cases-ca&amp;id=urn:contentItem:5F7T-S7D1-F7ND-G0MH-00000-00&amp;context=" TargetMode="External" /><Relationship Id="rId446" Type="http://schemas.openxmlformats.org/officeDocument/2006/relationships/hyperlink" Target="https://advance.lexis.com/api/document?collection=cases-ca&amp;id=urn:contentItem:5R5T-G7N1-FGCG-S3G9-00000-00&amp;context=" TargetMode="External" /><Relationship Id="rId447" Type="http://schemas.openxmlformats.org/officeDocument/2006/relationships/hyperlink" Target="https://advance.lexis.com/api/document?collection=cases-ca&amp;id=urn:contentItem:5RK4-9231-JBM1-M38C-00000-00&amp;context=" TargetMode="External" /><Relationship Id="rId448" Type="http://schemas.openxmlformats.org/officeDocument/2006/relationships/hyperlink" Target="https://advance.lexis.com/api/document?collection=cases-ca&amp;id=urn:contentItem:5F7T-S771-JSJC-X05N-00000-00&amp;context=" TargetMode="External" /><Relationship Id="rId449" Type="http://schemas.openxmlformats.org/officeDocument/2006/relationships/hyperlink" Target="https://advance.lexis.com/api/document?collection=cases-ca&amp;id=urn:contentItem:5F7T-S7H1-JCRC-B110-00000-00&amp;context=" TargetMode="External" /><Relationship Id="rId45" Type="http://schemas.openxmlformats.org/officeDocument/2006/relationships/footer" Target="footer8.xml" /><Relationship Id="rId450" Type="http://schemas.openxmlformats.org/officeDocument/2006/relationships/hyperlink" Target="https://advance.lexis.com/api/document?collection=cases-ca&amp;id=urn:contentItem:5F7T-S751-JP4G-612P-00000-00&amp;context=" TargetMode="External" /><Relationship Id="rId451" Type="http://schemas.openxmlformats.org/officeDocument/2006/relationships/hyperlink" Target="https://advance.lexis.com/api/document?collection=cases-ca&amp;id=urn:contentItem:5F7T-S771-JSJC-X038-00000-00&amp;context=" TargetMode="External" /><Relationship Id="rId452" Type="http://schemas.openxmlformats.org/officeDocument/2006/relationships/hyperlink" Target="https://advance.lexis.com/api/document?collection=cases-ca&amp;id=urn:contentItem:5F7T-S791-JCJ5-251B-00000-00&amp;context=" TargetMode="External" /><Relationship Id="rId453" Type="http://schemas.openxmlformats.org/officeDocument/2006/relationships/hyperlink" Target="https://advance.lexis.com/api/document?collection=cases-ca&amp;id=urn:contentItem:5F7T-S7N1-JW09-M126-00000-00&amp;context=" TargetMode="External" /><Relationship Id="rId454" Type="http://schemas.openxmlformats.org/officeDocument/2006/relationships/hyperlink" Target="https://advance.lexis.com/api/document?collection=cases-ca&amp;id=urn:contentItem:5F7T-S7M1-JPP5-22TH-00000-00&amp;context=" TargetMode="External" /><Relationship Id="rId455" Type="http://schemas.openxmlformats.org/officeDocument/2006/relationships/hyperlink" Target="https://advance.lexis.com/api/document?collection=cases-ca&amp;id=urn:contentItem:5F7T-S7M1-JCRC-B1DM-00000-00&amp;context=" TargetMode="External" /><Relationship Id="rId456" Type="http://schemas.openxmlformats.org/officeDocument/2006/relationships/hyperlink" Target="https://advance.lexis.com/api/document?collection=cases-ca&amp;id=urn:contentItem:5GCC-XVC1-JSRM-60G5-00000-00&amp;context=" TargetMode="External" /><Relationship Id="rId457" Type="http://schemas.openxmlformats.org/officeDocument/2006/relationships/hyperlink" Target="https://advance.lexis.com/api/document?collection=cases-ca&amp;id=urn:contentItem:5G6C-VP51-F7VM-S0N2-00000-00&amp;context=" TargetMode="External" /><Relationship Id="rId458" Type="http://schemas.openxmlformats.org/officeDocument/2006/relationships/hyperlink" Target="https://advance.lexis.com/api/document?collection=cases-ca&amp;id=urn:contentItem:5MJ7-NBJ1-F1WF-M27F-00000-00&amp;context=" TargetMode="External" /><Relationship Id="rId459" Type="http://schemas.openxmlformats.org/officeDocument/2006/relationships/hyperlink" Target="https://advance.lexis.com/api/document?collection=cases-ca&amp;id=urn:contentItem:5F7T-S7N1-JGHR-M38Y-00000-00&amp;context=" TargetMode="External" /><Relationship Id="rId46" Type="http://schemas.openxmlformats.org/officeDocument/2006/relationships/header" Target="header9.xml" /><Relationship Id="rId460" Type="http://schemas.openxmlformats.org/officeDocument/2006/relationships/hyperlink" Target="https://advance.lexis.com/api/document?collection=cases-ca&amp;id=urn:contentItem:5N5Y-0C91-JF1Y-B3TR-00000-00&amp;context=" TargetMode="External" /><Relationship Id="rId461" Type="http://schemas.openxmlformats.org/officeDocument/2006/relationships/hyperlink" Target="https://advance.lexis.com/api/document?collection=cases-ca&amp;id=urn:contentItem:5GCC-XVB1-JSXV-G075-00000-00&amp;context=" TargetMode="External" /><Relationship Id="rId462" Type="http://schemas.openxmlformats.org/officeDocument/2006/relationships/hyperlink" Target="https://advance.lexis.com/api/document?collection=cases-ca&amp;id=urn:contentItem:5GCC-XVC1-JSRM-60NP-00000-00&amp;context=" TargetMode="External" /><Relationship Id="rId463" Type="http://schemas.openxmlformats.org/officeDocument/2006/relationships/header" Target="header67.xml" /><Relationship Id="rId464" Type="http://schemas.openxmlformats.org/officeDocument/2006/relationships/header" Target="header68.xml" /><Relationship Id="rId465" Type="http://schemas.openxmlformats.org/officeDocument/2006/relationships/footer" Target="footer67.xml" /><Relationship Id="rId466" Type="http://schemas.openxmlformats.org/officeDocument/2006/relationships/footer" Target="footer68.xml" /><Relationship Id="rId467" Type="http://schemas.openxmlformats.org/officeDocument/2006/relationships/header" Target="header69.xml" /><Relationship Id="rId468" Type="http://schemas.openxmlformats.org/officeDocument/2006/relationships/footer" Target="footer69.xml" /><Relationship Id="rId469" Type="http://schemas.openxmlformats.org/officeDocument/2006/relationships/hyperlink" Target="https://advance.lexis.com/api/document?collection=cases-ca&amp;id=urn:contentItem:5F7T-S7D1-JXG3-X0XY-00000-00&amp;context=" TargetMode="External" /><Relationship Id="rId47" Type="http://schemas.openxmlformats.org/officeDocument/2006/relationships/footer" Target="footer9.xml" /><Relationship Id="rId470" Type="http://schemas.openxmlformats.org/officeDocument/2006/relationships/hyperlink" Target="https://advance.lexis.com/api/document?collection=legislation-ca&amp;id=urn:contentItem:5F41-1FG1-F4NT-X0GP-00000-00&amp;context=" TargetMode="External" /><Relationship Id="rId471" Type="http://schemas.openxmlformats.org/officeDocument/2006/relationships/hyperlink" Target="https://advance.lexis.com/api/document?collection=cases-ca&amp;id=urn:contentItem:5F7T-S6W1-F8SS-62X3-00000-00&amp;context=" TargetMode="External" /><Relationship Id="rId472" Type="http://schemas.openxmlformats.org/officeDocument/2006/relationships/hyperlink" Target="https://advance.lexis.com/api/document?collection=cases-ca&amp;id=urn:contentItem:5F7T-S6X1-F7ND-G3FG-00000-00&amp;context=" TargetMode="External" /><Relationship Id="rId473" Type="http://schemas.openxmlformats.org/officeDocument/2006/relationships/header" Target="header70.xml" /><Relationship Id="rId474" Type="http://schemas.openxmlformats.org/officeDocument/2006/relationships/header" Target="header71.xml" /><Relationship Id="rId475" Type="http://schemas.openxmlformats.org/officeDocument/2006/relationships/footer" Target="footer70.xml" /><Relationship Id="rId476" Type="http://schemas.openxmlformats.org/officeDocument/2006/relationships/footer" Target="footer71.xml" /><Relationship Id="rId477" Type="http://schemas.openxmlformats.org/officeDocument/2006/relationships/header" Target="header72.xml" /><Relationship Id="rId478" Type="http://schemas.openxmlformats.org/officeDocument/2006/relationships/footer" Target="footer72.xml" /><Relationship Id="rId479" Type="http://schemas.openxmlformats.org/officeDocument/2006/relationships/hyperlink" Target="https://advance.lexis.com/api/document?collection=cases-ca&amp;id=urn:contentItem:5GPJ-8SK1-F30T-B065-00000-00&amp;context=" TargetMode="External" /><Relationship Id="rId48" Type="http://schemas.openxmlformats.org/officeDocument/2006/relationships/hyperlink" Target="https://advance.lexis.com/api/document?collection=cases-ca&amp;id=urn:contentItem:5F7T-S7H1-F016-S41F-00000-00&amp;context=" TargetMode="External" /><Relationship Id="rId480" Type="http://schemas.openxmlformats.org/officeDocument/2006/relationships/hyperlink" Target="https://advance.lexis.com/api/document?collection=cases-ca&amp;id=urn:contentItem:5NFD-JSY1-F016-S2B5-00000-00&amp;context=" TargetMode="External" /><Relationship Id="rId481" Type="http://schemas.openxmlformats.org/officeDocument/2006/relationships/hyperlink" Target="https://advance.lexis.com/api/document?collection=legislation-ca&amp;id=urn:contentItem:5W00-SYR1-JX8W-M4S2-00000-00&amp;context=" TargetMode="External" /><Relationship Id="rId482" Type="http://schemas.openxmlformats.org/officeDocument/2006/relationships/hyperlink" Target="https://advance.lexis.com/api/document?collection=legislation-ca&amp;id=urn:contentItem:5VYK-S241-F8KH-X4N0-00000-00&amp;context=" TargetMode="External" /><Relationship Id="rId483" Type="http://schemas.openxmlformats.org/officeDocument/2006/relationships/hyperlink" Target="https://advance.lexis.com/api/document?collection=legislation-ca&amp;id=urn:contentItem:5F3B-B9C1-FJDY-X0G4-00000-00&amp;context=" TargetMode="External" /><Relationship Id="rId484" Type="http://schemas.openxmlformats.org/officeDocument/2006/relationships/hyperlink" Target="https://advance.lexis.com/api/document?collection=cases-ca&amp;id=urn:contentItem:5F7H-93M1-JXNB-60J0-00000-00&amp;context=" TargetMode="External" /><Relationship Id="rId485" Type="http://schemas.openxmlformats.org/officeDocument/2006/relationships/hyperlink" Target="https://advance.lexis.com/api/document?collection=cases-ca&amp;id=urn:contentItem:5F8W-M4C1-FCCX-60NX-00000-00&amp;context=" TargetMode="External" /><Relationship Id="rId486" Type="http://schemas.openxmlformats.org/officeDocument/2006/relationships/hyperlink" Target="https://advance.lexis.com/api/document?collection=cases-ca&amp;id=urn:contentItem:5F7T-S7K1-JKHB-62PP-00000-00&amp;context=" TargetMode="External" /><Relationship Id="rId487" Type="http://schemas.openxmlformats.org/officeDocument/2006/relationships/hyperlink" Target="https://advance.lexis.com/api/document?collection=cases-ca&amp;id=urn:contentItem:5F8T-N3T1-JJSF-23C5-00000-00&amp;context=" TargetMode="External" /><Relationship Id="rId488" Type="http://schemas.openxmlformats.org/officeDocument/2006/relationships/hyperlink" Target="https://advance.lexis.com/api/document?collection=cases-ca&amp;id=urn:contentItem:5F8T-N3V1-JTGH-B14Y-00000-00&amp;context=" TargetMode="External" /><Relationship Id="rId489" Type="http://schemas.openxmlformats.org/officeDocument/2006/relationships/hyperlink" Target="https://advance.lexis.com/api/document?collection=cases-ca&amp;id=urn:contentItem:5F8T-N3V1-FC1F-M43T-00000-00&amp;context=" TargetMode="External" /><Relationship Id="rId49" Type="http://schemas.openxmlformats.org/officeDocument/2006/relationships/hyperlink" Target="https://advance.lexis.com/api/document?collection=legislation-ca&amp;id=urn:contentItem:5F41-1FJ1-F5DR-206Y-00000-00&amp;context=" TargetMode="External" /><Relationship Id="rId490" Type="http://schemas.openxmlformats.org/officeDocument/2006/relationships/hyperlink" Target="https://advance.lexis.com/api/document?collection=cases-ca&amp;id=urn:contentItem:5F8T-N3V1-FC1F-M4FH-00000-00&amp;context=" TargetMode="External" /><Relationship Id="rId491" Type="http://schemas.openxmlformats.org/officeDocument/2006/relationships/hyperlink" Target="https://advance.lexis.com/api/document?collection=cases-ca&amp;id=urn:contentItem:5F7T-V411-JJ1H-X446-00000-00&amp;context=" TargetMode="External" /><Relationship Id="rId492" Type="http://schemas.openxmlformats.org/officeDocument/2006/relationships/hyperlink" Target="https://advance.lexis.com/api/document?collection=cases-ca&amp;id=urn:contentItem:5F8W-M451-JGPY-X1S5-00000-00&amp;context=" TargetMode="External" /><Relationship Id="rId493" Type="http://schemas.openxmlformats.org/officeDocument/2006/relationships/hyperlink" Target="https://advance.lexis.com/api/document?collection=cases-ca&amp;id=urn:contentItem:5F7T-V411-JJ1H-X4F3-00000-00&amp;context=" TargetMode="External" /><Relationship Id="rId494" Type="http://schemas.openxmlformats.org/officeDocument/2006/relationships/hyperlink" Target="https://advance.lexis.com/api/document?collection=cases-ca&amp;id=urn:contentItem:5F82-DK51-JPP5-255T-00000-00&amp;context=" TargetMode="External" /><Relationship Id="rId495" Type="http://schemas.openxmlformats.org/officeDocument/2006/relationships/hyperlink" Target="https://advance.lexis.com/api/document?collection=cases-ca&amp;id=urn:contentItem:5F7T-V3Y1-JBDT-B47J-00000-00&amp;context=" TargetMode="External" /><Relationship Id="rId496" Type="http://schemas.openxmlformats.org/officeDocument/2006/relationships/hyperlink" Target="https://advance.lexis.com/api/document?collection=cases-ca&amp;id=urn:contentItem:5F82-DK41-JBDT-B550-00000-00&amp;context=" TargetMode="External" /><Relationship Id="rId497" Type="http://schemas.openxmlformats.org/officeDocument/2006/relationships/hyperlink" Target="https://advance.lexis.com/api/document?collection=cases-ca&amp;id=urn:contentItem:5F8W-M4D1-FK0M-S0BS-00000-00&amp;context=" TargetMode="External" /><Relationship Id="rId498" Type="http://schemas.openxmlformats.org/officeDocument/2006/relationships/hyperlink" Target="https://advance.lexis.com/api/document?collection=cases-ca&amp;id=urn:contentItem:5F82-DK51-JPP5-2558-00000-00&amp;context=" TargetMode="External" /><Relationship Id="rId499" Type="http://schemas.openxmlformats.org/officeDocument/2006/relationships/hyperlink" Target="https://advance.lexis.com/api/document?collection=cases-ca&amp;id=urn:contentItem:5F8T-N3V1-JFKM-60B1-00000-00&amp;context=" TargetMode="External" /><Relationship Id="rId5" Type="http://schemas.openxmlformats.org/officeDocument/2006/relationships/header" Target="header2.xml" /><Relationship Id="rId50" Type="http://schemas.openxmlformats.org/officeDocument/2006/relationships/header" Target="header10.xml" /><Relationship Id="rId500" Type="http://schemas.openxmlformats.org/officeDocument/2006/relationships/hyperlink" Target="https://advance.lexis.com/api/document?collection=cases-ca&amp;id=urn:contentItem:5F82-DK11-K054-G4PJ-00000-00&amp;context=" TargetMode="External" /><Relationship Id="rId501" Type="http://schemas.openxmlformats.org/officeDocument/2006/relationships/hyperlink" Target="https://advance.lexis.com/api/document?collection=cases-ca&amp;id=urn:contentItem:5F8W-M411-JNCK-22CK-00000-00&amp;context=" TargetMode="External" /><Relationship Id="rId502" Type="http://schemas.openxmlformats.org/officeDocument/2006/relationships/hyperlink" Target="https://advance.lexis.com/api/document?collection=cases-ca&amp;id=urn:contentItem:5F7T-V411-JSXV-G2SP-00000-00&amp;context=" TargetMode="External" /><Relationship Id="rId503" Type="http://schemas.openxmlformats.org/officeDocument/2006/relationships/hyperlink" Target="https://advance.lexis.com/api/document?collection=cases-ca&amp;id=urn:contentItem:5F8W-M421-JSJC-X05N-00000-00&amp;context=" TargetMode="External" /><Relationship Id="rId504" Type="http://schemas.openxmlformats.org/officeDocument/2006/relationships/hyperlink" Target="https://advance.lexis.com/api/document?collection=cases-ca&amp;id=urn:contentItem:5F82-DK11-FCCX-62VK-00000-00&amp;context=" TargetMode="External" /><Relationship Id="rId505" Type="http://schemas.openxmlformats.org/officeDocument/2006/relationships/hyperlink" Target="https://advance.lexis.com/api/document?collection=cases-ca&amp;id=urn:contentItem:5F7T-V411-JJ1H-X4F1-00000-00&amp;context=" TargetMode="External" /><Relationship Id="rId506" Type="http://schemas.openxmlformats.org/officeDocument/2006/relationships/hyperlink" Target="https://advance.lexis.com/api/document?collection=cases-ca&amp;id=urn:contentItem:5F7T-V411-K054-G2Y6-00000-00&amp;context=" TargetMode="External" /><Relationship Id="rId507" Type="http://schemas.openxmlformats.org/officeDocument/2006/relationships/hyperlink" Target="https://advance.lexis.com/api/document?collection=cases-ca&amp;id=urn:contentItem:5F82-DK41-FBV7-B0XT-00000-00&amp;context=" TargetMode="External" /><Relationship Id="rId508" Type="http://schemas.openxmlformats.org/officeDocument/2006/relationships/hyperlink" Target="https://advance.lexis.com/api/document?collection=cases-ca&amp;id=urn:contentItem:5F8W-M411-JS5Y-B3KT-00000-00&amp;context=" TargetMode="External" /><Relationship Id="rId509" Type="http://schemas.openxmlformats.org/officeDocument/2006/relationships/hyperlink" Target="https://advance.lexis.com/api/document?collection=cases-ca&amp;id=urn:contentItem:5F82-DK51-JGHR-M3PF-00000-00&amp;context=" TargetMode="External" /><Relationship Id="rId51" Type="http://schemas.openxmlformats.org/officeDocument/2006/relationships/header" Target="header11.xml" /><Relationship Id="rId510" Type="http://schemas.openxmlformats.org/officeDocument/2006/relationships/hyperlink" Target="https://advance.lexis.com/api/document?collection=cases-ca&amp;id=urn:contentItem:5F82-DK61-JBDT-B0G0-00000-00&amp;context=" TargetMode="External" /><Relationship Id="rId511" Type="http://schemas.openxmlformats.org/officeDocument/2006/relationships/hyperlink" Target="https://advance.lexis.com/api/document?collection=cases-ca&amp;id=urn:contentItem:5F82-DK61-JPP5-2057-00000-00&amp;context=" TargetMode="External" /><Relationship Id="rId512" Type="http://schemas.openxmlformats.org/officeDocument/2006/relationships/hyperlink" Target="https://advance.lexis.com/api/document?collection=cases-ca&amp;id=urn:contentItem:5F82-DK61-JT99-23H2-00000-00&amp;context=" TargetMode="External" /><Relationship Id="rId513" Type="http://schemas.openxmlformats.org/officeDocument/2006/relationships/hyperlink" Target="https://advance.lexis.com/api/document?collection=cases-ca&amp;id=urn:contentItem:5F82-DK61-JN6B-S4F3-00000-00&amp;context=" TargetMode="External" /><Relationship Id="rId514" Type="http://schemas.openxmlformats.org/officeDocument/2006/relationships/hyperlink" Target="https://advance.lexis.com/api/document?collection=cases-ca&amp;id=urn:contentItem:5F82-DK61-F956-S50N-00000-00&amp;context=" TargetMode="External" /><Relationship Id="rId515" Type="http://schemas.openxmlformats.org/officeDocument/2006/relationships/hyperlink" Target="https://advance.lexis.com/api/document?collection=cases-ca&amp;id=urn:contentItem:5F7F-5RG1-JC5P-G08F-00000-00&amp;context=" TargetMode="External" /><Relationship Id="rId516" Type="http://schemas.openxmlformats.org/officeDocument/2006/relationships/hyperlink" Target="https://advance.lexis.com/api/document?collection=cases-ca&amp;id=urn:contentItem:5F7T-V401-JFKM-6356-00000-00&amp;context=" TargetMode="External" /><Relationship Id="rId517" Type="http://schemas.openxmlformats.org/officeDocument/2006/relationships/hyperlink" Target="https://advance.lexis.com/api/document?collection=cases-ca&amp;id=urn:contentItem:5F82-DK61-JT99-2382-00000-00&amp;context=" TargetMode="External" /><Relationship Id="rId518" Type="http://schemas.openxmlformats.org/officeDocument/2006/relationships/hyperlink" Target="https://advance.lexis.com/api/document?collection=cases-ca&amp;id=urn:contentItem:5F7T-V401-JB2B-S25P-00000-00&amp;context=" TargetMode="External" /><Relationship Id="rId519" Type="http://schemas.openxmlformats.org/officeDocument/2006/relationships/hyperlink" Target="https://advance.lexis.com/api/document?collection=cases-ca&amp;id=urn:contentItem:5F7T-V401-F22N-X0SM-00000-00&amp;context=" TargetMode="External" /><Relationship Id="rId52" Type="http://schemas.openxmlformats.org/officeDocument/2006/relationships/footer" Target="footer10.xml" /><Relationship Id="rId520" Type="http://schemas.openxmlformats.org/officeDocument/2006/relationships/hyperlink" Target="https://advance.lexis.com/api/document?collection=cases-ca&amp;id=urn:contentItem:5F8W-M4F1-FGCG-S4SP-00000-00&amp;context=" TargetMode="External" /><Relationship Id="rId521" Type="http://schemas.openxmlformats.org/officeDocument/2006/relationships/header" Target="header73.xml" /><Relationship Id="rId522" Type="http://schemas.openxmlformats.org/officeDocument/2006/relationships/header" Target="header74.xml" /><Relationship Id="rId523" Type="http://schemas.openxmlformats.org/officeDocument/2006/relationships/footer" Target="footer73.xml" /><Relationship Id="rId524" Type="http://schemas.openxmlformats.org/officeDocument/2006/relationships/footer" Target="footer74.xml" /><Relationship Id="rId525" Type="http://schemas.openxmlformats.org/officeDocument/2006/relationships/header" Target="header75.xml" /><Relationship Id="rId526" Type="http://schemas.openxmlformats.org/officeDocument/2006/relationships/footer" Target="footer75.xml" /><Relationship Id="rId527" Type="http://schemas.openxmlformats.org/officeDocument/2006/relationships/hyperlink" Target="https://advance.lexis.com/api/document?collection=cases-ca&amp;id=urn:contentItem:5K6X-H241-JNS1-M0HT-00000-00&amp;context=" TargetMode="External" /><Relationship Id="rId528" Type="http://schemas.openxmlformats.org/officeDocument/2006/relationships/hyperlink" Target="https://advance.lexis.com/api/document?collection=cases-ca&amp;id=urn:contentItem:5F7T-S7F1-DXWW-23KY-00000-00&amp;context=" TargetMode="External" /><Relationship Id="rId529" Type="http://schemas.openxmlformats.org/officeDocument/2006/relationships/header" Target="header76.xml" /><Relationship Id="rId53" Type="http://schemas.openxmlformats.org/officeDocument/2006/relationships/footer" Target="footer11.xml" /><Relationship Id="rId530" Type="http://schemas.openxmlformats.org/officeDocument/2006/relationships/header" Target="header77.xml" /><Relationship Id="rId531" Type="http://schemas.openxmlformats.org/officeDocument/2006/relationships/footer" Target="footer76.xml" /><Relationship Id="rId532" Type="http://schemas.openxmlformats.org/officeDocument/2006/relationships/footer" Target="footer77.xml" /><Relationship Id="rId533" Type="http://schemas.openxmlformats.org/officeDocument/2006/relationships/header" Target="header78.xml" /><Relationship Id="rId534" Type="http://schemas.openxmlformats.org/officeDocument/2006/relationships/footer" Target="footer78.xml" /><Relationship Id="rId535" Type="http://schemas.openxmlformats.org/officeDocument/2006/relationships/hyperlink" Target="https://advance.lexis.com/api/document?collection=cases-ca&amp;id=urn:contentItem:5GCC-XVB1-JGHR-M4P7-00000-00&amp;context=" TargetMode="External" /><Relationship Id="rId536" Type="http://schemas.openxmlformats.org/officeDocument/2006/relationships/hyperlink" Target="https://advance.lexis.com/api/document?collection=cases-ca&amp;id=urn:contentItem:5K6Y-81N1-JFDC-X1W0-00000-00&amp;context=" TargetMode="External" /><Relationship Id="rId537" Type="http://schemas.openxmlformats.org/officeDocument/2006/relationships/hyperlink" Target="https://advance.lexis.com/api/document?collection=cases-ca&amp;id=urn:contentItem:5F7T-S7P1-JSJC-X191-00000-00&amp;context=" TargetMode="External" /><Relationship Id="rId538" Type="http://schemas.openxmlformats.org/officeDocument/2006/relationships/hyperlink" Target="https://advance.lexis.com/api/document?collection=cases-ca&amp;id=urn:contentItem:5F7T-S7D1-JS5Y-B2JK-00000-00&amp;context=" TargetMode="External" /><Relationship Id="rId539" Type="http://schemas.openxmlformats.org/officeDocument/2006/relationships/hyperlink" Target="https://advance.lexis.com/api/document?collection=cases-ca&amp;id=urn:contentItem:5F7T-S7H1-F016-S3Y1-00000-00&amp;context=" TargetMode="External" /><Relationship Id="rId54" Type="http://schemas.openxmlformats.org/officeDocument/2006/relationships/header" Target="header12.xml" /><Relationship Id="rId540" Type="http://schemas.openxmlformats.org/officeDocument/2006/relationships/hyperlink" Target="https://advance.lexis.com/api/document?collection=cases-ca&amp;id=urn:contentItem:5F7T-S7J1-FGCG-S0JS-00000-00&amp;context=" TargetMode="External" /><Relationship Id="rId541" Type="http://schemas.openxmlformats.org/officeDocument/2006/relationships/hyperlink" Target="https://advance.lexis.com/api/document?collection=cases-ca&amp;id=urn:contentItem:5F7T-S7K1-F1H1-222V-00000-00&amp;context=" TargetMode="External" /><Relationship Id="rId542" Type="http://schemas.openxmlformats.org/officeDocument/2006/relationships/hyperlink" Target="https://advance.lexis.com/api/document?collection=cases-ca&amp;id=urn:contentItem:5F7T-S7M1-F4W2-62B8-00000-00&amp;context=" TargetMode="External" /><Relationship Id="rId543" Type="http://schemas.openxmlformats.org/officeDocument/2006/relationships/hyperlink" Target="https://advance.lexis.com/api/document?collection=cases-ca&amp;id=urn:contentItem:5F7T-S7M1-DYMS-6201-00000-00&amp;context=" TargetMode="External" /><Relationship Id="rId544" Type="http://schemas.openxmlformats.org/officeDocument/2006/relationships/hyperlink" Target="https://advance.lexis.com/api/document?collection=cases-ca&amp;id=urn:contentItem:5F7T-S7K1-F1H1-22DY-00000-00&amp;context=" TargetMode="External" /><Relationship Id="rId545" Type="http://schemas.openxmlformats.org/officeDocument/2006/relationships/hyperlink" Target="https://advance.lexis.com/api/document?collection=cases-ca&amp;id=urn:contentItem:5F7T-S7P1-JSJC-X1MP-00000-00&amp;context=" TargetMode="External" /><Relationship Id="rId546" Type="http://schemas.openxmlformats.org/officeDocument/2006/relationships/hyperlink" Target="https://advance.lexis.com/api/document?collection=cases-ca&amp;id=urn:contentItem:5F7T-S7M1-F4W2-62BF-00000-00&amp;context=" TargetMode="External" /><Relationship Id="rId547" Type="http://schemas.openxmlformats.org/officeDocument/2006/relationships/hyperlink" Target="https://advance.lexis.com/api/document?collection=cases-ca&amp;id=urn:contentItem:5F7T-S7P1-JG02-S46D-00000-00&amp;context=" TargetMode="External" /><Relationship Id="rId548" Type="http://schemas.openxmlformats.org/officeDocument/2006/relationships/header" Target="header79.xml" /><Relationship Id="rId549" Type="http://schemas.openxmlformats.org/officeDocument/2006/relationships/header" Target="header80.xml" /><Relationship Id="rId55" Type="http://schemas.openxmlformats.org/officeDocument/2006/relationships/footer" Target="footer12.xml" /><Relationship Id="rId550" Type="http://schemas.openxmlformats.org/officeDocument/2006/relationships/footer" Target="footer79.xml" /><Relationship Id="rId551" Type="http://schemas.openxmlformats.org/officeDocument/2006/relationships/footer" Target="footer80.xml" /><Relationship Id="rId552" Type="http://schemas.openxmlformats.org/officeDocument/2006/relationships/header" Target="header81.xml" /><Relationship Id="rId553" Type="http://schemas.openxmlformats.org/officeDocument/2006/relationships/footer" Target="footer81.xml" /><Relationship Id="rId554" Type="http://schemas.openxmlformats.org/officeDocument/2006/relationships/hyperlink" Target="https://advance.lexis.com/api/document?collection=cases-ca&amp;id=urn:contentItem:5X9Y-7XW1-FBFS-S2KB-00000-00&amp;context=" TargetMode="External" /><Relationship Id="rId555" Type="http://schemas.openxmlformats.org/officeDocument/2006/relationships/hyperlink" Target="https://advance.lexis.com/api/document?collection=cases-ca&amp;id=urn:contentItem:5VW1-54M1-F8KH-X11S-00000-00&amp;context=" TargetMode="External" /><Relationship Id="rId556" Type="http://schemas.openxmlformats.org/officeDocument/2006/relationships/hyperlink" Target="https://advance.lexis.com/api/document?collection=cases-ca&amp;id=urn:contentItem:5F8T-N3V1-JF75-M3D0-00000-00&amp;context=" TargetMode="External" /><Relationship Id="rId557" Type="http://schemas.openxmlformats.org/officeDocument/2006/relationships/hyperlink" Target="https://advance.lexis.com/api/document?collection=cases-ca&amp;id=urn:contentItem:5G5K-89P1-K054-G33G-00000-00&amp;context=" TargetMode="External" /><Relationship Id="rId558" Type="http://schemas.openxmlformats.org/officeDocument/2006/relationships/hyperlink" Target="https://advance.lexis.com/api/document?collection=cases-ca&amp;id=urn:contentItem:5GC0-VTJ1-F7VM-S203-00000-00&amp;context=" TargetMode="External" /><Relationship Id="rId559" Type="http://schemas.openxmlformats.org/officeDocument/2006/relationships/hyperlink" Target="https://advance.lexis.com/api/document?collection=cases-ca&amp;id=urn:contentItem:5G0F-55K1-DXHD-G486-00000-00&amp;context=" TargetMode="External" /><Relationship Id="rId56" Type="http://schemas.openxmlformats.org/officeDocument/2006/relationships/hyperlink" Target="https://advance.lexis.com/api/document?collection=cases-ca&amp;id=urn:contentItem:5N01-2K51-F7VM-S010-00000-00&amp;context=" TargetMode="External" /><Relationship Id="rId560" Type="http://schemas.openxmlformats.org/officeDocument/2006/relationships/hyperlink" Target="https://advance.lexis.com/api/document?collection=cases-ca&amp;id=urn:contentItem:5JWR-WYC1-JB7K-24JP-00000-00&amp;context=" TargetMode="External" /><Relationship Id="rId561" Type="http://schemas.openxmlformats.org/officeDocument/2006/relationships/hyperlink" Target="https://advance.lexis.com/api/document?collection=cases-ca&amp;id=urn:contentItem:5F7T-S7G1-JNY7-X443-00000-00&amp;context=" TargetMode="External" /><Relationship Id="rId562" Type="http://schemas.openxmlformats.org/officeDocument/2006/relationships/hyperlink" Target="https://advance.lexis.com/api/document?collection=cases-ca&amp;id=urn:contentItem:5F7T-S7H1-F016-S3P3-00000-00&amp;context=" TargetMode="External" /><Relationship Id="rId563" Type="http://schemas.openxmlformats.org/officeDocument/2006/relationships/hyperlink" Target="https://advance.lexis.com/api/document?collection=cases-ca&amp;id=urn:contentItem:5F7T-S781-F7G6-63NT-00000-00&amp;context=" TargetMode="External" /><Relationship Id="rId564" Type="http://schemas.openxmlformats.org/officeDocument/2006/relationships/hyperlink" Target="https://advance.lexis.com/api/document?collection=cases-ca&amp;id=urn:contentItem:5F82-1SF1-JXG3-X2CR-00000-00&amp;context=" TargetMode="External" /><Relationship Id="rId565" Type="http://schemas.openxmlformats.org/officeDocument/2006/relationships/hyperlink" Target="https://advance.lexis.com/api/document?collection=cases-ca&amp;id=urn:contentItem:5TGV-PHG1-JB7K-22KY-00000-00&amp;context=" TargetMode="External" /><Relationship Id="rId566" Type="http://schemas.openxmlformats.org/officeDocument/2006/relationships/hyperlink" Target="https://advance.lexis.com/api/document?collection=cases-ca&amp;id=urn:contentItem:5F7T-S7H1-F4GK-M34T-00000-00&amp;context=" TargetMode="External" /><Relationship Id="rId567" Type="http://schemas.openxmlformats.org/officeDocument/2006/relationships/hyperlink" Target="https://advance.lexis.com/api/document?collection=cases-ca&amp;id=urn:contentItem:5F7T-S771-JJD0-G1F9-00000-00&amp;context=" TargetMode="External" /><Relationship Id="rId568" Type="http://schemas.openxmlformats.org/officeDocument/2006/relationships/hyperlink" Target="https://advance.lexis.com/api/document?collection=cases-ca&amp;id=urn:contentItem:5F7T-S771-JWBS-61D1-00000-00&amp;context=" TargetMode="External" /><Relationship Id="rId569" Type="http://schemas.openxmlformats.org/officeDocument/2006/relationships/hyperlink" Target="https://advance.lexis.com/api/document?collection=cases-ca&amp;id=urn:contentItem:5JN4-S1R1-FGJR-235T-00000-00&amp;context=" TargetMode="External" /><Relationship Id="rId57" Type="http://schemas.openxmlformats.org/officeDocument/2006/relationships/hyperlink" Target="https://advance.lexis.com/api/document?collection=cases-ca&amp;id=urn:contentItem:5F7T-S7M1-JPP5-22J6-00000-00&amp;context=" TargetMode="External" /><Relationship Id="rId570" Type="http://schemas.openxmlformats.org/officeDocument/2006/relationships/hyperlink" Target="https://advance.lexis.com/api/document?collection=cases-ca&amp;id=urn:contentItem:5RHM-83W1-F873-B4BS-00000-00&amp;context=" TargetMode="External" /><Relationship Id="rId571" Type="http://schemas.openxmlformats.org/officeDocument/2006/relationships/hyperlink" Target="https://advance.lexis.com/api/document?collection=cases-ca&amp;id=urn:contentItem:5GJP-VFP1-FJM6-60JP-00000-00&amp;context=" TargetMode="External" /><Relationship Id="rId572" Type="http://schemas.openxmlformats.org/officeDocument/2006/relationships/hyperlink" Target="https://advance.lexis.com/api/document?collection=cases-ca&amp;id=urn:contentItem:5GCC-XVB1-JGHR-M49R-00000-00&amp;context=" TargetMode="External" /><Relationship Id="rId573" Type="http://schemas.openxmlformats.org/officeDocument/2006/relationships/hyperlink" Target="https://advance.lexis.com/api/document?collection=cases-ca&amp;id=urn:contentItem:5F7T-S741-F57G-S1MT-00000-00&amp;context=" TargetMode="External" /><Relationship Id="rId574" Type="http://schemas.openxmlformats.org/officeDocument/2006/relationships/hyperlink" Target="https://advance.lexis.com/api/document?collection=cases-ca&amp;id=urn:contentItem:5F7T-S701-JF75-M4K5-00000-00&amp;context=" TargetMode="External" /><Relationship Id="rId575" Type="http://schemas.openxmlformats.org/officeDocument/2006/relationships/hyperlink" Target="https://advance.lexis.com/api/document?collection=cases-ca&amp;id=urn:contentItem:5F7T-S7J1-DXWW-251W-00000-00&amp;context=" TargetMode="External" /><Relationship Id="rId576" Type="http://schemas.openxmlformats.org/officeDocument/2006/relationships/hyperlink" Target="https://advance.lexis.com/api/document?collection=cases-ca&amp;id=urn:contentItem:5F7T-S7P1-JNJT-B2B3-00000-00&amp;context=" TargetMode="External" /><Relationship Id="rId577" Type="http://schemas.openxmlformats.org/officeDocument/2006/relationships/hyperlink" Target="https://advance.lexis.com/api/document?collection=cases-ca&amp;id=urn:contentItem:5NM4-BM61-F57G-S4PB-00000-00&amp;context=" TargetMode="External" /><Relationship Id="rId578" Type="http://schemas.openxmlformats.org/officeDocument/2006/relationships/hyperlink" Target="https://advance.lexis.com/api/document?collection=cases-ca&amp;id=urn:contentItem:5KT4-DY51-JW5H-X0HM-00000-00&amp;context=" TargetMode="External" /><Relationship Id="rId579" Type="http://schemas.openxmlformats.org/officeDocument/2006/relationships/hyperlink" Target="https://advance.lexis.com/api/document?collection=cases-ca&amp;id=urn:contentItem:5GCC-XVC1-JSRM-60WP-00000-00&amp;context=" TargetMode="External" /><Relationship Id="rId58" Type="http://schemas.openxmlformats.org/officeDocument/2006/relationships/hyperlink" Target="https://advance.lexis.com/api/document?collection=cases-ca&amp;id=urn:contentItem:5F8T-N3V1-FC1F-M490-00000-00&amp;context=" TargetMode="External" /><Relationship Id="rId580" Type="http://schemas.openxmlformats.org/officeDocument/2006/relationships/hyperlink" Target="https://advance.lexis.com/api/document?collection=cases-ca&amp;id=urn:contentItem:5NCX-HXM1-JWR6-S2KM-00000-00&amp;context=" TargetMode="External" /><Relationship Id="rId581" Type="http://schemas.openxmlformats.org/officeDocument/2006/relationships/hyperlink" Target="https://advance.lexis.com/api/document?collection=cases-ca&amp;id=urn:contentItem:5F7T-S7C1-F7VM-S3HW-00000-00&amp;context=" TargetMode="External" /><Relationship Id="rId582" Type="http://schemas.openxmlformats.org/officeDocument/2006/relationships/hyperlink" Target="https://advance.lexis.com/api/document?collection=cases-ca&amp;id=urn:contentItem:5M37-6RB1-FJDY-X09R-00000-00&amp;context=" TargetMode="External" /><Relationship Id="rId583" Type="http://schemas.openxmlformats.org/officeDocument/2006/relationships/hyperlink" Target="https://advance.lexis.com/api/document?collection=cases-ca&amp;id=urn:contentItem:5F7T-S741-DY89-M3P5-00000-00&amp;context=" TargetMode="External" /><Relationship Id="rId584" Type="http://schemas.openxmlformats.org/officeDocument/2006/relationships/hyperlink" Target="https://advance.lexis.com/api/document?collection=cases-ca&amp;id=urn:contentItem:5JBT-WT01-JT42-S158-00000-00&amp;context=" TargetMode="External" /><Relationship Id="rId585" Type="http://schemas.openxmlformats.org/officeDocument/2006/relationships/hyperlink" Target="https://advance.lexis.com/api/document?collection=cases-ca&amp;id=urn:contentItem:5F7T-S7M1-DYMS-621R-00000-00&amp;context=" TargetMode="External" /><Relationship Id="rId586" Type="http://schemas.openxmlformats.org/officeDocument/2006/relationships/hyperlink" Target="https://advance.lexis.com/api/document?collection=cases-ca&amp;id=urn:contentItem:5F7T-S7P1-JBDT-B0XV-00000-00&amp;context=" TargetMode="External" /><Relationship Id="rId587" Type="http://schemas.openxmlformats.org/officeDocument/2006/relationships/hyperlink" Target="https://advance.lexis.com/api/document?collection=cases-ca&amp;id=urn:contentItem:5R1J-31X1-F956-S168-00000-00&amp;context=" TargetMode="External" /><Relationship Id="rId588" Type="http://schemas.openxmlformats.org/officeDocument/2006/relationships/hyperlink" Target="https://advance.lexis.com/api/document?collection=cases-ca&amp;id=urn:contentItem:5F7T-S7M1-DYMS-62JH-00000-00&amp;context=" TargetMode="External" /><Relationship Id="rId589" Type="http://schemas.openxmlformats.org/officeDocument/2006/relationships/header" Target="header82.xml" /><Relationship Id="rId59" Type="http://schemas.openxmlformats.org/officeDocument/2006/relationships/hyperlink" Target="https://advance.lexis.com/api/document?collection=cases-ca&amp;id=urn:contentItem:5F7T-S6S1-DXHD-G13M-00000-00&amp;context=" TargetMode="External" /><Relationship Id="rId590" Type="http://schemas.openxmlformats.org/officeDocument/2006/relationships/header" Target="header83.xml" /><Relationship Id="rId591" Type="http://schemas.openxmlformats.org/officeDocument/2006/relationships/footer" Target="footer82.xml" /><Relationship Id="rId592" Type="http://schemas.openxmlformats.org/officeDocument/2006/relationships/footer" Target="footer83.xml" /><Relationship Id="rId593" Type="http://schemas.openxmlformats.org/officeDocument/2006/relationships/header" Target="header84.xml" /><Relationship Id="rId594" Type="http://schemas.openxmlformats.org/officeDocument/2006/relationships/footer" Target="footer84.xml" /><Relationship Id="rId595" Type="http://schemas.openxmlformats.org/officeDocument/2006/relationships/hyperlink" Target="https://advance.lexis.com/api/document?collection=cases-ca&amp;id=urn:contentItem:5K6Y-81N1-JNY7-X1WT-00000-00&amp;context=" TargetMode="External" /><Relationship Id="rId596" Type="http://schemas.openxmlformats.org/officeDocument/2006/relationships/hyperlink" Target="https://advance.lexis.com/api/document?collection=cases-ca&amp;id=urn:contentItem:5F7T-S7P1-JP4G-624J-00000-00&amp;context=" TargetMode="External" /><Relationship Id="rId597" Type="http://schemas.openxmlformats.org/officeDocument/2006/relationships/hyperlink" Target="https://advance.lexis.com/api/document?collection=cases-ca&amp;id=urn:contentItem:5F7T-S7N1-F57G-S2D8-00000-00&amp;context=" TargetMode="External" /><Relationship Id="rId598" Type="http://schemas.openxmlformats.org/officeDocument/2006/relationships/hyperlink" Target="https://advance.lexis.com/api/document?collection=cases-ca&amp;id=urn:contentItem:5F7T-S7J1-FGCG-S091-00000-00&amp;context=" TargetMode="External" /><Relationship Id="rId599" Type="http://schemas.openxmlformats.org/officeDocument/2006/relationships/hyperlink" Target="https://advance.lexis.com/api/document?collection=cases-ca&amp;id=urn:contentItem:5F7T-S7M1-JJK6-S222-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6T1-JTNR-M2MX-00000-00&amp;context=" TargetMode="External" /><Relationship Id="rId600" Type="http://schemas.openxmlformats.org/officeDocument/2006/relationships/hyperlink" Target="https://advance.lexis.com/api/document?collection=cases-ca&amp;id=urn:contentItem:5F8T-N3S1-JT99-250X-00000-00&amp;context=" TargetMode="External" /><Relationship Id="rId601" Type="http://schemas.openxmlformats.org/officeDocument/2006/relationships/hyperlink" Target="https://advance.lexis.com/api/document?collection=cases-ca&amp;id=urn:contentItem:5F7T-S7H1-K054-G2DK-00000-00&amp;context=" TargetMode="External" /><Relationship Id="rId602" Type="http://schemas.openxmlformats.org/officeDocument/2006/relationships/hyperlink" Target="https://advance.lexis.com/api/document?collection=cases-ca&amp;id=urn:contentItem:5F7T-S7C1-FCSB-S2KC-00000-00&amp;context=" TargetMode="External" /><Relationship Id="rId603" Type="http://schemas.openxmlformats.org/officeDocument/2006/relationships/hyperlink" Target="https://advance.lexis.com/api/document?collection=cases-ca&amp;id=urn:contentItem:5F7T-S7K1-F528-G33F-00000-00&amp;context=" TargetMode="External" /><Relationship Id="rId604" Type="http://schemas.openxmlformats.org/officeDocument/2006/relationships/hyperlink" Target="https://advance.lexis.com/api/document?collection=cases-ca&amp;id=urn:contentItem:5F7T-S7N1-JJ1H-X35V-00000-00&amp;context=" TargetMode="External" /><Relationship Id="rId605" Type="http://schemas.openxmlformats.org/officeDocument/2006/relationships/hyperlink" Target="https://advance.lexis.com/api/document?collection=cases-ca&amp;id=urn:contentItem:5F7T-S7D1-JN6B-S119-00000-00&amp;context=" TargetMode="External" /><Relationship Id="rId606" Type="http://schemas.openxmlformats.org/officeDocument/2006/relationships/hyperlink" Target="https://advance.lexis.com/api/document?collection=cases-ca&amp;id=urn:contentItem:5F7T-S7K1-JKHB-62NV-00000-00&amp;context=" TargetMode="External" /><Relationship Id="rId607" Type="http://schemas.openxmlformats.org/officeDocument/2006/relationships/hyperlink" Target="https://advance.lexis.com/api/document?collection=cases-ca&amp;id=urn:contentItem:5F7T-S7J1-FGCG-S0H8-00000-00&amp;context=" TargetMode="External" /><Relationship Id="rId608" Type="http://schemas.openxmlformats.org/officeDocument/2006/relationships/hyperlink" Target="https://advance.lexis.com/api/document?collection=cases-ca&amp;id=urn:contentItem:5F7T-S7J1-DXWW-24XN-00000-00&amp;context=" TargetMode="External" /><Relationship Id="rId609" Type="http://schemas.openxmlformats.org/officeDocument/2006/relationships/hyperlink" Target="https://advance.lexis.com/api/document?collection=cases-ca&amp;id=urn:contentItem:5F7T-S7M1-DYMS-625V-00000-00&amp;context=" TargetMode="External" /><Relationship Id="rId61" Type="http://schemas.openxmlformats.org/officeDocument/2006/relationships/hyperlink" Target="https://advance.lexis.com/api/document?collection=cases-ca&amp;id=urn:contentItem:5F7T-S771-F2TK-22YF-00000-00&amp;context=" TargetMode="External" /><Relationship Id="rId610" Type="http://schemas.openxmlformats.org/officeDocument/2006/relationships/hyperlink" Target="https://advance.lexis.com/api/document?collection=cases-ca&amp;id=urn:contentItem:5F7T-S6X1-JTNR-M3X3-00000-00&amp;context=" TargetMode="External" /><Relationship Id="rId611" Type="http://schemas.openxmlformats.org/officeDocument/2006/relationships/header" Target="header85.xml" /><Relationship Id="rId612" Type="http://schemas.openxmlformats.org/officeDocument/2006/relationships/header" Target="header86.xml" /><Relationship Id="rId613" Type="http://schemas.openxmlformats.org/officeDocument/2006/relationships/footer" Target="footer85.xml" /><Relationship Id="rId614" Type="http://schemas.openxmlformats.org/officeDocument/2006/relationships/footer" Target="footer86.xml" /><Relationship Id="rId615" Type="http://schemas.openxmlformats.org/officeDocument/2006/relationships/header" Target="header87.xml" /><Relationship Id="rId616" Type="http://schemas.openxmlformats.org/officeDocument/2006/relationships/footer" Target="footer87.xml" /><Relationship Id="rId617" Type="http://schemas.openxmlformats.org/officeDocument/2006/relationships/hyperlink" Target="https://advance.lexis.com/api/document?collection=cases-ca&amp;id=urn:contentItem:5F7T-S7B1-F7ND-G4YB-00000-00&amp;context=" TargetMode="External" /><Relationship Id="rId618" Type="http://schemas.openxmlformats.org/officeDocument/2006/relationships/hyperlink" Target="https://advance.lexis.com/api/document?collection=legislation-ca&amp;id=urn:contentItem:5VYK-W9W1-JWBS-64Y3-00000-00&amp;context=" TargetMode="External" /><Relationship Id="rId619" Type="http://schemas.openxmlformats.org/officeDocument/2006/relationships/hyperlink" Target="https://advance.lexis.com/api/document?collection=legislation-ca&amp;id=urn:contentItem:5F41-1FK1-FJM6-60VK-00000-00&amp;context=" TargetMode="External" /><Relationship Id="rId62" Type="http://schemas.openxmlformats.org/officeDocument/2006/relationships/hyperlink" Target="https://advance.lexis.com/api/document?collection=cases-ca&amp;id=urn:contentItem:5F7T-S711-F4GK-M2FW-00000-00&amp;context=" TargetMode="External" /><Relationship Id="rId620" Type="http://schemas.openxmlformats.org/officeDocument/2006/relationships/hyperlink" Target="https://advance.lexis.com/api/document?collection=legislation-ca&amp;id=urn:contentItem:5F41-1FK1-FJM6-6128-00000-00&amp;context=" TargetMode="External" /><Relationship Id="rId621" Type="http://schemas.openxmlformats.org/officeDocument/2006/relationships/hyperlink" Target="https://advance.lexis.com/api/document?collection=cases-ca&amp;id=urn:contentItem:5F7H-KWB1-JCJ5-21JY-00000-00&amp;context=" TargetMode="External" /><Relationship Id="rId622" Type="http://schemas.openxmlformats.org/officeDocument/2006/relationships/hyperlink" Target="https://advance.lexis.com/api/document?collection=cases-ca&amp;id=urn:contentItem:5F8T-N3R1-JNS1-M14F-00000-00&amp;context=" TargetMode="External" /><Relationship Id="rId623" Type="http://schemas.openxmlformats.org/officeDocument/2006/relationships/hyperlink" Target="https://advance.lexis.com/api/document?collection=cases-ca&amp;id=urn:contentItem:5F81-WC31-F5KY-B4P0-00000-00&amp;context=" TargetMode="External" /><Relationship Id="rId624" Type="http://schemas.openxmlformats.org/officeDocument/2006/relationships/hyperlink" Target="https://advance.lexis.com/api/document?collection=cases-ca&amp;id=urn:contentItem:5F8T-N3T1-JJSF-232V-00000-00&amp;context=" TargetMode="External" /><Relationship Id="rId625" Type="http://schemas.openxmlformats.org/officeDocument/2006/relationships/hyperlink" Target="https://advance.lexis.com/api/document?collection=cases-ca&amp;id=urn:contentItem:5F8T-N3V1-FC1F-M444-00000-00&amp;context=" TargetMode="External" /><Relationship Id="rId626" Type="http://schemas.openxmlformats.org/officeDocument/2006/relationships/hyperlink" Target="https://advance.lexis.com/api/document?collection=cases-ca&amp;id=urn:contentItem:5F8T-N3T1-JJSF-2393-00000-00&amp;context=" TargetMode="External" /><Relationship Id="rId627" Type="http://schemas.openxmlformats.org/officeDocument/2006/relationships/hyperlink" Target="https://advance.lexis.com/api/document?collection=cases-ca&amp;id=urn:contentItem:5F8T-N3T1-JJSF-23NY-00000-00&amp;context=" TargetMode="External" /><Relationship Id="rId628" Type="http://schemas.openxmlformats.org/officeDocument/2006/relationships/hyperlink" Target="https://advance.lexis.com/api/document?collection=cases-ca&amp;id=urn:contentItem:5F8T-N3T1-JJSF-23C9-00000-00&amp;context=" TargetMode="External" /><Relationship Id="rId629" Type="http://schemas.openxmlformats.org/officeDocument/2006/relationships/hyperlink" Target="https://advance.lexis.com/api/document?collection=cases-ca&amp;id=urn:contentItem:5F8T-N3V1-FC1F-M48B-00000-00&amp;context=" TargetMode="External" /><Relationship Id="rId63" Type="http://schemas.openxmlformats.org/officeDocument/2006/relationships/hyperlink" Target="https://advance.lexis.com/api/document?collection=cases-ca&amp;id=urn:contentItem:5F7T-S741-F528-G2FD-00000-00&amp;context=" TargetMode="External" /><Relationship Id="rId630" Type="http://schemas.openxmlformats.org/officeDocument/2006/relationships/hyperlink" Target="https://advance.lexis.com/api/document?collection=cases-ca&amp;id=urn:contentItem:5F7T-S701-JF75-M4N6-00000-00&amp;context=" TargetMode="External" /><Relationship Id="rId631" Type="http://schemas.openxmlformats.org/officeDocument/2006/relationships/hyperlink" Target="https://advance.lexis.com/api/document?collection=cases-ca&amp;id=urn:contentItem:5F8T-N3V1-FC1F-M461-00000-00&amp;context=" TargetMode="External" /><Relationship Id="rId632" Type="http://schemas.openxmlformats.org/officeDocument/2006/relationships/hyperlink" Target="https://advance.lexis.com/api/document?collection=cases-ca&amp;id=urn:contentItem:5F16-9331-FBN1-241J-00000-00&amp;context=" TargetMode="External" /><Relationship Id="rId633" Type="http://schemas.openxmlformats.org/officeDocument/2006/relationships/hyperlink" Target="https://advance.lexis.com/api/document?collection=cases-ca&amp;id=urn:contentItem:5F8T-N3V1-FC1F-M40S-00000-00&amp;context=" TargetMode="External" /><Relationship Id="rId634" Type="http://schemas.openxmlformats.org/officeDocument/2006/relationships/hyperlink" Target="https://advance.lexis.com/api/document?collection=cases-ca&amp;id=urn:contentItem:5F7V-3DJ1-F30T-B38H-00000-00&amp;context=" TargetMode="External" /><Relationship Id="rId635" Type="http://schemas.openxmlformats.org/officeDocument/2006/relationships/hyperlink" Target="https://advance.lexis.com/api/document?collection=cases-ca&amp;id=urn:contentItem:5F7V-3DJ1-F30T-B3GM-00000-00&amp;context=" TargetMode="External" /><Relationship Id="rId636" Type="http://schemas.openxmlformats.org/officeDocument/2006/relationships/hyperlink" Target="https://advance.lexis.com/api/document?collection=cases-ca&amp;id=urn:contentItem:5F82-1SF1-K054-G4D9-00000-00&amp;context=" TargetMode="External" /><Relationship Id="rId637" Type="http://schemas.openxmlformats.org/officeDocument/2006/relationships/hyperlink" Target="https://advance.lexis.com/api/document?collection=cases-ca&amp;id=urn:contentItem:5F8T-N3V1-FC1F-M45P-00000-00&amp;context=" TargetMode="External" /><Relationship Id="rId638" Type="http://schemas.openxmlformats.org/officeDocument/2006/relationships/hyperlink" Target="https://advance.lexis.com/api/document?collection=cases-ca&amp;id=urn:contentItem:5F8T-N3V1-JF75-M396-00000-00&amp;context=" TargetMode="External" /><Relationship Id="rId639" Type="http://schemas.openxmlformats.org/officeDocument/2006/relationships/hyperlink" Target="https://advance.lexis.com/api/document?collection=cases-ca&amp;id=urn:contentItem:5F8T-N3V1-FC1F-M42B-00000-00&amp;context=" TargetMode="External" /><Relationship Id="rId64" Type="http://schemas.openxmlformats.org/officeDocument/2006/relationships/hyperlink" Target="https://advance.lexis.com/api/document?collection=cases-ca&amp;id=urn:contentItem:5F7T-S7K1-F1H1-22DB-00000-00&amp;context=" TargetMode="External" /><Relationship Id="rId640" Type="http://schemas.openxmlformats.org/officeDocument/2006/relationships/hyperlink" Target="https://advance.lexis.com/api/document?collection=cases-ca&amp;id=urn:contentItem:5F8T-N3T1-JJSF-23BT-00000-00&amp;context=" TargetMode="External" /><Relationship Id="rId641" Type="http://schemas.openxmlformats.org/officeDocument/2006/relationships/hyperlink" Target="https://advance.lexis.com/api/document?collection=cases-ca&amp;id=urn:contentItem:5F8T-N3V1-JFKM-60C3-00000-00&amp;context=" TargetMode="External" /><Relationship Id="rId642" Type="http://schemas.openxmlformats.org/officeDocument/2006/relationships/hyperlink" Target="https://advance.lexis.com/api/document?collection=cases-ca&amp;id=urn:contentItem:5F81-VJX1-F5T5-M47Y-00000-00&amp;context=" TargetMode="External" /><Relationship Id="rId643" Type="http://schemas.openxmlformats.org/officeDocument/2006/relationships/hyperlink" Target="https://advance.lexis.com/api/document?collection=cases-ca&amp;id=urn:contentItem:5F8T-N3V1-FC1F-M41S-00000-00&amp;context=" TargetMode="External" /><Relationship Id="rId644" Type="http://schemas.openxmlformats.org/officeDocument/2006/relationships/hyperlink" Target="https://advance.lexis.com/api/document?collection=cases-ca&amp;id=urn:contentItem:5F8T-N3V1-JF75-M3CK-00000-00&amp;context=" TargetMode="External" /><Relationship Id="rId645" Type="http://schemas.openxmlformats.org/officeDocument/2006/relationships/hyperlink" Target="https://advance.lexis.com/api/document?collection=cases-ca&amp;id=urn:contentItem:5F81-VJX1-JP9P-G4WY-00000-00&amp;context=" TargetMode="External" /><Relationship Id="rId646" Type="http://schemas.openxmlformats.org/officeDocument/2006/relationships/hyperlink" Target="https://advance.lexis.com/api/document?collection=cases-ca&amp;id=urn:contentItem:5F81-VJX1-F5KY-B3XB-00000-00&amp;context=" TargetMode="External" /><Relationship Id="rId647" Type="http://schemas.openxmlformats.org/officeDocument/2006/relationships/hyperlink" Target="https://advance.lexis.com/api/document?collection=cases-ca&amp;id=urn:contentItem:5F82-1SD1-F8D9-M267-00000-00&amp;context=" TargetMode="External" /><Relationship Id="rId648" Type="http://schemas.openxmlformats.org/officeDocument/2006/relationships/hyperlink" Target="https://advance.lexis.com/api/document?collection=cases-ca&amp;id=urn:contentItem:5F8T-N3V1-JF75-M3KJ-00000-00&amp;context=" TargetMode="External" /><Relationship Id="rId649" Type="http://schemas.openxmlformats.org/officeDocument/2006/relationships/hyperlink" Target="https://advance.lexis.com/api/document?collection=cases-ca&amp;id=urn:contentItem:5F8T-N3R1-JBDT-B566-00000-00&amp;context=" TargetMode="External" /><Relationship Id="rId65" Type="http://schemas.openxmlformats.org/officeDocument/2006/relationships/hyperlink" Target="https://advance.lexis.com/api/document?collection=cases-ca&amp;id=urn:contentItem:5F7T-S7D1-F7ND-G0FM-00000-00&amp;context=" TargetMode="External" /><Relationship Id="rId650" Type="http://schemas.openxmlformats.org/officeDocument/2006/relationships/hyperlink" Target="https://advance.lexis.com/api/document?collection=cases-ca&amp;id=urn:contentItem:5F8T-N3V1-JF75-M3RV-00000-00&amp;context=" TargetMode="External" /><Relationship Id="rId651" Type="http://schemas.openxmlformats.org/officeDocument/2006/relationships/hyperlink" Target="https://advance.lexis.com/api/document?collection=cases-ca&amp;id=urn:contentItem:5F81-YGM1-F5KY-B500-00000-00&amp;context=" TargetMode="External" /><Relationship Id="rId652" Type="http://schemas.openxmlformats.org/officeDocument/2006/relationships/header" Target="header88.xml" /><Relationship Id="rId653" Type="http://schemas.openxmlformats.org/officeDocument/2006/relationships/header" Target="header89.xml" /><Relationship Id="rId654" Type="http://schemas.openxmlformats.org/officeDocument/2006/relationships/footer" Target="footer88.xml" /><Relationship Id="rId655" Type="http://schemas.openxmlformats.org/officeDocument/2006/relationships/footer" Target="footer89.xml" /><Relationship Id="rId656" Type="http://schemas.openxmlformats.org/officeDocument/2006/relationships/header" Target="header90.xml" /><Relationship Id="rId657" Type="http://schemas.openxmlformats.org/officeDocument/2006/relationships/footer" Target="footer90.xml" /><Relationship Id="rId658" Type="http://schemas.openxmlformats.org/officeDocument/2006/relationships/hyperlink" Target="https://advance.lexis.com/api/document?collection=cases-ca&amp;id=urn:contentItem:5K6Y-81T1-JYYX-61W0-00000-00&amp;context=" TargetMode="External" /><Relationship Id="rId659" Type="http://schemas.openxmlformats.org/officeDocument/2006/relationships/hyperlink" Target="https://advance.lexis.com/api/document?collection=cases-ca&amp;id=urn:contentItem:5GM6-KXF1-FK0M-S1JB-00000-00&amp;context=" TargetMode="External" /><Relationship Id="rId66" Type="http://schemas.openxmlformats.org/officeDocument/2006/relationships/hyperlink" Target="https://advance.lexis.com/api/document?collection=cases-ca&amp;id=urn:contentItem:5F7T-S771-JN14-G2DF-00000-00&amp;context=" TargetMode="External" /><Relationship Id="rId660" Type="http://schemas.openxmlformats.org/officeDocument/2006/relationships/hyperlink" Target="https://advance.lexis.com/api/document?collection=cases-ca&amp;id=urn:contentItem:5F16-93D1-FBN1-24G5-00000-00&amp;context=" TargetMode="External" /><Relationship Id="rId661" Type="http://schemas.openxmlformats.org/officeDocument/2006/relationships/hyperlink" Target="https://advance.lexis.com/api/document?collection=cases-ca&amp;id=urn:contentItem:5F7T-S6Y1-JF75-M3N4-00000-00&amp;context=" TargetMode="External" /><Relationship Id="rId662" Type="http://schemas.openxmlformats.org/officeDocument/2006/relationships/hyperlink" Target="https://advance.lexis.com/api/document?collection=cases-ca&amp;id=urn:contentItem:5F7T-S6X1-F1H1-20XY-00000-00&amp;context=" TargetMode="External" /><Relationship Id="rId663" Type="http://schemas.openxmlformats.org/officeDocument/2006/relationships/hyperlink" Target="https://advance.lexis.com/api/document?collection=cases-ca&amp;id=urn:contentItem:5F16-93D1-FGCG-S2X6-00000-00&amp;context=" TargetMode="External" /><Relationship Id="rId664" Type="http://schemas.openxmlformats.org/officeDocument/2006/relationships/hyperlink" Target="https://advance.lexis.com/api/document?collection=cases-ca&amp;id=urn:contentItem:5F8T-N3V1-JTGH-B1BG-00000-00&amp;context=" TargetMode="External" /><Relationship Id="rId665" Type="http://schemas.openxmlformats.org/officeDocument/2006/relationships/hyperlink" Target="https://advance.lexis.com/api/document?collection=cases-ca&amp;id=urn:contentItem:5F8P-SDV1-JSC5-M15S-00000-00&amp;context=" TargetMode="External" /><Relationship Id="rId666" Type="http://schemas.openxmlformats.org/officeDocument/2006/relationships/hyperlink" Target="https://advance.lexis.com/api/document?collection=legislation-ca&amp;id=urn:contentItem:5F41-1FM1-FCK4-G01C-00000-00&amp;context=" TargetMode="External" /><Relationship Id="rId667" Type="http://schemas.openxmlformats.org/officeDocument/2006/relationships/hyperlink" Target="https://advance.lexis.com/api/document?collection=cases-ca&amp;id=urn:contentItem:5F81-VJV1-F60C-X3C9-00000-00&amp;context=" TargetMode="External" /><Relationship Id="rId668" Type="http://schemas.openxmlformats.org/officeDocument/2006/relationships/hyperlink" Target="https://advance.lexis.com/api/document?collection=cases-ca&amp;id=urn:contentItem:5F7T-S6Y1-JP9P-G1SM-00000-00&amp;context=" TargetMode="External" /><Relationship Id="rId669" Type="http://schemas.openxmlformats.org/officeDocument/2006/relationships/hyperlink" Target="https://advance.lexis.com/api/document?collection=cases-ca&amp;id=urn:contentItem:5F7T-S731-JC0G-63VT-00000-00&amp;context=" TargetMode="External" /><Relationship Id="rId67" Type="http://schemas.openxmlformats.org/officeDocument/2006/relationships/hyperlink" Target="https://advance.lexis.com/api/document?collection=cases-ca&amp;id=urn:contentItem:5F7T-S741-F528-G21K-00000-00&amp;context=" TargetMode="External" /><Relationship Id="rId670" Type="http://schemas.openxmlformats.org/officeDocument/2006/relationships/hyperlink" Target="https://advance.lexis.com/api/document?collection=cases-ca&amp;id=urn:contentItem:5F8P-SF11-JGPY-X3T4-00000-00&amp;context=" TargetMode="External" /><Relationship Id="rId671" Type="http://schemas.openxmlformats.org/officeDocument/2006/relationships/hyperlink" Target="https://advance.lexis.com/api/document?collection=cases-ca&amp;id=urn:contentItem:5F7T-XPT1-F8D9-M4CV-00000-00&amp;context=" TargetMode="External" /><Relationship Id="rId672" Type="http://schemas.openxmlformats.org/officeDocument/2006/relationships/hyperlink" Target="https://advance.lexis.com/api/document?collection=cases-ca&amp;id=urn:contentItem:5F8T-N3R1-JJSF-2329-00000-00&amp;context=" TargetMode="External" /><Relationship Id="rId673" Type="http://schemas.openxmlformats.org/officeDocument/2006/relationships/hyperlink" Target="https://advance.lexis.com/api/document?collection=cases-ca&amp;id=urn:contentItem:5F8T-N3T1-JFKM-655W-00000-00&amp;context=" TargetMode="External" /><Relationship Id="rId674" Type="http://schemas.openxmlformats.org/officeDocument/2006/relationships/hyperlink" Target="https://advance.lexis.com/api/document?collection=cases-ca&amp;id=urn:contentItem:5F8T-N3V1-JTGH-B184-00000-00&amp;context=" TargetMode="External" /><Relationship Id="rId675" Type="http://schemas.openxmlformats.org/officeDocument/2006/relationships/hyperlink" Target="https://advance.lexis.com/api/document?collection=cases-ca&amp;id=urn:contentItem:5F7T-S7N1-JC5P-G23H-00000-00&amp;context=" TargetMode="External" /><Relationship Id="rId676" Type="http://schemas.openxmlformats.org/officeDocument/2006/relationships/hyperlink" Target="https://advance.lexis.com/api/document?collection=cases-ca&amp;id=urn:contentItem:5GC0-VTK1-FG68-G23F-00000-00&amp;context=" TargetMode="External" /><Relationship Id="rId677" Type="http://schemas.openxmlformats.org/officeDocument/2006/relationships/hyperlink" Target="https://advance.lexis.com/api/document?collection=cases-ca&amp;id=urn:contentItem:5GC0-P401-FCYK-23MJ-00000-00&amp;context=" TargetMode="External" /><Relationship Id="rId678" Type="http://schemas.openxmlformats.org/officeDocument/2006/relationships/hyperlink" Target="https://advance.lexis.com/api/document?collection=cases-ca&amp;id=urn:contentItem:5F8P-SDD1-JFSV-G366-00000-00&amp;context=" TargetMode="External" /><Relationship Id="rId679" Type="http://schemas.openxmlformats.org/officeDocument/2006/relationships/hyperlink" Target="https://advance.lexis.com/api/document?collection=cases-ca&amp;id=urn:contentItem:5F81-VJS1-JNY7-X3D9-00000-00&amp;context=" TargetMode="External" /><Relationship Id="rId68" Type="http://schemas.openxmlformats.org/officeDocument/2006/relationships/hyperlink" Target="https://advance.lexis.com/api/document?collection=cases-ca&amp;id=urn:contentItem:5F7T-S751-JBM1-M227-00000-00&amp;context=" TargetMode="External" /><Relationship Id="rId680" Type="http://schemas.openxmlformats.org/officeDocument/2006/relationships/hyperlink" Target="https://advance.lexis.com/api/document?collection=cases-ca&amp;id=urn:contentItem:5F7T-S7C1-F30T-B296-00000-00&amp;context=" TargetMode="External" /><Relationship Id="rId681" Type="http://schemas.openxmlformats.org/officeDocument/2006/relationships/hyperlink" Target="https://advance.lexis.com/api/document?collection=cases-ca&amp;id=urn:contentItem:5F7T-S7B1-F7ND-G4V9-00000-00&amp;context=" TargetMode="External" /><Relationship Id="rId682" Type="http://schemas.openxmlformats.org/officeDocument/2006/relationships/hyperlink" Target="https://advance.lexis.com/api/document?collection=cases-ca&amp;id=urn:contentItem:5F8T-N3V1-FC1F-M45J-00000-00&amp;context=" TargetMode="External" /><Relationship Id="rId683" Type="http://schemas.openxmlformats.org/officeDocument/2006/relationships/hyperlink" Target="https://advance.lexis.com/api/document?collection=cases-ca&amp;id=urn:contentItem:5F8P-SD81-JJ6S-64V9-00000-00&amp;context=" TargetMode="External" /><Relationship Id="rId684" Type="http://schemas.openxmlformats.org/officeDocument/2006/relationships/hyperlink" Target="https://advance.lexis.com/api/document?collection=cases-ca&amp;id=urn:contentItem:5F16-9391-JN14-G043-00000-00&amp;context=" TargetMode="External" /><Relationship Id="rId685" Type="http://schemas.openxmlformats.org/officeDocument/2006/relationships/hyperlink" Target="https://advance.lexis.com/api/document?collection=cases-ca&amp;id=urn:contentItem:5F7T-S7C1-FCSB-S2DJ-00000-00&amp;context=" TargetMode="External" /><Relationship Id="rId686" Type="http://schemas.openxmlformats.org/officeDocument/2006/relationships/header" Target="header91.xml" /><Relationship Id="rId687" Type="http://schemas.openxmlformats.org/officeDocument/2006/relationships/header" Target="header92.xml" /><Relationship Id="rId688" Type="http://schemas.openxmlformats.org/officeDocument/2006/relationships/footer" Target="footer91.xml" /><Relationship Id="rId689" Type="http://schemas.openxmlformats.org/officeDocument/2006/relationships/footer" Target="footer92.xml" /><Relationship Id="rId69" Type="http://schemas.openxmlformats.org/officeDocument/2006/relationships/hyperlink" Target="https://advance.lexis.com/api/document?collection=cases-ca&amp;id=urn:contentItem:5F7T-S7G1-JPP5-2239-00000-00&amp;context=" TargetMode="External" /><Relationship Id="rId690" Type="http://schemas.openxmlformats.org/officeDocument/2006/relationships/header" Target="header93.xml" /><Relationship Id="rId691" Type="http://schemas.openxmlformats.org/officeDocument/2006/relationships/footer" Target="footer93.xml" /><Relationship Id="rId692" Type="http://schemas.openxmlformats.org/officeDocument/2006/relationships/hyperlink" Target="https://advance.lexis.com/api/document?collection=cases-ca&amp;id=urn:contentItem:5F7T-S7C1-F7VM-S3T4-00000-00&amp;context=" TargetMode="External" /><Relationship Id="rId693" Type="http://schemas.openxmlformats.org/officeDocument/2006/relationships/hyperlink" Target="https://advance.lexis.com/api/document?collection=cases-ca&amp;id=urn:contentItem:5F7T-S7C1-JCJ5-20G7-00000-00&amp;context=" TargetMode="External" /><Relationship Id="rId694" Type="http://schemas.openxmlformats.org/officeDocument/2006/relationships/hyperlink" Target="https://advance.lexis.com/api/document?collection=cases-ca&amp;id=urn:contentItem:5F7T-S6X1-K0BB-S057-00000-00&amp;context=" TargetMode="External" /><Relationship Id="rId695" Type="http://schemas.openxmlformats.org/officeDocument/2006/relationships/hyperlink" Target="https://advance.lexis.com/api/document?collection=cases-ca&amp;id=urn:contentItem:5F7T-S7G1-JX3N-B2JF-00000-00&amp;context=" TargetMode="External" /><Relationship Id="rId696" Type="http://schemas.openxmlformats.org/officeDocument/2006/relationships/hyperlink" Target="https://advance.lexis.com/api/document?collection=cases-ca&amp;id=urn:contentItem:5F8T-N3R1-JJSF-22NG-00000-00&amp;context=" TargetMode="External" /><Relationship Id="rId697" Type="http://schemas.openxmlformats.org/officeDocument/2006/relationships/hyperlink" Target="https://advance.lexis.com/api/document?collection=cases-ca&amp;id=urn:contentItem:5F7T-S751-JG02-S21V-00000-00&amp;context=" TargetMode="External" /><Relationship Id="rId698" Type="http://schemas.openxmlformats.org/officeDocument/2006/relationships/hyperlink" Target="https://advance.lexis.com/api/document?collection=cases-ca&amp;id=urn:contentItem:5F7T-S731-F1WF-M22Y-00000-00&amp;context=" TargetMode="External" /><Relationship Id="rId699" Type="http://schemas.openxmlformats.org/officeDocument/2006/relationships/header" Target="header94.xm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6X1-F7ND-G3V4-00000-00&amp;context=" TargetMode="External" /><Relationship Id="rId700" Type="http://schemas.openxmlformats.org/officeDocument/2006/relationships/header" Target="header95.xml" /><Relationship Id="rId701" Type="http://schemas.openxmlformats.org/officeDocument/2006/relationships/footer" Target="footer94.xml" /><Relationship Id="rId702" Type="http://schemas.openxmlformats.org/officeDocument/2006/relationships/footer" Target="footer95.xml" /><Relationship Id="rId703" Type="http://schemas.openxmlformats.org/officeDocument/2006/relationships/header" Target="header96.xml" /><Relationship Id="rId704" Type="http://schemas.openxmlformats.org/officeDocument/2006/relationships/footer" Target="footer96.xml" /><Relationship Id="rId705" Type="http://schemas.openxmlformats.org/officeDocument/2006/relationships/hyperlink" Target="https://advance.lexis.com/api/document?collection=cases-ca&amp;id=urn:contentItem:5VHV-R691-FK0M-S1H8-00000-00&amp;context=" TargetMode="External" /><Relationship Id="rId706" Type="http://schemas.openxmlformats.org/officeDocument/2006/relationships/hyperlink" Target="https://advance.lexis.com/api/document?collection=cases-ca&amp;id=urn:contentItem:5X40-PHD1-JNJT-B0FS-00000-00&amp;context=" TargetMode="External" /><Relationship Id="rId707" Type="http://schemas.openxmlformats.org/officeDocument/2006/relationships/hyperlink" Target="https://advance.lexis.com/api/document?collection=cases-ca&amp;id=urn:contentItem:5K56-XS31-FC6N-X36V-00000-00&amp;context=" TargetMode="External" /><Relationship Id="rId708" Type="http://schemas.openxmlformats.org/officeDocument/2006/relationships/hyperlink" Target="https://advance.lexis.com/api/document?collection=cases-ca&amp;id=urn:contentItem:5F7T-S7H1-F4GK-M33F-00000-00&amp;context=" TargetMode="External" /><Relationship Id="rId709" Type="http://schemas.openxmlformats.org/officeDocument/2006/relationships/hyperlink" Target="https://advance.lexis.com/api/document?collection=cases-ca&amp;id=urn:contentItem:5K63-1M81-FCK4-G039-00000-00&amp;context=" TargetMode="External" /><Relationship Id="rId71" Type="http://schemas.openxmlformats.org/officeDocument/2006/relationships/hyperlink" Target="https://advance.lexis.com/api/document?collection=cases-ca&amp;id=urn:contentItem:5F7T-S761-FGJR-22F0-00000-00&amp;context=" TargetMode="External" /><Relationship Id="rId710" Type="http://schemas.openxmlformats.org/officeDocument/2006/relationships/hyperlink" Target="https://advance.lexis.com/api/document?collection=cases-ca&amp;id=urn:contentItem:5F7T-S741-F528-G2J5-00000-00&amp;context=" TargetMode="External" /><Relationship Id="rId711" Type="http://schemas.openxmlformats.org/officeDocument/2006/relationships/hyperlink" Target="https://advance.lexis.com/api/document?collection=cases-ca&amp;id=urn:contentItem:5H60-GJS1-FD4T-B15X-00000-00&amp;context=" TargetMode="External" /><Relationship Id="rId712" Type="http://schemas.openxmlformats.org/officeDocument/2006/relationships/hyperlink" Target="https://advance.lexis.com/api/document?collection=cases-ca&amp;id=urn:contentItem:5MM5-X7R1-F4W2-60T3-00000-00&amp;context=" TargetMode="External" /><Relationship Id="rId713" Type="http://schemas.openxmlformats.org/officeDocument/2006/relationships/hyperlink" Target="https://advance.lexis.com/api/document?collection=cases-ca&amp;id=urn:contentItem:5F7T-S7K1-JSJC-X0XV-00000-00&amp;context=" TargetMode="External" /><Relationship Id="rId714" Type="http://schemas.openxmlformats.org/officeDocument/2006/relationships/hyperlink" Target="https://advance.lexis.com/api/document?collection=cases-ca&amp;id=urn:contentItem:5F7T-S7H1-FCSB-S3JG-00000-00&amp;context=" TargetMode="External" /><Relationship Id="rId715" Type="http://schemas.openxmlformats.org/officeDocument/2006/relationships/hyperlink" Target="https://advance.lexis.com/api/document?collection=cases-ca&amp;id=urn:contentItem:5T4D-1D71-JX3N-B34N-00000-00&amp;context=" TargetMode="External" /><Relationship Id="rId716" Type="http://schemas.openxmlformats.org/officeDocument/2006/relationships/hyperlink" Target="https://advance.lexis.com/api/document?collection=cases-ca&amp;id=urn:contentItem:5MKR-T2S1-F27X-60XP-00000-00&amp;context=" TargetMode="External" /><Relationship Id="rId717" Type="http://schemas.openxmlformats.org/officeDocument/2006/relationships/hyperlink" Target="https://advance.lexis.com/api/document?collection=cases-ca&amp;id=urn:contentItem:5GW7-N221-JW5H-X0MC-00000-00&amp;context=" TargetMode="External" /><Relationship Id="rId718" Type="http://schemas.openxmlformats.org/officeDocument/2006/relationships/hyperlink" Target="https://advance.lexis.com/api/document?collection=cases-ca&amp;id=urn:contentItem:5J0C-MF51-JSXV-G2N2-00000-00&amp;context=" TargetMode="External" /><Relationship Id="rId719" Type="http://schemas.openxmlformats.org/officeDocument/2006/relationships/hyperlink" Target="https://advance.lexis.com/api/document?collection=cases-ca&amp;id=urn:contentItem:5PSR-3DD1-JJ6S-639W-00000-00&amp;context=" TargetMode="External" /><Relationship Id="rId72" Type="http://schemas.openxmlformats.org/officeDocument/2006/relationships/hyperlink" Target="https://advance.lexis.com/api/document?collection=cases-ca&amp;id=urn:contentItem:5F7T-S7H1-F4GK-M325-00000-00&amp;context=" TargetMode="External" /><Relationship Id="rId720" Type="http://schemas.openxmlformats.org/officeDocument/2006/relationships/hyperlink" Target="https://advance.lexis.com/api/document?collection=cases-ca&amp;id=urn:contentItem:5F7T-S7F1-FBN1-21V5-00000-00&amp;context=" TargetMode="External" /><Relationship Id="rId721" Type="http://schemas.openxmlformats.org/officeDocument/2006/relationships/hyperlink" Target="https://advance.lexis.com/api/document?collection=cases-ca&amp;id=urn:contentItem:5MKR-T2S1-F27X-60XN-00000-00&amp;context=" TargetMode="External" /><Relationship Id="rId722" Type="http://schemas.openxmlformats.org/officeDocument/2006/relationships/hyperlink" Target="https://advance.lexis.com/api/document?collection=cases-ca&amp;id=urn:contentItem:5GCC-XVB1-JSXV-G0CG-00000-00&amp;context=" TargetMode="External" /><Relationship Id="rId723" Type="http://schemas.openxmlformats.org/officeDocument/2006/relationships/hyperlink" Target="https://advance.lexis.com/api/document?collection=cases-ca&amp;id=urn:contentItem:5F7T-S7J1-JYYX-623G-00000-00&amp;context=" TargetMode="External" /><Relationship Id="rId724" Type="http://schemas.openxmlformats.org/officeDocument/2006/relationships/hyperlink" Target="https://advance.lexis.com/api/document?collection=cases-ca&amp;id=urn:contentItem:5F7T-S7N1-F57G-S2PF-00000-00&amp;context=" TargetMode="External" /><Relationship Id="rId725" Type="http://schemas.openxmlformats.org/officeDocument/2006/relationships/hyperlink" Target="https://advance.lexis.com/api/document?collection=cases-ca&amp;id=urn:contentItem:5F7T-S7P1-JBDT-B15W-00000-00&amp;context=" TargetMode="External" /><Relationship Id="rId726" Type="http://schemas.openxmlformats.org/officeDocument/2006/relationships/hyperlink" Target="https://advance.lexis.com/api/document?collection=cases-ca&amp;id=urn:contentItem:5F7T-S7N1-DXWW-208H-00000-00&amp;context=" TargetMode="External" /><Relationship Id="rId727" Type="http://schemas.openxmlformats.org/officeDocument/2006/relationships/hyperlink" Target="https://advance.lexis.com/api/document?collection=cases-ca&amp;id=urn:contentItem:5F7T-S7N1-F06F-24M7-00000-00&amp;context=" TargetMode="External" /><Relationship Id="rId728" Type="http://schemas.openxmlformats.org/officeDocument/2006/relationships/hyperlink" Target="https://advance.lexis.com/api/document?collection=cases-ca&amp;id=urn:contentItem:5K6Y-9V81-JJ1H-X44G-00000-00&amp;context=" TargetMode="External" /><Relationship Id="rId729" Type="http://schemas.openxmlformats.org/officeDocument/2006/relationships/hyperlink" Target="https://advance.lexis.com/api/document?collection=cases-ca&amp;id=urn:contentItem:5JW3-TKC1-JGPY-X4PG-00000-00&amp;context=" TargetMode="External" /><Relationship Id="rId73" Type="http://schemas.openxmlformats.org/officeDocument/2006/relationships/hyperlink" Target="https://advance.lexis.com/api/document?collection=legislation-ca&amp;id=urn:contentItem:5F41-1FG1-FC1F-M0TW-00000-00&amp;context=" TargetMode="External" /><Relationship Id="rId730" Type="http://schemas.openxmlformats.org/officeDocument/2006/relationships/hyperlink" Target="https://advance.lexis.com/api/document?collection=cases-ca&amp;id=urn:contentItem:5F7T-S7P1-JSJC-X1B5-00000-00&amp;context=" TargetMode="External" /><Relationship Id="rId731" Type="http://schemas.openxmlformats.org/officeDocument/2006/relationships/hyperlink" Target="https://advance.lexis.com/api/document?collection=cases-ca&amp;id=urn:contentItem:5F8T-N3T1-JJSF-2361-00000-00&amp;context=" TargetMode="External" /><Relationship Id="rId732" Type="http://schemas.openxmlformats.org/officeDocument/2006/relationships/hyperlink" Target="https://advance.lexis.com/api/document?collection=cases-ca&amp;id=urn:contentItem:5J70-PKM1-JPGX-S3WW-00000-00&amp;context=" TargetMode="External" /><Relationship Id="rId733" Type="http://schemas.openxmlformats.org/officeDocument/2006/relationships/hyperlink" Target="https://advance.lexis.com/api/document?collection=cases-ca&amp;id=urn:contentItem:5F8T-N3T1-JJSF-23MJ-00000-00&amp;context=" TargetMode="External" /><Relationship Id="rId734" Type="http://schemas.openxmlformats.org/officeDocument/2006/relationships/header" Target="header97.xml" /><Relationship Id="rId735" Type="http://schemas.openxmlformats.org/officeDocument/2006/relationships/header" Target="header98.xml" /><Relationship Id="rId736" Type="http://schemas.openxmlformats.org/officeDocument/2006/relationships/footer" Target="footer97.xml" /><Relationship Id="rId737" Type="http://schemas.openxmlformats.org/officeDocument/2006/relationships/footer" Target="footer98.xml" /><Relationship Id="rId738" Type="http://schemas.openxmlformats.org/officeDocument/2006/relationships/header" Target="header99.xml" /><Relationship Id="rId739" Type="http://schemas.openxmlformats.org/officeDocument/2006/relationships/footer" Target="footer99.xml" /><Relationship Id="rId74" Type="http://schemas.openxmlformats.org/officeDocument/2006/relationships/header" Target="header13.xml" /><Relationship Id="rId740" Type="http://schemas.openxmlformats.org/officeDocument/2006/relationships/hyperlink" Target="https://advance.lexis.com/api/document?collection=cases-ca&amp;id=urn:contentItem:5RTY-1871-JCBX-S0T7-00000-00&amp;context=" TargetMode="External" /><Relationship Id="rId741" Type="http://schemas.openxmlformats.org/officeDocument/2006/relationships/hyperlink" Target="https://advance.lexis.com/api/document?collection=cases-ca&amp;id=urn:contentItem:5S2S-H4V1-JC0G-6347-00000-00&amp;context=" TargetMode="External" /><Relationship Id="rId742" Type="http://schemas.openxmlformats.org/officeDocument/2006/relationships/hyperlink" Target="https://advance.lexis.com/api/document?collection=legislation-ca&amp;id=urn:contentItem:5VYK-W9S1-JJ1H-X206-00000-00&amp;context=" TargetMode="External" /><Relationship Id="rId743" Type="http://schemas.openxmlformats.org/officeDocument/2006/relationships/hyperlink" Target="https://advance.lexis.com/api/document?collection=cases-ca&amp;id=urn:contentItem:5F7T-S7N1-JW09-M0TF-00000-00&amp;context=" TargetMode="External" /><Relationship Id="rId744" Type="http://schemas.openxmlformats.org/officeDocument/2006/relationships/hyperlink" Target="https://advance.lexis.com/api/document?collection=cases-ca&amp;id=urn:contentItem:5F8T-N3V1-JTGH-B1GJ-00000-00&amp;context=" TargetMode="External" /><Relationship Id="rId745" Type="http://schemas.openxmlformats.org/officeDocument/2006/relationships/hyperlink" Target="https://advance.lexis.com/api/document?collection=cases-ca&amp;id=urn:contentItem:5F7T-S7M1-JCRC-B1KF-00000-00&amp;context=" TargetMode="External" /><Relationship Id="rId746" Type="http://schemas.openxmlformats.org/officeDocument/2006/relationships/hyperlink" Target="https://advance.lexis.com/api/document?collection=cases-ca&amp;id=urn:contentItem:5F8P-SDN1-F65M-647N-00000-00&amp;context=" TargetMode="External" /><Relationship Id="rId747" Type="http://schemas.openxmlformats.org/officeDocument/2006/relationships/hyperlink" Target="https://advance.lexis.com/api/document?collection=cases-ca&amp;id=urn:contentItem:5F8N-K6W1-JNJT-B4T3-00000-00&amp;context=" TargetMode="External" /><Relationship Id="rId748" Type="http://schemas.openxmlformats.org/officeDocument/2006/relationships/hyperlink" Target="https://advance.lexis.com/api/document?collection=cases-ca&amp;id=urn:contentItem:5F7T-S7J1-JYYX-62C3-00000-00&amp;context=" TargetMode="External" /><Relationship Id="rId749" Type="http://schemas.openxmlformats.org/officeDocument/2006/relationships/hyperlink" Target="https://advance.lexis.com/api/document?collection=cases-ca&amp;id=urn:contentItem:5F16-93C1-F65M-60GK-00000-00&amp;context=" TargetMode="External" /><Relationship Id="rId75" Type="http://schemas.openxmlformats.org/officeDocument/2006/relationships/header" Target="header14.xml" /><Relationship Id="rId750" Type="http://schemas.openxmlformats.org/officeDocument/2006/relationships/hyperlink" Target="https://advance.lexis.com/api/document?collection=cases-ca&amp;id=urn:contentItem:5F7T-S7N1-JGHR-M3F8-00000-00&amp;context=" TargetMode="External" /><Relationship Id="rId751" Type="http://schemas.openxmlformats.org/officeDocument/2006/relationships/hyperlink" Target="https://advance.lexis.com/api/document?collection=cases-ca&amp;id=urn:contentItem:5F7T-S7D1-F7ND-G0RH-00000-00&amp;context=" TargetMode="External" /><Relationship Id="rId752" Type="http://schemas.openxmlformats.org/officeDocument/2006/relationships/hyperlink" Target="https://advance.lexis.com/api/document?collection=cases-ca&amp;id=urn:contentItem:5F16-9301-FD4T-B1R5-00000-00&amp;context=" TargetMode="External" /><Relationship Id="rId753" Type="http://schemas.openxmlformats.org/officeDocument/2006/relationships/hyperlink" Target="https://advance.lexis.com/api/document?collection=cases-ca&amp;id=urn:contentItem:5F7T-S7D1-FCSB-S2SH-00000-00&amp;context=" TargetMode="External" /><Relationship Id="rId754" Type="http://schemas.openxmlformats.org/officeDocument/2006/relationships/hyperlink" Target="https://advance.lexis.com/api/document?collection=cases-ca&amp;id=urn:contentItem:5F7T-S701-JK4W-M175-00000-00&amp;context=" TargetMode="External" /><Relationship Id="rId755" Type="http://schemas.openxmlformats.org/officeDocument/2006/relationships/hyperlink" Target="https://advance.lexis.com/api/document?collection=cases-ca&amp;id=urn:contentItem:5F8P-SCJ1-FGJR-23NG-00000-00&amp;context=" TargetMode="External" /><Relationship Id="rId756" Type="http://schemas.openxmlformats.org/officeDocument/2006/relationships/hyperlink" Target="https://advance.lexis.com/api/document?collection=cases-ca&amp;id=urn:contentItem:5F8T-N3R1-JJSF-22G3-00000-00&amp;context=" TargetMode="External" /><Relationship Id="rId757" Type="http://schemas.openxmlformats.org/officeDocument/2006/relationships/hyperlink" Target="https://advance.lexis.com/api/document?collection=cases-ca&amp;id=urn:contentItem:5F7T-S7N1-JC5P-G214-00000-00&amp;context=" TargetMode="External" /><Relationship Id="rId758" Type="http://schemas.openxmlformats.org/officeDocument/2006/relationships/hyperlink" Target="https://advance.lexis.com/api/document?collection=cases-ca&amp;id=urn:contentItem:5F8P-SF21-FBV7-B2NC-00000-00&amp;context=" TargetMode="External" /><Relationship Id="rId759" Type="http://schemas.openxmlformats.org/officeDocument/2006/relationships/hyperlink" Target="https://advance.lexis.com/api/document?collection=cases-ca&amp;id=urn:contentItem:5F8P-SFJ1-F4GK-M2V3-00000-00&amp;context=" TargetMode="External" /><Relationship Id="rId76" Type="http://schemas.openxmlformats.org/officeDocument/2006/relationships/footer" Target="footer13.xml" /><Relationship Id="rId760" Type="http://schemas.openxmlformats.org/officeDocument/2006/relationships/hyperlink" Target="https://advance.lexis.com/api/document?collection=cases-ca&amp;id=urn:contentItem:5F8P-SD61-JWJ0-G1XR-00000-00&amp;context=" TargetMode="External" /><Relationship Id="rId761" Type="http://schemas.openxmlformats.org/officeDocument/2006/relationships/hyperlink" Target="https://advance.lexis.com/api/document?collection=cases-ca&amp;id=urn:contentItem:5F8T-N3V1-JTGH-B19N-00000-00&amp;context=" TargetMode="External" /><Relationship Id="rId762" Type="http://schemas.openxmlformats.org/officeDocument/2006/relationships/hyperlink" Target="https://advance.lexis.com/api/document?collection=cases-ca&amp;id=urn:contentItem:5JN4-RJY1-JJ1H-X0D5-00000-00&amp;context=" TargetMode="External" /><Relationship Id="rId763" Type="http://schemas.openxmlformats.org/officeDocument/2006/relationships/hyperlink" Target="https://advance.lexis.com/api/document?collection=cases-ca&amp;id=urn:contentItem:5F8P-SF61-JBT7-X286-00000-00&amp;context=" TargetMode="External" /><Relationship Id="rId764" Type="http://schemas.openxmlformats.org/officeDocument/2006/relationships/hyperlink" Target="https://advance.lexis.com/api/document?collection=cases-ca&amp;id=urn:contentItem:5F8T-N3V1-FC1F-M495-00000-00&amp;context=" TargetMode="External" /><Relationship Id="rId765" Type="http://schemas.openxmlformats.org/officeDocument/2006/relationships/hyperlink" Target="https://advance.lexis.com/api/document?collection=cases-ca&amp;id=urn:contentItem:5F8T-N3R1-JNS1-M0WF-00000-00&amp;context=" TargetMode="External" /><Relationship Id="rId766" Type="http://schemas.openxmlformats.org/officeDocument/2006/relationships/hyperlink" Target="https://advance.lexis.com/api/document?collection=cases-ca&amp;id=urn:contentItem:5HBF-Y861-FGRY-B2CX-00000-00&amp;context=" TargetMode="External" /><Relationship Id="rId767" Type="http://schemas.openxmlformats.org/officeDocument/2006/relationships/hyperlink" Target="https://advance.lexis.com/api/document?collection=cases-ca&amp;id=urn:contentItem:5F8T-N3V1-FC1F-M4DF-00000-00&amp;context=" TargetMode="External" /><Relationship Id="rId768" Type="http://schemas.openxmlformats.org/officeDocument/2006/relationships/hyperlink" Target="https://advance.lexis.com/api/document?collection=legislation-ca&amp;id=urn:contentItem:5VYK-WB61-JSRM-652T-00000-00&amp;context=" TargetMode="External" /><Relationship Id="rId769" Type="http://schemas.openxmlformats.org/officeDocument/2006/relationships/hyperlink" Target="https://advance.lexis.com/api/document?collection=legislation-ca&amp;id=urn:contentItem:5YBS-X1X1-JTGH-B00S-00000-00&amp;context=" TargetMode="External" /><Relationship Id="rId77" Type="http://schemas.openxmlformats.org/officeDocument/2006/relationships/footer" Target="footer14.xml" /><Relationship Id="rId770" Type="http://schemas.openxmlformats.org/officeDocument/2006/relationships/hyperlink" Target="https://advance.lexis.com/api/document?collection=cases-ca&amp;id=urn:contentItem:5F7H-KW51-JP4G-60F6-00000-00&amp;context=" TargetMode="External" /><Relationship Id="rId771" Type="http://schemas.openxmlformats.org/officeDocument/2006/relationships/hyperlink" Target="https://advance.lexis.com/api/document?collection=cases-ca&amp;id=urn:contentItem:5F8N-K6X1-JXNB-62RJ-00000-00&amp;context=" TargetMode="External" /><Relationship Id="rId772" Type="http://schemas.openxmlformats.org/officeDocument/2006/relationships/hyperlink" Target="https://advance.lexis.com/api/document?collection=cases-ca&amp;id=urn:contentItem:5F8T-N3V1-JF75-M3CS-00000-00&amp;context=" TargetMode="External" /><Relationship Id="rId773" Type="http://schemas.openxmlformats.org/officeDocument/2006/relationships/hyperlink" Target="https://advance.lexis.com/api/document?collection=cases-ca&amp;id=urn:contentItem:5F8T-N3T1-JJSF-237R-00000-00&amp;context=" TargetMode="External" /><Relationship Id="rId774" Type="http://schemas.openxmlformats.org/officeDocument/2006/relationships/hyperlink" Target="https://advance.lexis.com/api/document?collection=cases-ca&amp;id=urn:contentItem:5F8T-N3V1-JFKM-604N-00000-00&amp;context=" TargetMode="External" /><Relationship Id="rId775" Type="http://schemas.openxmlformats.org/officeDocument/2006/relationships/hyperlink" Target="https://advance.lexis.com/api/document?collection=cases-ca&amp;id=urn:contentItem:5F7T-XPW1-F65M-62S0-00000-00&amp;context=" TargetMode="External" /><Relationship Id="rId776" Type="http://schemas.openxmlformats.org/officeDocument/2006/relationships/hyperlink" Target="https://advance.lexis.com/api/document?collection=cases-ca&amp;id=urn:contentItem:5F8T-N3V1-JF75-M3M7-00000-00&amp;context=" TargetMode="External" /><Relationship Id="rId777" Type="http://schemas.openxmlformats.org/officeDocument/2006/relationships/hyperlink" Target="https://advance.lexis.com/api/document?collection=cases-ca&amp;id=urn:contentItem:5F8P-SDF1-FCYK-229M-00000-00&amp;context=" TargetMode="External" /><Relationship Id="rId778" Type="http://schemas.openxmlformats.org/officeDocument/2006/relationships/hyperlink" Target="https://advance.lexis.com/api/document?collection=cases-ca&amp;id=urn:contentItem:5F8P-SD51-F1H1-23WK-00000-00&amp;context=" TargetMode="External" /><Relationship Id="rId779" Type="http://schemas.openxmlformats.org/officeDocument/2006/relationships/hyperlink" Target="https://advance.lexis.com/api/document?collection=cases-ca&amp;id=urn:contentItem:5F8T-N3T1-JFKM-654V-00000-00&amp;context=" TargetMode="External" /><Relationship Id="rId78" Type="http://schemas.openxmlformats.org/officeDocument/2006/relationships/header" Target="header15.xml" /><Relationship Id="rId780" Type="http://schemas.openxmlformats.org/officeDocument/2006/relationships/hyperlink" Target="https://advance.lexis.com/api/document?collection=cases-ca&amp;id=urn:contentItem:5F8P-SDV1-JG02-S112-00000-00&amp;context=" TargetMode="External" /><Relationship Id="rId781" Type="http://schemas.openxmlformats.org/officeDocument/2006/relationships/hyperlink" Target="https://advance.lexis.com/api/document?collection=cases-ca&amp;id=urn:contentItem:5F7H-SCP1-F2TK-2138-00000-00&amp;context=" TargetMode="External" /><Relationship Id="rId782" Type="http://schemas.openxmlformats.org/officeDocument/2006/relationships/hyperlink" Target="https://advance.lexis.com/api/document?collection=cases-ca&amp;id=urn:contentItem:5F7H-SCP1-JFDC-X1N3-00000-00&amp;context=" TargetMode="External" /><Relationship Id="rId783" Type="http://schemas.openxmlformats.org/officeDocument/2006/relationships/hyperlink" Target="https://advance.lexis.com/api/document?collection=cases-ca&amp;id=urn:contentItem:5F8P-SDM1-JNS1-M03S-00000-00&amp;context=" TargetMode="External" /><Relationship Id="rId784" Type="http://schemas.openxmlformats.org/officeDocument/2006/relationships/hyperlink" Target="https://advance.lexis.com/api/document?collection=cases-ca&amp;id=urn:contentItem:5F16-9361-F4GK-M39K-00000-00&amp;context=" TargetMode="External" /><Relationship Id="rId785" Type="http://schemas.openxmlformats.org/officeDocument/2006/relationships/hyperlink" Target="https://advance.lexis.com/api/document?collection=cases-ca&amp;id=urn:contentItem:5F8P-SDC1-FK0M-S42X-00000-00&amp;context=" TargetMode="External" /><Relationship Id="rId786" Type="http://schemas.openxmlformats.org/officeDocument/2006/relationships/hyperlink" Target="https://advance.lexis.com/api/document?collection=cases-ca&amp;id=urn:contentItem:5F8N-K701-JYYX-63K4-00000-00&amp;context=" TargetMode="External" /><Relationship Id="rId787" Type="http://schemas.openxmlformats.org/officeDocument/2006/relationships/hyperlink" Target="https://advance.lexis.com/api/document?collection=cases-ca&amp;id=urn:contentItem:5GC0-VTM1-JN14-G1PG-00000-00&amp;context=" TargetMode="External" /><Relationship Id="rId788" Type="http://schemas.openxmlformats.org/officeDocument/2006/relationships/hyperlink" Target="https://advance.lexis.com/api/document?collection=cases-ca&amp;id=urn:contentItem:5F8P-SDV1-JSC5-M157-00000-00&amp;context=" TargetMode="External" /><Relationship Id="rId789" Type="http://schemas.openxmlformats.org/officeDocument/2006/relationships/hyperlink" Target="https://advance.lexis.com/api/document?collection=cases-ca&amp;id=urn:contentItem:5F8P-SDS1-JWR6-S3G1-00000-00&amp;context=" TargetMode="External" /><Relationship Id="rId79" Type="http://schemas.openxmlformats.org/officeDocument/2006/relationships/footer" Target="footer15.xml" /><Relationship Id="rId790" Type="http://schemas.openxmlformats.org/officeDocument/2006/relationships/hyperlink" Target="https://advance.lexis.com/api/document?collection=cases-ca&amp;id=urn:contentItem:5F8T-N3V1-JF75-M3K1-00000-00&amp;context=" TargetMode="External" /><Relationship Id="rId791" Type="http://schemas.openxmlformats.org/officeDocument/2006/relationships/hyperlink" Target="https://advance.lexis.com/api/document?collection=cases-ca&amp;id=urn:contentItem:5J70-PKM1-JPGX-S3X6-00000-00&amp;context=" TargetMode="External" /><Relationship Id="rId792" Type="http://schemas.openxmlformats.org/officeDocument/2006/relationships/hyperlink" Target="https://advance.lexis.com/api/document?collection=cases-ca&amp;id=urn:contentItem:5F81-YGK1-F8D9-M1PK-00000-00&amp;context=" TargetMode="External" /><Relationship Id="rId793" Type="http://schemas.openxmlformats.org/officeDocument/2006/relationships/hyperlink" Target="https://advance.lexis.com/api/document?collection=cases-ca&amp;id=urn:contentItem:5F8P-JG81-JS5Y-B3GP-00000-00&amp;context=" TargetMode="External" /><Relationship Id="rId794" Type="http://schemas.openxmlformats.org/officeDocument/2006/relationships/hyperlink" Target="https://advance.lexis.com/api/document?collection=cases-ca&amp;id=urn:contentItem:5F8P-SD61-JWR6-S2PM-00000-00&amp;context=" TargetMode="External" /><Relationship Id="rId795" Type="http://schemas.openxmlformats.org/officeDocument/2006/relationships/hyperlink" Target="https://advance.lexis.com/api/document?collection=cases-ca&amp;id=urn:contentItem:5F8P-SDC1-FK0M-S3P3-00000-00&amp;context=" TargetMode="External" /><Relationship Id="rId796" Type="http://schemas.openxmlformats.org/officeDocument/2006/relationships/hyperlink" Target="https://advance.lexis.com/api/document?collection=cases-ca&amp;id=urn:contentItem:5F8T-N3T1-JJSF-23P9-00000-00&amp;context=" TargetMode="External" /><Relationship Id="rId797" Type="http://schemas.openxmlformats.org/officeDocument/2006/relationships/hyperlink" Target="https://advance.lexis.com/api/document?collection=cases-ca&amp;id=urn:contentItem:5F8P-SDR1-FFTT-X2SV-00000-00&amp;context=" TargetMode="External" /><Relationship Id="rId798" Type="http://schemas.openxmlformats.org/officeDocument/2006/relationships/hyperlink" Target="https://advance.lexis.com/api/document?collection=cases-ca&amp;id=urn:contentItem:5F7T-S7C1-JS0R-227W-00000-00&amp;context=" TargetMode="External" /><Relationship Id="rId799" Type="http://schemas.openxmlformats.org/officeDocument/2006/relationships/hyperlink" Target="https://advance.lexis.com/api/document?collection=cases-ca&amp;id=urn:contentItem:5F2P-NNM1-JCRC-B52T-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G1-JNY7-X41W-00000-00&amp;context=" TargetMode="External" /><Relationship Id="rId800" Type="http://schemas.openxmlformats.org/officeDocument/2006/relationships/hyperlink" Target="https://advance.lexis.com/api/document?collection=cases-ca&amp;id=urn:contentItem:5F8T-N3V1-FC1F-M4BS-00000-00&amp;context=" TargetMode="External" /><Relationship Id="rId801" Type="http://schemas.openxmlformats.org/officeDocument/2006/relationships/hyperlink" Target="https://advance.lexis.com/api/document?collection=cases-ca&amp;id=urn:contentItem:5F7T-S7N1-JGHR-M37T-00000-00&amp;context=" TargetMode="External" /><Relationship Id="rId802" Type="http://schemas.openxmlformats.org/officeDocument/2006/relationships/hyperlink" Target="https://advance.lexis.com/api/document?collection=cases-ca&amp;id=urn:contentItem:5F16-93D1-JCRC-B24W-00000-00&amp;context=" TargetMode="External" /><Relationship Id="rId803" Type="http://schemas.openxmlformats.org/officeDocument/2006/relationships/hyperlink" Target="https://advance.lexis.com/api/document?collection=cases-ca&amp;id=urn:contentItem:5F8T-N3V1-JFKM-607N-00000-00&amp;context=" TargetMode="External" /><Relationship Id="rId804" Type="http://schemas.openxmlformats.org/officeDocument/2006/relationships/hyperlink" Target="https://advance.lexis.com/api/document?collection=cases-ca&amp;id=urn:contentItem:5F8T-N3V1-JTGH-B1HX-00000-00&amp;context=" TargetMode="External" /><Relationship Id="rId805" Type="http://schemas.openxmlformats.org/officeDocument/2006/relationships/header" Target="header100.xml" /><Relationship Id="rId806" Type="http://schemas.openxmlformats.org/officeDocument/2006/relationships/header" Target="header101.xml" /><Relationship Id="rId807" Type="http://schemas.openxmlformats.org/officeDocument/2006/relationships/footer" Target="footer100.xml" /><Relationship Id="rId808" Type="http://schemas.openxmlformats.org/officeDocument/2006/relationships/footer" Target="footer101.xml" /><Relationship Id="rId809" Type="http://schemas.openxmlformats.org/officeDocument/2006/relationships/header" Target="header102.xml" /><Relationship Id="rId81" Type="http://schemas.openxmlformats.org/officeDocument/2006/relationships/header" Target="header16.xml" /><Relationship Id="rId810" Type="http://schemas.openxmlformats.org/officeDocument/2006/relationships/footer" Target="footer102.xml" /><Relationship Id="rId811" Type="http://schemas.openxmlformats.org/officeDocument/2006/relationships/hyperlink" Target="https://advance.lexis.com/api/document?collection=cases-ca&amp;id=urn:contentItem:5YC6-MPH1-FGJR-2370-00000-00&amp;context=" TargetMode="External" /><Relationship Id="rId812" Type="http://schemas.openxmlformats.org/officeDocument/2006/relationships/hyperlink" Target="https://advance.lexis.com/api/document?collection=cases-ca&amp;id=urn:contentItem:5WX1-B7V1-JWR6-S3N4-00000-00&amp;context=" TargetMode="External" /><Relationship Id="rId813" Type="http://schemas.openxmlformats.org/officeDocument/2006/relationships/hyperlink" Target="https://advance.lexis.com/api/document?collection=cases-ca&amp;id=urn:contentItem:5GCC-XVC1-JSRM-60PD-00000-00&amp;context=" TargetMode="External" /><Relationship Id="rId814" Type="http://schemas.openxmlformats.org/officeDocument/2006/relationships/hyperlink" Target="https://advance.lexis.com/api/document?collection=cases-ca&amp;id=urn:contentItem:5F7T-S6V1-JNS1-M0BG-00000-00&amp;context=" TargetMode="External" /><Relationship Id="rId815" Type="http://schemas.openxmlformats.org/officeDocument/2006/relationships/hyperlink" Target="https://advance.lexis.com/api/document?collection=cases-ca&amp;id=urn:contentItem:5PVF-9W91-JP4G-63P6-00000-00&amp;context=" TargetMode="External" /><Relationship Id="rId816" Type="http://schemas.openxmlformats.org/officeDocument/2006/relationships/hyperlink" Target="https://advance.lexis.com/api/document?collection=cases-ca&amp;id=urn:contentItem:5F7T-S6T1-FJTD-G1NJ-00000-00&amp;context=" TargetMode="External" /><Relationship Id="rId817" Type="http://schemas.openxmlformats.org/officeDocument/2006/relationships/hyperlink" Target="https://advance.lexis.com/api/document?collection=cases-ca&amp;id=urn:contentItem:5F7T-S7P1-JCRC-B2HW-00000-00&amp;context=" TargetMode="External" /><Relationship Id="rId818" Type="http://schemas.openxmlformats.org/officeDocument/2006/relationships/hyperlink" Target="https://advance.lexis.com/api/document?collection=cases-ca&amp;id=urn:contentItem:5TWR-3431-JKB3-X2D5-00000-00&amp;context=" TargetMode="External" /><Relationship Id="rId819" Type="http://schemas.openxmlformats.org/officeDocument/2006/relationships/hyperlink" Target="https://advance.lexis.com/api/document?collection=cases-ca&amp;id=urn:contentItem:5F7T-S7G1-JN6B-S1B0-00000-00&amp;context=" TargetMode="External" /><Relationship Id="rId82" Type="http://schemas.openxmlformats.org/officeDocument/2006/relationships/header" Target="header17.xml" /><Relationship Id="rId820" Type="http://schemas.openxmlformats.org/officeDocument/2006/relationships/hyperlink" Target="https://advance.lexis.com/api/document?collection=cases-ca&amp;id=urn:contentItem:5F7T-S7N1-F06F-24CV-00000-00&amp;context=" TargetMode="External" /><Relationship Id="rId821" Type="http://schemas.openxmlformats.org/officeDocument/2006/relationships/image" Target="media/image1.jpeg" /><Relationship Id="rId822" Type="http://schemas.openxmlformats.org/officeDocument/2006/relationships/hyperlink" Target="https://advance.lexis.com/api/document?collection=cases-ca&amp;id=urn:contentItem:5F7T-S781-JSC5-M4GD-00000-00&amp;context=" TargetMode="External" /><Relationship Id="rId823" Type="http://schemas.openxmlformats.org/officeDocument/2006/relationships/hyperlink" Target="https://advance.lexis.com/api/document?collection=cases-ca&amp;id=urn:contentItem:5F7T-S7N1-JGHR-M3BY-00000-00&amp;context=" TargetMode="External" /><Relationship Id="rId824" Type="http://schemas.openxmlformats.org/officeDocument/2006/relationships/hyperlink" Target="https://advance.lexis.com/api/document?collection=cases-ca&amp;id=urn:contentItem:5S4W-RF21-JC0G-63PH-00000-00&amp;context=" TargetMode="External" /><Relationship Id="rId825" Type="http://schemas.openxmlformats.org/officeDocument/2006/relationships/header" Target="header103.xml" /><Relationship Id="rId826" Type="http://schemas.openxmlformats.org/officeDocument/2006/relationships/header" Target="header104.xml" /><Relationship Id="rId827" Type="http://schemas.openxmlformats.org/officeDocument/2006/relationships/footer" Target="footer103.xml" /><Relationship Id="rId828" Type="http://schemas.openxmlformats.org/officeDocument/2006/relationships/footer" Target="footer104.xml" /><Relationship Id="rId829" Type="http://schemas.openxmlformats.org/officeDocument/2006/relationships/header" Target="header105.xml" /><Relationship Id="rId83" Type="http://schemas.openxmlformats.org/officeDocument/2006/relationships/footer" Target="footer16.xml" /><Relationship Id="rId830" Type="http://schemas.openxmlformats.org/officeDocument/2006/relationships/footer" Target="footer105.xml" /><Relationship Id="rId831" Type="http://schemas.openxmlformats.org/officeDocument/2006/relationships/hyperlink" Target="https://advance.lexis.com/api/document?collection=cases-ca&amp;id=urn:contentItem:5F7T-S7D1-F7ND-G0MN-00000-00&amp;context=" TargetMode="External" /><Relationship Id="rId832" Type="http://schemas.openxmlformats.org/officeDocument/2006/relationships/hyperlink" Target="https://advance.lexis.com/api/document?collection=legislation-ca&amp;id=urn:contentItem:5VYK-WB41-FGY5-M042-00000-00&amp;context=" TargetMode="External" /><Relationship Id="rId833" Type="http://schemas.openxmlformats.org/officeDocument/2006/relationships/hyperlink" Target="https://advance.lexis.com/api/document?collection=cases-ca&amp;id=urn:contentItem:5F7T-S771-F81W-22NN-00000-00&amp;context=" TargetMode="External" /><Relationship Id="rId834" Type="http://schemas.openxmlformats.org/officeDocument/2006/relationships/hyperlink" Target="https://advance.lexis.com/api/document?collection=cases-ca&amp;id=urn:contentItem:5F8T-N3T1-JJSF-23F8-00000-00&amp;context=" TargetMode="External" /><Relationship Id="rId835" Type="http://schemas.openxmlformats.org/officeDocument/2006/relationships/hyperlink" Target="https://advance.lexis.com/api/document?collection=cases-ca&amp;id=urn:contentItem:5F8T-N3V1-JF75-M3FN-00000-00&amp;context=" TargetMode="External" /><Relationship Id="rId836" Type="http://schemas.openxmlformats.org/officeDocument/2006/relationships/hyperlink" Target="https://advance.lexis.com/api/document?collection=cases-ca&amp;id=urn:contentItem:5F7T-S7C1-F30T-B2GP-00000-00&amp;context=" TargetMode="External" /><Relationship Id="rId837" Type="http://schemas.openxmlformats.org/officeDocument/2006/relationships/hyperlink" Target="https://advance.lexis.com/api/document?collection=cases-ca&amp;id=urn:contentItem:5F8T-N3T1-JJSF-233X-00000-00&amp;context=" TargetMode="External" /><Relationship Id="rId838" Type="http://schemas.openxmlformats.org/officeDocument/2006/relationships/hyperlink" Target="https://advance.lexis.com/api/document?collection=cases-ca&amp;id=urn:contentItem:5F8T-N3V1-JTGH-B0Y8-00000-00&amp;context=" TargetMode="External" /><Relationship Id="rId839" Type="http://schemas.openxmlformats.org/officeDocument/2006/relationships/hyperlink" Target="https://advance.lexis.com/api/document?collection=cases-ca&amp;id=urn:contentItem:5F7T-S6X1-FJDY-X1J8-00000-00&amp;context=" TargetMode="External" /><Relationship Id="rId84" Type="http://schemas.openxmlformats.org/officeDocument/2006/relationships/footer" Target="footer17.xml" /><Relationship Id="rId840" Type="http://schemas.openxmlformats.org/officeDocument/2006/relationships/hyperlink" Target="https://advance.lexis.com/api/document?collection=cases-ca&amp;id=urn:contentItem:5F7T-S761-FFMK-M0YH-00000-00&amp;context=" TargetMode="External" /><Relationship Id="rId841" Type="http://schemas.openxmlformats.org/officeDocument/2006/relationships/hyperlink" Target="https://advance.lexis.com/api/document?collection=cases-ca&amp;id=urn:contentItem:5F8T-N3T1-JFKM-6519-00000-00&amp;context=" TargetMode="External" /><Relationship Id="rId842" Type="http://schemas.openxmlformats.org/officeDocument/2006/relationships/hyperlink" Target="https://advance.lexis.com/api/document?collection=cases-ca&amp;id=urn:contentItem:5F8T-N3V1-JFKM-608J-00000-00&amp;context=" TargetMode="External" /><Relationship Id="rId843" Type="http://schemas.openxmlformats.org/officeDocument/2006/relationships/hyperlink" Target="https://advance.lexis.com/api/document?collection=cases-ca&amp;id=urn:contentItem:5F7T-S761-JX8W-M2NN-00000-00&amp;context=" TargetMode="External" /><Relationship Id="rId844" Type="http://schemas.openxmlformats.org/officeDocument/2006/relationships/hyperlink" Target="https://advance.lexis.com/api/document?collection=cases-ca&amp;id=urn:contentItem:5F8T-N3V1-JTGH-B0Y9-00000-00&amp;context=" TargetMode="External" /><Relationship Id="rId845" Type="http://schemas.openxmlformats.org/officeDocument/2006/relationships/header" Target="header106.xml" /><Relationship Id="rId846" Type="http://schemas.openxmlformats.org/officeDocument/2006/relationships/header" Target="header107.xml" /><Relationship Id="rId847" Type="http://schemas.openxmlformats.org/officeDocument/2006/relationships/footer" Target="footer106.xml" /><Relationship Id="rId848" Type="http://schemas.openxmlformats.org/officeDocument/2006/relationships/footer" Target="footer107.xml" /><Relationship Id="rId849" Type="http://schemas.openxmlformats.org/officeDocument/2006/relationships/header" Target="header108.xml" /><Relationship Id="rId85" Type="http://schemas.openxmlformats.org/officeDocument/2006/relationships/header" Target="header18.xml" /><Relationship Id="rId850" Type="http://schemas.openxmlformats.org/officeDocument/2006/relationships/footer" Target="footer108.xml" /><Relationship Id="rId851" Type="http://schemas.openxmlformats.org/officeDocument/2006/relationships/hyperlink" Target="https://advance.lexis.com/api/document?collection=cases-ca&amp;id=urn:contentItem:5F7T-S7D1-F7ND-G076-00000-00&amp;context=" TargetMode="External" /><Relationship Id="rId852" Type="http://schemas.openxmlformats.org/officeDocument/2006/relationships/hyperlink" Target="https://advance.lexis.com/api/document?collection=cases-ca&amp;id=urn:contentItem:5F8T-N3T1-JJSF-23BN-00000-00&amp;context=" TargetMode="External" /><Relationship Id="rId853" Type="http://schemas.openxmlformats.org/officeDocument/2006/relationships/hyperlink" Target="https://advance.lexis.com/api/document?collection=cases-ca&amp;id=urn:contentItem:5F7T-S6T1-F8KH-X0MT-00000-00&amp;context=" TargetMode="External" /><Relationship Id="rId854" Type="http://schemas.openxmlformats.org/officeDocument/2006/relationships/hyperlink" Target="https://advance.lexis.com/api/document?collection=cases-ca&amp;id=urn:contentItem:5F7T-S6X1-FBN1-20V1-00000-00&amp;context=" TargetMode="External" /><Relationship Id="rId855" Type="http://schemas.openxmlformats.org/officeDocument/2006/relationships/hyperlink" Target="https://advance.lexis.com/api/document?collection=cases-ca&amp;id=urn:contentItem:5F7T-S701-JK4W-M0N4-00000-00&amp;context=" TargetMode="External" /><Relationship Id="rId856" Type="http://schemas.openxmlformats.org/officeDocument/2006/relationships/hyperlink" Target="https://advance.lexis.com/api/document?collection=cases-ca&amp;id=urn:contentItem:5F7T-S711-JC0G-62YB-00000-00&amp;context=" TargetMode="External" /><Relationship Id="rId857" Type="http://schemas.openxmlformats.org/officeDocument/2006/relationships/hyperlink" Target="https://advance.lexis.com/api/document?collection=cases-ca&amp;id=urn:contentItem:5F7T-S6T1-JTNR-M2VP-00000-00&amp;context=" TargetMode="External" /><Relationship Id="rId858" Type="http://schemas.openxmlformats.org/officeDocument/2006/relationships/hyperlink" Target="https://advance.lexis.com/api/document?collection=cases-ca&amp;id=urn:contentItem:5F7T-S7B1-FH4C-X37B-00000-00&amp;context=" TargetMode="External" /><Relationship Id="rId859" Type="http://schemas.openxmlformats.org/officeDocument/2006/relationships/hyperlink" Target="https://advance.lexis.com/api/document?collection=cases-ca&amp;id=urn:contentItem:5F7T-S6S1-FFTT-X0GX-00000-00&amp;context=" TargetMode="External" /><Relationship Id="rId86" Type="http://schemas.openxmlformats.org/officeDocument/2006/relationships/footer" Target="footer18.xml" /><Relationship Id="rId860" Type="http://schemas.openxmlformats.org/officeDocument/2006/relationships/hyperlink" Target="https://advance.lexis.com/api/document?collection=cases-ca&amp;id=urn:contentItem:5F7T-S7C1-F7VM-S3DB-00000-00&amp;context=" TargetMode="External" /><Relationship Id="rId861" Type="http://schemas.openxmlformats.org/officeDocument/2006/relationships/header" Target="header109.xml" /><Relationship Id="rId862" Type="http://schemas.openxmlformats.org/officeDocument/2006/relationships/header" Target="header110.xml" /><Relationship Id="rId863" Type="http://schemas.openxmlformats.org/officeDocument/2006/relationships/footer" Target="footer109.xml" /><Relationship Id="rId864" Type="http://schemas.openxmlformats.org/officeDocument/2006/relationships/footer" Target="footer110.xml" /><Relationship Id="rId865" Type="http://schemas.openxmlformats.org/officeDocument/2006/relationships/header" Target="header111.xml" /><Relationship Id="rId866" Type="http://schemas.openxmlformats.org/officeDocument/2006/relationships/footer" Target="footer111.xml" /><Relationship Id="rId867" Type="http://schemas.openxmlformats.org/officeDocument/2006/relationships/hyperlink" Target="https://advance.lexis.com/api/document?collection=cases-ca&amp;id=urn:contentItem:5F7T-S7B1-F7ND-G521-00000-00&amp;context=" TargetMode="External" /><Relationship Id="rId868" Type="http://schemas.openxmlformats.org/officeDocument/2006/relationships/hyperlink" Target="https://advance.lexis.com/api/document?collection=cases-ca&amp;id=urn:contentItem:5F7T-S751-JBM1-M273-00000-00&amp;context=" TargetMode="External" /><Relationship Id="rId869" Type="http://schemas.openxmlformats.org/officeDocument/2006/relationships/hyperlink" Target="https://advance.lexis.com/api/document?collection=cases-ca&amp;id=urn:contentItem:5F7T-S771-JSJC-X03F-00000-00&amp;context=" TargetMode="External" /><Relationship Id="rId87" Type="http://schemas.openxmlformats.org/officeDocument/2006/relationships/hyperlink" Target="https://advance.lexis.com/api/document?collection=cases-ca&amp;id=urn:contentItem:5F7T-S771-F81W-22D2-00000-00&amp;context=" TargetMode="External" /><Relationship Id="rId870" Type="http://schemas.openxmlformats.org/officeDocument/2006/relationships/hyperlink" Target="https://advance.lexis.com/api/document?collection=cases-ca&amp;id=urn:contentItem:5F7T-S731-DY33-B0TG-00000-00&amp;context=" TargetMode="External" /><Relationship Id="rId871" Type="http://schemas.openxmlformats.org/officeDocument/2006/relationships/hyperlink" Target="https://advance.lexis.com/api/document?collection=cases-ca&amp;id=urn:contentItem:5F8T-N3V1-JF75-M3CD-00000-00&amp;context=" TargetMode="External" /><Relationship Id="rId872" Type="http://schemas.openxmlformats.org/officeDocument/2006/relationships/hyperlink" Target="https://advance.lexis.com/api/document?collection=cases-ca&amp;id=urn:contentItem:5F7T-S781-JC5P-G1JF-00000-00&amp;context=" TargetMode="External" /><Relationship Id="rId873" Type="http://schemas.openxmlformats.org/officeDocument/2006/relationships/header" Target="header112.xml" /><Relationship Id="rId874" Type="http://schemas.openxmlformats.org/officeDocument/2006/relationships/header" Target="header113.xml" /><Relationship Id="rId875" Type="http://schemas.openxmlformats.org/officeDocument/2006/relationships/footer" Target="footer112.xml" /><Relationship Id="rId876" Type="http://schemas.openxmlformats.org/officeDocument/2006/relationships/footer" Target="footer113.xml" /><Relationship Id="rId877" Type="http://schemas.openxmlformats.org/officeDocument/2006/relationships/header" Target="header114.xml" /><Relationship Id="rId878" Type="http://schemas.openxmlformats.org/officeDocument/2006/relationships/footer" Target="footer114.xml" /><Relationship Id="rId879" Type="http://schemas.openxmlformats.org/officeDocument/2006/relationships/hyperlink" Target="https://advance.lexis.com/api/document?collection=cases-ca&amp;id=urn:contentItem:5F7T-S781-FH4C-X2RV-00000-00&amp;context=" TargetMode="External" /><Relationship Id="rId88" Type="http://schemas.openxmlformats.org/officeDocument/2006/relationships/hyperlink" Target="https://advance.lexis.com/api/document?collection=legislation-ca&amp;id=urn:contentItem:5WC4-20F1-K0HK-22B8-00000-00&amp;context=" TargetMode="External" /><Relationship Id="rId880" Type="http://schemas.openxmlformats.org/officeDocument/2006/relationships/hyperlink" Target="https://advance.lexis.com/api/document?collection=cases-ca&amp;id=urn:contentItem:5F7T-S771-JWBS-61TR-00000-00&amp;context=" TargetMode="External" /><Relationship Id="rId881" Type="http://schemas.openxmlformats.org/officeDocument/2006/relationships/hyperlink" Target="https://advance.lexis.com/api/document?collection=cases-ca&amp;id=urn:contentItem:5F81-VJX1-JYYX-60FY-00000-00&amp;context=" TargetMode="External" /><Relationship Id="rId882" Type="http://schemas.openxmlformats.org/officeDocument/2006/relationships/hyperlink" Target="https://advance.lexis.com/api/document?collection=cases-ca&amp;id=urn:contentItem:5F7T-S711-FJDY-X2X6-00000-00&amp;context=" TargetMode="External" /><Relationship Id="rId883" Type="http://schemas.openxmlformats.org/officeDocument/2006/relationships/hyperlink" Target="https://advance.lexis.com/api/document?collection=cases-ca&amp;id=urn:contentItem:5F7T-S711-F5KY-B0P6-00000-00&amp;context=" TargetMode="External" /><Relationship Id="rId884" Type="http://schemas.openxmlformats.org/officeDocument/2006/relationships/hyperlink" Target="https://advance.lexis.com/api/document?collection=cases-ca&amp;id=urn:contentItem:5F7T-S721-F57G-S14R-00000-00&amp;context=" TargetMode="External" /><Relationship Id="rId885" Type="http://schemas.openxmlformats.org/officeDocument/2006/relationships/hyperlink" Target="https://advance.lexis.com/api/document?collection=cases-ca&amp;id=urn:contentItem:5F7T-S731-FG12-62HS-00000-00&amp;context=" TargetMode="External" /><Relationship Id="rId886" Type="http://schemas.openxmlformats.org/officeDocument/2006/relationships/hyperlink" Target="https://advance.lexis.com/api/document?collection=cases-ca&amp;id=urn:contentItem:5F7T-S761-F81W-2248-00000-00&amp;context=" TargetMode="External" /><Relationship Id="rId887" Type="http://schemas.openxmlformats.org/officeDocument/2006/relationships/hyperlink" Target="https://advance.lexis.com/api/document?collection=cases-ca&amp;id=urn:contentItem:5F7T-S771-JTGH-B178-00000-00&amp;context=" TargetMode="External" /><Relationship Id="rId888" Type="http://schemas.openxmlformats.org/officeDocument/2006/relationships/hyperlink" Target="https://advance.lexis.com/api/document?collection=cases-ca&amp;id=urn:contentItem:5F7T-S751-JG02-S26M-00000-00&amp;context=" TargetMode="External" /><Relationship Id="rId889" Type="http://schemas.openxmlformats.org/officeDocument/2006/relationships/hyperlink" Target="https://advance.lexis.com/api/document?collection=cases-ca&amp;id=urn:contentItem:5F7T-S711-JNS1-M17V-00000-00&amp;context=" TargetMode="External" /><Relationship Id="rId89" Type="http://schemas.openxmlformats.org/officeDocument/2006/relationships/hyperlink" Target="https://advance.lexis.com/api/document?collection=cases-ca&amp;id=urn:contentItem:5F7T-S761-FFMK-M15W-00000-00&amp;context=" TargetMode="External" /><Relationship Id="rId890" Type="http://schemas.openxmlformats.org/officeDocument/2006/relationships/hyperlink" Target="https://advance.lexis.com/api/document?collection=cases-ca&amp;id=urn:contentItem:5F7T-S751-F361-M0RP-00000-00&amp;context=" TargetMode="External" /><Relationship Id="rId891" Type="http://schemas.openxmlformats.org/officeDocument/2006/relationships/hyperlink" Target="https://advance.lexis.com/api/document?collection=cases-ca&amp;id=urn:contentItem:5F7T-S731-F1WF-M231-00000-00&amp;context=" TargetMode="External" /><Relationship Id="rId892" Type="http://schemas.openxmlformats.org/officeDocument/2006/relationships/header" Target="header115.xml" /><Relationship Id="rId893" Type="http://schemas.openxmlformats.org/officeDocument/2006/relationships/header" Target="header116.xml" /><Relationship Id="rId894" Type="http://schemas.openxmlformats.org/officeDocument/2006/relationships/footer" Target="footer115.xml" /><Relationship Id="rId895" Type="http://schemas.openxmlformats.org/officeDocument/2006/relationships/footer" Target="footer116.xml" /><Relationship Id="rId896" Type="http://schemas.openxmlformats.org/officeDocument/2006/relationships/header" Target="header117.xml" /><Relationship Id="rId897" Type="http://schemas.openxmlformats.org/officeDocument/2006/relationships/footer" Target="footer117.xml" /><Relationship Id="rId898" Type="http://schemas.openxmlformats.org/officeDocument/2006/relationships/hyperlink" Target="https://advance.lexis.com/api/document?collection=cases-ca&amp;id=urn:contentItem:5F7T-S7C1-JSRM-616C-00000-00&amp;context=" TargetMode="External" /><Relationship Id="rId899" Type="http://schemas.openxmlformats.org/officeDocument/2006/relationships/hyperlink" Target="https://advance.lexis.com/api/document?collection=cases-ca&amp;id=urn:contentItem:5F7T-S7C1-F4NT-X37W-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61-F7ND-G48N-00000-00&amp;context=" TargetMode="External" /><Relationship Id="rId900" Type="http://schemas.openxmlformats.org/officeDocument/2006/relationships/hyperlink" Target="https://advance.lexis.com/api/document?collection=cases-ca&amp;id=urn:contentItem:5F7T-S761-FGJR-228H-00000-00&amp;context=" TargetMode="External" /><Relationship Id="rId901" Type="http://schemas.openxmlformats.org/officeDocument/2006/relationships/hyperlink" Target="https://advance.lexis.com/api/document?collection=cases-ca&amp;id=urn:contentItem:5F7T-S751-JP4G-618T-00000-00&amp;context=" TargetMode="External" /><Relationship Id="rId902" Type="http://schemas.openxmlformats.org/officeDocument/2006/relationships/hyperlink" Target="https://advance.lexis.com/api/document?collection=cases-ca&amp;id=urn:contentItem:5F7T-S791-JCJ5-2509-00000-00&amp;context=" TargetMode="External" /><Relationship Id="rId903" Type="http://schemas.openxmlformats.org/officeDocument/2006/relationships/hyperlink" Target="https://advance.lexis.com/api/document?collection=cases-ca&amp;id=urn:contentItem:5F7T-S761-JS5Y-B1DW-00000-00&amp;context=" TargetMode="External" /><Relationship Id="rId904" Type="http://schemas.openxmlformats.org/officeDocument/2006/relationships/hyperlink" Target="https://advance.lexis.com/api/document?collection=cases-ca&amp;id=urn:contentItem:5F8T-N3T1-JJSF-2339-00000-00&amp;context=" TargetMode="External" /><Relationship Id="rId905" Type="http://schemas.openxmlformats.org/officeDocument/2006/relationships/hyperlink" Target="https://advance.lexis.com/api/document?collection=cases-ca&amp;id=urn:contentItem:5F7T-S741-F1H1-21JV-00000-00&amp;context=" TargetMode="External" /><Relationship Id="rId906" Type="http://schemas.openxmlformats.org/officeDocument/2006/relationships/hyperlink" Target="https://advance.lexis.com/api/document?collection=cases-ca&amp;id=urn:contentItem:5F7T-S761-JGHR-M2DJ-00000-00&amp;context=" TargetMode="External" /><Relationship Id="rId907" Type="http://schemas.openxmlformats.org/officeDocument/2006/relationships/hyperlink" Target="https://advance.lexis.com/api/document?collection=cases-ca&amp;id=urn:contentItem:5F7T-S781-F7G6-63FJ-00000-00&amp;context=" TargetMode="External" /><Relationship Id="rId908" Type="http://schemas.openxmlformats.org/officeDocument/2006/relationships/hyperlink" Target="https://advance.lexis.com/api/document?collection=cases-ca&amp;id=urn:contentItem:5F7T-S7C1-F4NT-X2WR-00000-00&amp;context=" TargetMode="External" /><Relationship Id="rId909" Type="http://schemas.openxmlformats.org/officeDocument/2006/relationships/hyperlink" Target="https://advance.lexis.com/api/document?collection=cases-ca&amp;id=urn:contentItem:5F8T-N3T1-JJSF-235C-00000-00&amp;context=" TargetMode="External" /><Relationship Id="rId91" Type="http://schemas.openxmlformats.org/officeDocument/2006/relationships/header" Target="header19.xml" /><Relationship Id="rId910" Type="http://schemas.openxmlformats.org/officeDocument/2006/relationships/hyperlink" Target="https://advance.lexis.com/api/document?collection=cases-ca&amp;id=urn:contentItem:5F8T-N3V1-FC1F-M4D3-00000-00&amp;context=" TargetMode="External" /><Relationship Id="rId911" Type="http://schemas.openxmlformats.org/officeDocument/2006/relationships/hyperlink" Target="https://advance.lexis.com/api/document?collection=cases-ca&amp;id=urn:contentItem:5F8T-N3V1-FC1F-M4D6-00000-00&amp;context=" TargetMode="External" /><Relationship Id="rId912" Type="http://schemas.openxmlformats.org/officeDocument/2006/relationships/header" Target="header118.xml" /><Relationship Id="rId913" Type="http://schemas.openxmlformats.org/officeDocument/2006/relationships/header" Target="header119.xml" /><Relationship Id="rId914" Type="http://schemas.openxmlformats.org/officeDocument/2006/relationships/footer" Target="footer118.xml" /><Relationship Id="rId915" Type="http://schemas.openxmlformats.org/officeDocument/2006/relationships/footer" Target="footer119.xml" /><Relationship Id="rId916" Type="http://schemas.openxmlformats.org/officeDocument/2006/relationships/header" Target="header120.xml" /><Relationship Id="rId917" Type="http://schemas.openxmlformats.org/officeDocument/2006/relationships/footer" Target="footer120.xml" /><Relationship Id="rId918" Type="http://schemas.openxmlformats.org/officeDocument/2006/relationships/hyperlink" Target="https://advance.lexis.com/api/document?collection=cases-ca&amp;id=urn:contentItem:5HJF-6CT1-JJK6-S1TN-00000-00&amp;context=" TargetMode="External" /><Relationship Id="rId919" Type="http://schemas.openxmlformats.org/officeDocument/2006/relationships/hyperlink" Target="https://advance.lexis.com/api/document?collection=cases-ca&amp;id=urn:contentItem:5F7T-S7P1-F2TK-23JJ-00000-00&amp;context=" TargetMode="External" /><Relationship Id="rId92" Type="http://schemas.openxmlformats.org/officeDocument/2006/relationships/header" Target="header20.xml" /><Relationship Id="rId920" Type="http://schemas.openxmlformats.org/officeDocument/2006/relationships/hyperlink" Target="https://advance.lexis.com/api/document?collection=cases-ca&amp;id=urn:contentItem:5F7T-S7M1-JFSV-G3NB-00000-00&amp;context=" TargetMode="External" /><Relationship Id="rId921" Type="http://schemas.openxmlformats.org/officeDocument/2006/relationships/hyperlink" Target="https://advance.lexis.com/api/document?collection=cases-ca&amp;id=urn:contentItem:5F7T-S741-F528-G2JT-00000-00&amp;context=" TargetMode="External" /><Relationship Id="rId922" Type="http://schemas.openxmlformats.org/officeDocument/2006/relationships/hyperlink" Target="https://advance.lexis.com/api/document?collection=cases-ca&amp;id=urn:contentItem:5F7T-S7M1-JPP5-22M6-00000-00&amp;context=" TargetMode="External" /><Relationship Id="rId923" Type="http://schemas.openxmlformats.org/officeDocument/2006/relationships/hyperlink" Target="https://advance.lexis.com/api/document?collection=cases-ca&amp;id=urn:contentItem:5F81-VJV1-DYFH-X4FM-00000-00&amp;context=" TargetMode="External" /><Relationship Id="rId924" Type="http://schemas.openxmlformats.org/officeDocument/2006/relationships/hyperlink" Target="https://advance.lexis.com/api/document?collection=cases-ca&amp;id=urn:contentItem:5F7T-S761-JGHR-M2JM-00000-00&amp;context=" TargetMode="External" /><Relationship Id="rId925" Type="http://schemas.openxmlformats.org/officeDocument/2006/relationships/hyperlink" Target="https://advance.lexis.com/api/document?collection=cases-ca&amp;id=urn:contentItem:5F7T-S7F1-DXWW-23PX-00000-00&amp;context=" TargetMode="External" /><Relationship Id="rId926" Type="http://schemas.openxmlformats.org/officeDocument/2006/relationships/hyperlink" Target="https://advance.lexis.com/api/document?collection=cases-ca&amp;id=urn:contentItem:5F7T-S7F1-FBN1-21G0-00000-00&amp;context=" TargetMode="External" /><Relationship Id="rId927" Type="http://schemas.openxmlformats.org/officeDocument/2006/relationships/hyperlink" Target="https://advance.lexis.com/api/document?collection=cases-ca&amp;id=urn:contentItem:5F7T-S7F1-JBT7-X2R7-00000-00&amp;context=" TargetMode="External" /><Relationship Id="rId928" Type="http://schemas.openxmlformats.org/officeDocument/2006/relationships/hyperlink" Target="https://advance.lexis.com/api/document?collection=cases-ca&amp;id=urn:contentItem:5F81-VJY1-JPGX-S4KN-00000-00&amp;context=" TargetMode="External" /><Relationship Id="rId929" Type="http://schemas.openxmlformats.org/officeDocument/2006/relationships/hyperlink" Target="https://advance.lexis.com/api/document?collection=cases-ca&amp;id=urn:contentItem:5F82-1SJ1-JBDT-B4BB-00000-00&amp;context=" TargetMode="External" /><Relationship Id="rId93" Type="http://schemas.openxmlformats.org/officeDocument/2006/relationships/footer" Target="footer19.xml" /><Relationship Id="rId930" Type="http://schemas.openxmlformats.org/officeDocument/2006/relationships/hyperlink" Target="https://advance.lexis.com/api/document?collection=cases-ca&amp;id=urn:contentItem:5F7T-S7H1-JS5Y-B2XG-00000-00&amp;context=" TargetMode="External" /><Relationship Id="rId931" Type="http://schemas.openxmlformats.org/officeDocument/2006/relationships/hyperlink" Target="https://advance.lexis.com/api/document?collection=cases-ca&amp;id=urn:contentItem:5F7T-S7M1-JCRC-B1J7-00000-00&amp;context=" TargetMode="External" /><Relationship Id="rId932" Type="http://schemas.openxmlformats.org/officeDocument/2006/relationships/header" Target="header121.xml" /><Relationship Id="rId933" Type="http://schemas.openxmlformats.org/officeDocument/2006/relationships/header" Target="header122.xml" /><Relationship Id="rId934" Type="http://schemas.openxmlformats.org/officeDocument/2006/relationships/footer" Target="footer121.xml" /><Relationship Id="rId935" Type="http://schemas.openxmlformats.org/officeDocument/2006/relationships/footer" Target="footer122.xml" /><Relationship Id="rId936" Type="http://schemas.openxmlformats.org/officeDocument/2006/relationships/header" Target="header123.xml" /><Relationship Id="rId937" Type="http://schemas.openxmlformats.org/officeDocument/2006/relationships/footer" Target="footer123.xml" /><Relationship Id="rId938" Type="http://schemas.openxmlformats.org/officeDocument/2006/relationships/hyperlink" Target="https://advance.lexis.com/api/document?collection=cases-ca&amp;id=urn:contentItem:5F7T-S7C1-JSRM-614Y-00000-00&amp;context=" TargetMode="External" /><Relationship Id="rId939" Type="http://schemas.openxmlformats.org/officeDocument/2006/relationships/hyperlink" Target="https://advance.lexis.com/api/document?collection=cases-ca&amp;id=urn:contentItem:5F7T-S711-JG02-S1GR-00000-00&amp;context=" TargetMode="External" /><Relationship Id="rId94" Type="http://schemas.openxmlformats.org/officeDocument/2006/relationships/footer" Target="footer20.xml" /><Relationship Id="rId940" Type="http://schemas.openxmlformats.org/officeDocument/2006/relationships/hyperlink" Target="https://advance.lexis.com/api/document?collection=cases-ca&amp;id=urn:contentItem:5F8T-N3T1-JFKM-651D-00000-00&amp;context=" TargetMode="External" /><Relationship Id="rId941" Type="http://schemas.openxmlformats.org/officeDocument/2006/relationships/header" Target="header124.xml" /><Relationship Id="rId942" Type="http://schemas.openxmlformats.org/officeDocument/2006/relationships/header" Target="header125.xml" /><Relationship Id="rId943" Type="http://schemas.openxmlformats.org/officeDocument/2006/relationships/footer" Target="footer124.xml" /><Relationship Id="rId944" Type="http://schemas.openxmlformats.org/officeDocument/2006/relationships/footer" Target="footer125.xml" /><Relationship Id="rId945" Type="http://schemas.openxmlformats.org/officeDocument/2006/relationships/header" Target="header126.xml" /><Relationship Id="rId946" Type="http://schemas.openxmlformats.org/officeDocument/2006/relationships/footer" Target="footer126.xml" /><Relationship Id="rId947" Type="http://schemas.openxmlformats.org/officeDocument/2006/relationships/hyperlink" Target="https://advance.lexis.com/api/document?collection=cases-ca&amp;id=urn:contentItem:5F7T-S7D1-FFFC-B11Y-00000-00&amp;context=" TargetMode="External" /><Relationship Id="rId948" Type="http://schemas.openxmlformats.org/officeDocument/2006/relationships/hyperlink" Target="https://advance.lexis.com/api/document?collection=legislation-ca&amp;id=urn:contentItem:5F3B-BB71-FJM6-60GS-00000-00&amp;context=" TargetMode="External" /><Relationship Id="rId949" Type="http://schemas.openxmlformats.org/officeDocument/2006/relationships/hyperlink" Target="https://advance.lexis.com/api/document?collection=legislation-ca&amp;id=urn:contentItem:5F3B-BB81-DYMS-621J-00000-00&amp;context=" TargetMode="External" /><Relationship Id="rId95" Type="http://schemas.openxmlformats.org/officeDocument/2006/relationships/header" Target="header21.xml" /><Relationship Id="rId950" Type="http://schemas.openxmlformats.org/officeDocument/2006/relationships/hyperlink" Target="https://advance.lexis.com/api/document?collection=legislation-ca&amp;id=urn:contentItem:5F41-1FJ1-F5KY-B1KS-00000-00&amp;context=" TargetMode="External" /><Relationship Id="rId951" Type="http://schemas.openxmlformats.org/officeDocument/2006/relationships/hyperlink" Target="https://advance.lexis.com/api/document?collection=legislation-ca&amp;id=urn:contentItem:5VYK-WB31-F27X-6419-00000-00&amp;context=" TargetMode="External" /><Relationship Id="rId952" Type="http://schemas.openxmlformats.org/officeDocument/2006/relationships/hyperlink" Target="https://advance.lexis.com/api/document?collection=legislation-ca&amp;id=urn:contentItem:5VYK-WB21-F57G-S21X-00000-00&amp;context=" TargetMode="External" /><Relationship Id="rId953" Type="http://schemas.openxmlformats.org/officeDocument/2006/relationships/hyperlink" Target="https://advance.lexis.com/api/document?collection=legislation-ca&amp;id=urn:contentItem:5VYK-W9V1-JS0R-23WX-00000-00&amp;context=" TargetMode="External" /><Relationship Id="rId954" Type="http://schemas.openxmlformats.org/officeDocument/2006/relationships/hyperlink" Target="https://advance.lexis.com/api/document?collection=cases-ca&amp;id=urn:contentItem:5F8T-N3S1-JBDT-B02N-00000-00&amp;context=" TargetMode="External" /><Relationship Id="rId955" Type="http://schemas.openxmlformats.org/officeDocument/2006/relationships/hyperlink" Target="https://advance.lexis.com/api/document?collection=cases-ca&amp;id=urn:contentItem:5F7T-S711-JNY7-X378-00000-00&amp;context=" TargetMode="External" /><Relationship Id="rId956" Type="http://schemas.openxmlformats.org/officeDocument/2006/relationships/hyperlink" Target="https://advance.lexis.com/api/document?collection=cases-ca&amp;id=urn:contentItem:5F81-VJT1-JWJ0-G347-00000-00&amp;context=" TargetMode="External" /><Relationship Id="rId957" Type="http://schemas.openxmlformats.org/officeDocument/2006/relationships/hyperlink" Target="https://advance.lexis.com/api/document?collection=cases-ca&amp;id=urn:contentItem:5F7T-S701-JJ6S-61TD-00000-00&amp;context=" TargetMode="External" /><Relationship Id="rId958" Type="http://schemas.openxmlformats.org/officeDocument/2006/relationships/hyperlink" Target="https://advance.lexis.com/api/document?collection=cases-ca&amp;id=urn:contentItem:5F8P-SBV1-DXWW-221H-00000-00&amp;context=" TargetMode="External" /><Relationship Id="rId959" Type="http://schemas.openxmlformats.org/officeDocument/2006/relationships/hyperlink" Target="https://advance.lexis.com/api/document?collection=cases-ca&amp;id=urn:contentItem:5F81-VJX1-FFTT-X1FM-00000-00&amp;context=" TargetMode="External" /><Relationship Id="rId96" Type="http://schemas.openxmlformats.org/officeDocument/2006/relationships/footer" Target="footer21.xml" /><Relationship Id="rId960" Type="http://schemas.openxmlformats.org/officeDocument/2006/relationships/hyperlink" Target="https://advance.lexis.com/api/document?collection=cases-ca&amp;id=urn:contentItem:5F7T-S701-F8KH-X16W-00000-00&amp;context=" TargetMode="External" /><Relationship Id="rId961" Type="http://schemas.openxmlformats.org/officeDocument/2006/relationships/hyperlink" Target="https://advance.lexis.com/api/document?collection=cases-ca&amp;id=urn:contentItem:5F7T-S721-FD4T-B0RT-00000-00&amp;context=" TargetMode="External" /><Relationship Id="rId962" Type="http://schemas.openxmlformats.org/officeDocument/2006/relationships/hyperlink" Target="https://advance.lexis.com/api/document?collection=cases-ca&amp;id=urn:contentItem:5F7T-S761-FFMK-M0T6-00000-00&amp;context=" TargetMode="External" /><Relationship Id="rId963" Type="http://schemas.openxmlformats.org/officeDocument/2006/relationships/hyperlink" Target="https://advance.lexis.com/api/document?collection=cases-ca&amp;id=urn:contentItem:5F7V-3DK1-F27X-62HK-00000-00&amp;context=" TargetMode="External" /><Relationship Id="rId964" Type="http://schemas.openxmlformats.org/officeDocument/2006/relationships/hyperlink" Target="https://advance.lexis.com/api/document?collection=cases-ca&amp;id=urn:contentItem:5F8P-T8W1-FC1F-M3BF-00000-00&amp;context=" TargetMode="External" /><Relationship Id="rId965" Type="http://schemas.openxmlformats.org/officeDocument/2006/relationships/hyperlink" Target="https://advance.lexis.com/api/document?collection=cases-ca&amp;id=urn:contentItem:5F8W-M461-F8SS-60YY-00000-00&amp;context=" TargetMode="External" /><Relationship Id="rId966" Type="http://schemas.openxmlformats.org/officeDocument/2006/relationships/hyperlink" Target="https://advance.lexis.com/api/document?collection=cases-ca&amp;id=urn:contentItem:5F7F-5RH1-JTGH-B03W-00000-00&amp;context=" TargetMode="External" /><Relationship Id="rId967" Type="http://schemas.openxmlformats.org/officeDocument/2006/relationships/hyperlink" Target="https://advance.lexis.com/api/document?collection=cases-ca&amp;id=urn:contentItem:5F8P-SF21-F873-B1PV-00000-00&amp;context=" TargetMode="External" /><Relationship Id="rId968" Type="http://schemas.openxmlformats.org/officeDocument/2006/relationships/hyperlink" Target="https://advance.lexis.com/api/document?collection=cases-ca&amp;id=urn:contentItem:5F8P-SCJ1-F60C-X3DC-00000-00&amp;context=" TargetMode="External" /><Relationship Id="rId969" Type="http://schemas.openxmlformats.org/officeDocument/2006/relationships/hyperlink" Target="https://advance.lexis.com/api/document?collection=cases-ca&amp;id=urn:contentItem:5F7T-S7G1-JX3N-B2DT-00000-00&amp;context=" TargetMode="External" /><Relationship Id="rId97" Type="http://schemas.openxmlformats.org/officeDocument/2006/relationships/hyperlink" Target="https://advance.lexis.com/api/document?collection=cases-ca&amp;id=urn:contentItem:5F7T-S7D1-F7ND-G0G4-00000-00&amp;context=" TargetMode="External" /><Relationship Id="rId970" Type="http://schemas.openxmlformats.org/officeDocument/2006/relationships/hyperlink" Target="https://advance.lexis.com/api/document?collection=cases-ca&amp;id=urn:contentItem:5F81-VJV1-FC6N-X2PR-00000-00&amp;context=" TargetMode="External" /><Relationship Id="rId971" Type="http://schemas.openxmlformats.org/officeDocument/2006/relationships/hyperlink" Target="https://advance.lexis.com/api/document?collection=cases-ca&amp;id=urn:contentItem:5F7H-KW51-JGHR-M0NS-00000-00&amp;context=" TargetMode="External" /><Relationship Id="rId972" Type="http://schemas.openxmlformats.org/officeDocument/2006/relationships/hyperlink" Target="https://advance.lexis.com/api/document?collection=cases-ca&amp;id=urn:contentItem:5F8P-SDD1-F65M-63H9-00000-00&amp;context=" TargetMode="External" /><Relationship Id="rId973" Type="http://schemas.openxmlformats.org/officeDocument/2006/relationships/hyperlink" Target="https://advance.lexis.com/api/document?collection=cases-ca&amp;id=urn:contentItem:5F7T-S7H1-JFKM-6264-00000-00&amp;context=" TargetMode="External" /><Relationship Id="rId974" Type="http://schemas.openxmlformats.org/officeDocument/2006/relationships/hyperlink" Target="https://advance.lexis.com/api/document?collection=cases-ca&amp;id=urn:contentItem:5F16-9351-FCYK-21R7-00000-00&amp;context=" TargetMode="External" /><Relationship Id="rId975" Type="http://schemas.openxmlformats.org/officeDocument/2006/relationships/hyperlink" Target="https://advance.lexis.com/api/document?collection=cases-ca&amp;id=urn:contentItem:5F81-VJV1-F60C-X39G-00000-00&amp;context=" TargetMode="External" /><Relationship Id="rId976" Type="http://schemas.openxmlformats.org/officeDocument/2006/relationships/hyperlink" Target="https://advance.lexis.com/api/document?collection=cases-ca&amp;id=urn:contentItem:5F7T-S761-FFMK-M0TX-00000-00&amp;context=" TargetMode="External" /><Relationship Id="rId977" Type="http://schemas.openxmlformats.org/officeDocument/2006/relationships/hyperlink" Target="https://advance.lexis.com/api/document?collection=cases-ca&amp;id=urn:contentItem:5F7T-S751-F361-M0RB-00000-00&amp;context=" TargetMode="External" /><Relationship Id="rId978" Type="http://schemas.openxmlformats.org/officeDocument/2006/relationships/hyperlink" Target="https://advance.lexis.com/api/document?collection=cases-ca&amp;id=urn:contentItem:5F16-9351-JSXV-G4YD-00000-00&amp;context=" TargetMode="External" /><Relationship Id="rId979" Type="http://schemas.openxmlformats.org/officeDocument/2006/relationships/hyperlink" Target="https://advance.lexis.com/api/document?collection=cases-ca&amp;id=urn:contentItem:5F81-VJX1-JJYN-B50Y-00000-00&amp;context=" TargetMode="External" /><Relationship Id="rId98" Type="http://schemas.openxmlformats.org/officeDocument/2006/relationships/hyperlink" Target="https://advance.lexis.com/api/document?collection=cases-ca&amp;id=urn:contentItem:5K6Y-81M1-JN6B-S1DM-00000-00&amp;context=" TargetMode="External" /><Relationship Id="rId980" Type="http://schemas.openxmlformats.org/officeDocument/2006/relationships/hyperlink" Target="https://advance.lexis.com/api/document?collection=cases-ca&amp;id=urn:contentItem:5F7T-S6V1-F2TK-2283-00000-00&amp;context=" TargetMode="External" /><Relationship Id="rId981" Type="http://schemas.openxmlformats.org/officeDocument/2006/relationships/hyperlink" Target="https://advance.lexis.com/api/document?collection=cases-ca&amp;id=urn:contentItem:5F7T-S711-F4W2-61PW-00000-00&amp;context=" TargetMode="External" /><Relationship Id="rId982" Type="http://schemas.openxmlformats.org/officeDocument/2006/relationships/hyperlink" Target="https://advance.lexis.com/api/document?collection=cases-ca&amp;id=urn:contentItem:5F7T-S771-JN14-G2BP-00000-00&amp;context=" TargetMode="External" /><Relationship Id="rId983" Type="http://schemas.openxmlformats.org/officeDocument/2006/relationships/header" Target="header127.xml" /><Relationship Id="rId984" Type="http://schemas.openxmlformats.org/officeDocument/2006/relationships/header" Target="header128.xml" /><Relationship Id="rId985" Type="http://schemas.openxmlformats.org/officeDocument/2006/relationships/footer" Target="footer127.xml" /><Relationship Id="rId986" Type="http://schemas.openxmlformats.org/officeDocument/2006/relationships/footer" Target="footer128.xml" /><Relationship Id="rId987" Type="http://schemas.openxmlformats.org/officeDocument/2006/relationships/header" Target="header129.xml" /><Relationship Id="rId988" Type="http://schemas.openxmlformats.org/officeDocument/2006/relationships/footer" Target="footer129.xml" /><Relationship Id="rId989" Type="http://schemas.openxmlformats.org/officeDocument/2006/relationships/hyperlink" Target="https://advance.lexis.com/api/document?collection=cases-ca&amp;id=urn:contentItem:5F7T-S771-JW5H-X1YD-00000-00&amp;context=" TargetMode="External" /><Relationship Id="rId99" Type="http://schemas.openxmlformats.org/officeDocument/2006/relationships/header" Target="header22.xml" /><Relationship Id="rId990" Type="http://schemas.openxmlformats.org/officeDocument/2006/relationships/hyperlink" Target="https://advance.lexis.com/api/document?collection=cases-ca&amp;id=urn:contentItem:5F7T-S701-JBT7-X2FG-00000-00&amp;context=" TargetMode="External" /><Relationship Id="rId991" Type="http://schemas.openxmlformats.org/officeDocument/2006/relationships/hyperlink" Target="https://advance.lexis.com/api/document?collection=cases-ca&amp;id=urn:contentItem:5F7T-S721-F57G-S1C0-00000-00&amp;context=" TargetMode="External" /><Relationship Id="rId992" Type="http://schemas.openxmlformats.org/officeDocument/2006/relationships/hyperlink" Target="https://advance.lexis.com/api/document?collection=cases-ca&amp;id=urn:contentItem:5F7T-S701-FJDY-X2FC-00000-00&amp;context=" TargetMode="External" /><Relationship Id="rId993" Type="http://schemas.openxmlformats.org/officeDocument/2006/relationships/hyperlink" Target="https://advance.lexis.com/api/document?collection=cases-ca&amp;id=urn:contentItem:5F7T-S741-F528-G2GS-00000-00&amp;context=" TargetMode="External" /><Relationship Id="rId994" Type="http://schemas.openxmlformats.org/officeDocument/2006/relationships/header" Target="header130.xml" /><Relationship Id="rId995" Type="http://schemas.openxmlformats.org/officeDocument/2006/relationships/header" Target="header131.xml" /><Relationship Id="rId996" Type="http://schemas.openxmlformats.org/officeDocument/2006/relationships/footer" Target="footer130.xml" /><Relationship Id="rId997" Type="http://schemas.openxmlformats.org/officeDocument/2006/relationships/footer" Target="footer131.xml" /><Relationship Id="rId998" Type="http://schemas.openxmlformats.org/officeDocument/2006/relationships/header" Target="header132.xml" /><Relationship Id="rId999" Type="http://schemas.openxmlformats.org/officeDocument/2006/relationships/footer" Target="footer13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 Capital Securities Ltd. v. Holmes, [2002] B.C.J. No. 2381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115051298</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